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版本号：ZKZBZC-XA2026-032620260413001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长安东部新型建材产业基地（关停、转型升级）项目涉及企业资产调研服务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ZKZBZC-XA2026-0326</w:t>
      </w:r>
      <w:r>
        <w:br/>
      </w:r>
      <w:r>
        <w:br/>
      </w:r>
      <w:r>
        <w:br/>
      </w:r>
    </w:p>
    <w:p>
      <w:pPr>
        <w:pStyle w:val="null3"/>
        <w:jc w:val="center"/>
        <w:outlineLvl w:val="2"/>
      </w:pPr>
      <w:r>
        <w:rPr>
          <w:rFonts w:ascii="仿宋_GB2312" w:hAnsi="仿宋_GB2312" w:cs="仿宋_GB2312" w:eastAsia="仿宋_GB2312"/>
          <w:sz w:val="28"/>
          <w:b/>
        </w:rPr>
        <w:t>西安市长安区魏寨街道办事处</w:t>
      </w:r>
    </w:p>
    <w:p>
      <w:pPr>
        <w:pStyle w:val="null3"/>
        <w:jc w:val="center"/>
        <w:outlineLvl w:val="2"/>
      </w:pPr>
      <w:r>
        <w:rPr>
          <w:rFonts w:ascii="仿宋_GB2312" w:hAnsi="仿宋_GB2312" w:cs="仿宋_GB2312" w:eastAsia="仿宋_GB2312"/>
          <w:sz w:val="28"/>
          <w:b/>
        </w:rPr>
        <w:t>中科经纬工程技术有限公司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中科经纬工程技术有限公司</w:t>
      </w:r>
      <w:r>
        <w:rPr>
          <w:rFonts w:ascii="仿宋_GB2312" w:hAnsi="仿宋_GB2312" w:cs="仿宋_GB2312" w:eastAsia="仿宋_GB2312"/>
        </w:rPr>
        <w:t>（以下简称“代理机构”）受</w:t>
      </w:r>
      <w:r>
        <w:rPr>
          <w:rFonts w:ascii="仿宋_GB2312" w:hAnsi="仿宋_GB2312" w:cs="仿宋_GB2312" w:eastAsia="仿宋_GB2312"/>
        </w:rPr>
        <w:t>西安市长安区魏寨街道办事处</w:t>
      </w:r>
      <w:r>
        <w:rPr>
          <w:rFonts w:ascii="仿宋_GB2312" w:hAnsi="仿宋_GB2312" w:cs="仿宋_GB2312" w:eastAsia="仿宋_GB2312"/>
        </w:rPr>
        <w:t>委托，拟对</w:t>
      </w:r>
      <w:r>
        <w:rPr>
          <w:rFonts w:ascii="仿宋_GB2312" w:hAnsi="仿宋_GB2312" w:cs="仿宋_GB2312" w:eastAsia="仿宋_GB2312"/>
        </w:rPr>
        <w:t>长安东部新型建材产业基地（关停、转型升级）项目涉及企业资产调研服务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ZKZBZC-XA2026-0326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长安东部新型建材产业基地（关停、转型升级）项目涉及企业资产调研服务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长安东部新型建材产业基地（关停/转型升级）项目涉及企业资产调研服务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采购包1（长安东部新型建材产业基地（关停、转型升级）项目涉及企业资产调研服务）：属于专门面向中小企业采购。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3、财务状况报告：提供2024年度的财务审计报告或开标前六个月内其基本账户银行出具的资信证明或财政部门认可的政府采购专业担保机构出具的担保函或具有良好的商业信誉和健全的财务会计制度的诚信声明；</w:t>
      </w:r>
    </w:p>
    <w:p>
      <w:pPr>
        <w:pStyle w:val="null3"/>
      </w:pPr>
      <w:r>
        <w:rPr>
          <w:rFonts w:ascii="仿宋_GB2312" w:hAnsi="仿宋_GB2312" w:cs="仿宋_GB2312" w:eastAsia="仿宋_GB2312"/>
        </w:rPr>
        <w:t>4、税收缴纳证明：开标前六个月内至少一个月的纳税凭证/证明或具有依法缴纳税收的诚信声明，依法免税的应提供相关证明材料；</w:t>
      </w:r>
    </w:p>
    <w:p>
      <w:pPr>
        <w:pStyle w:val="null3"/>
      </w:pPr>
      <w:r>
        <w:rPr>
          <w:rFonts w:ascii="仿宋_GB2312" w:hAnsi="仿宋_GB2312" w:cs="仿宋_GB2312" w:eastAsia="仿宋_GB2312"/>
        </w:rPr>
        <w:t>5、社会保障资金缴纳证明：开标前六个月内至少一个月的社会保障资金缴纳凭证/证明或具有依法缴纳社会保障资金的诚信声明，依法不需要缴纳的应提供相关证明材料；</w:t>
      </w:r>
    </w:p>
    <w:p>
      <w:pPr>
        <w:pStyle w:val="null3"/>
      </w:pPr>
      <w:r>
        <w:rPr>
          <w:rFonts w:ascii="仿宋_GB2312" w:hAnsi="仿宋_GB2312" w:cs="仿宋_GB2312" w:eastAsia="仿宋_GB2312"/>
        </w:rPr>
        <w:t>6、企业资质要求：供应商具备建设行政主管部门核发的房地产估价机构三级及以上资格证书及财政部门备案的资产评估资质；</w:t>
      </w:r>
    </w:p>
    <w:p>
      <w:pPr>
        <w:pStyle w:val="null3"/>
      </w:pPr>
      <w:r>
        <w:rPr>
          <w:rFonts w:ascii="仿宋_GB2312" w:hAnsi="仿宋_GB2312" w:cs="仿宋_GB2312" w:eastAsia="仿宋_GB2312"/>
        </w:rPr>
        <w:t>7、项目负责人要求：项目负责人具备注册房地产估价师和资产评估师职业资格证书，且在本单位注册。</w:t>
      </w:r>
    </w:p>
    <w:p>
      <w:pPr>
        <w:pStyle w:val="null3"/>
      </w:pPr>
      <w:r>
        <w:rPr>
          <w:rFonts w:ascii="仿宋_GB2312" w:hAnsi="仿宋_GB2312" w:cs="仿宋_GB2312" w:eastAsia="仿宋_GB2312"/>
        </w:rPr>
        <w:t>8、书面声明：供应商应出具参加政府采购活动前3年内在经营活动中没有重大违法记录的书面声明；</w:t>
      </w:r>
    </w:p>
    <w:p>
      <w:pPr>
        <w:pStyle w:val="null3"/>
      </w:pPr>
      <w:r>
        <w:rPr>
          <w:rFonts w:ascii="仿宋_GB2312" w:hAnsi="仿宋_GB2312" w:cs="仿宋_GB2312" w:eastAsia="仿宋_GB2312"/>
        </w:rPr>
        <w:t>9、信用截图：供应商不得被列入“信用中国”网站（www.creditchina.gov.cn）重大税收违法失信主体，不得被列入“中国政府采购网”（www.ccgp.gov.cn）政府采购严重违法失信行为记录名单。</w:t>
      </w:r>
    </w:p>
    <w:p>
      <w:pPr>
        <w:pStyle w:val="null3"/>
      </w:pPr>
      <w:r>
        <w:rPr>
          <w:rFonts w:ascii="仿宋_GB2312" w:hAnsi="仿宋_GB2312" w:cs="仿宋_GB2312" w:eastAsia="仿宋_GB2312"/>
        </w:rPr>
        <w:t>10、中小企业：本项目专门面向中小企业</w:t>
      </w:r>
    </w:p>
    <w:p>
      <w:pPr>
        <w:pStyle w:val="null3"/>
      </w:pPr>
      <w:r>
        <w:rPr>
          <w:rFonts w:ascii="仿宋_GB2312" w:hAnsi="仿宋_GB2312" w:cs="仿宋_GB2312" w:eastAsia="仿宋_GB2312"/>
        </w:rPr>
        <w:t>11、不接受联合体投标：本项目不接受联合体投标。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西安市长安区魏寨街道办事处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西安市长安区魏寨街道西坡甲子一号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西安市长安区魏寨街道办事处经办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13772079658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中科经纬工程技术有限公司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西安市浐灞生态区欧亚一路世园大观3栋5层502室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杜洋、张倩、陈世勤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18066935787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发改价格[2011]534号文件及《国家发展改革委关于进一步放开建设项目专业服务价格的通知》（发改价格〔2015〕299号）文规定收取代理服务费。由成交人领取成交通知书时一次性支付完毕</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西安市长安区魏寨街道办事处</w:t>
      </w:r>
      <w:r>
        <w:rPr>
          <w:rFonts w:ascii="仿宋_GB2312" w:hAnsi="仿宋_GB2312" w:cs="仿宋_GB2312" w:eastAsia="仿宋_GB2312"/>
        </w:rPr>
        <w:t>和</w:t>
      </w:r>
      <w:r>
        <w:rPr>
          <w:rFonts w:ascii="仿宋_GB2312" w:hAnsi="仿宋_GB2312" w:cs="仿宋_GB2312" w:eastAsia="仿宋_GB2312"/>
        </w:rPr>
        <w:t>中科经纬工程技术有限公司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西安市长安区魏寨街道办事处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中科经纬工程技术有限公司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西安市长安区魏寨街道办事处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中科经纬工程技术有限公司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联系人：杜洋</w:t>
      </w:r>
    </w:p>
    <w:p>
      <w:pPr>
        <w:pStyle w:val="null3"/>
      </w:pPr>
      <w:r>
        <w:rPr>
          <w:rFonts w:ascii="仿宋_GB2312" w:hAnsi="仿宋_GB2312" w:cs="仿宋_GB2312" w:eastAsia="仿宋_GB2312"/>
        </w:rPr>
        <w:t>联系电话：18066935787</w:t>
      </w:r>
    </w:p>
    <w:p>
      <w:pPr>
        <w:pStyle w:val="null3"/>
      </w:pPr>
      <w:r>
        <w:rPr>
          <w:rFonts w:ascii="仿宋_GB2312" w:hAnsi="仿宋_GB2312" w:cs="仿宋_GB2312" w:eastAsia="仿宋_GB2312"/>
        </w:rPr>
        <w:t>地址：西安市浐灞生态区欧亚一路世园大观3栋5层502室开标室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长安东部新型建材产业基地（关停/转型升级）项目涉及企业资产调研服务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资产调研服务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标的名称：资产调研服务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一、项目名称：长安东部新型建材产业基地（关停</w:t>
            </w:r>
            <w:r>
              <w:rPr>
                <w:rFonts w:ascii="仿宋_GB2312" w:hAnsi="仿宋_GB2312" w:cs="仿宋_GB2312" w:eastAsia="仿宋_GB2312"/>
                <w:sz w:val="18"/>
              </w:rPr>
              <w:t>/转型升级）项目涉及企业资产调研服务</w:t>
            </w:r>
          </w:p>
          <w:p>
            <w:pPr>
              <w:pStyle w:val="null3"/>
            </w:pPr>
            <w:r>
              <w:rPr>
                <w:rFonts w:ascii="仿宋_GB2312" w:hAnsi="仿宋_GB2312" w:cs="仿宋_GB2312" w:eastAsia="仿宋_GB2312"/>
                <w:sz w:val="18"/>
              </w:rPr>
              <w:t>二、预算金额</w:t>
            </w:r>
            <w:r>
              <w:rPr>
                <w:rFonts w:ascii="仿宋_GB2312" w:hAnsi="仿宋_GB2312" w:cs="仿宋_GB2312" w:eastAsia="仿宋_GB2312"/>
                <w:sz w:val="18"/>
              </w:rPr>
              <w:t>: 400000.00元</w:t>
            </w:r>
          </w:p>
          <w:p>
            <w:pPr>
              <w:pStyle w:val="null3"/>
            </w:pPr>
            <w:r>
              <w:rPr>
                <w:rFonts w:ascii="仿宋_GB2312" w:hAnsi="仿宋_GB2312" w:cs="仿宋_GB2312" w:eastAsia="仿宋_GB2312"/>
                <w:sz w:val="18"/>
              </w:rPr>
              <w:t>三、服务周期：自合同签订之日起</w:t>
            </w:r>
            <w:r>
              <w:rPr>
                <w:rFonts w:ascii="仿宋_GB2312" w:hAnsi="仿宋_GB2312" w:cs="仿宋_GB2312" w:eastAsia="仿宋_GB2312"/>
                <w:sz w:val="18"/>
              </w:rPr>
              <w:t>90日历天。</w:t>
            </w:r>
          </w:p>
          <w:p>
            <w:pPr>
              <w:pStyle w:val="null3"/>
            </w:pPr>
            <w:r>
              <w:rPr>
                <w:rFonts w:ascii="仿宋_GB2312" w:hAnsi="仿宋_GB2312" w:cs="仿宋_GB2312" w:eastAsia="仿宋_GB2312"/>
                <w:sz w:val="18"/>
              </w:rPr>
              <w:t>四、服务地点：主要工作地点为长安区，涉及必要的外部调研、会议等地点以实际工作需要为准。</w:t>
            </w:r>
          </w:p>
          <w:p>
            <w:pPr>
              <w:pStyle w:val="null3"/>
            </w:pPr>
            <w:r>
              <w:rPr>
                <w:rFonts w:ascii="仿宋_GB2312" w:hAnsi="仿宋_GB2312" w:cs="仿宋_GB2312" w:eastAsia="仿宋_GB2312"/>
                <w:sz w:val="18"/>
              </w:rPr>
              <w:t>五、付款方式：合同签订生效后，在</w:t>
            </w:r>
            <w:r>
              <w:rPr>
                <w:rFonts w:ascii="仿宋_GB2312" w:hAnsi="仿宋_GB2312" w:cs="仿宋_GB2312" w:eastAsia="仿宋_GB2312"/>
                <w:sz w:val="18"/>
              </w:rPr>
              <w:t>7个工作日内支付合同总金额的40%作为预付款；完成项目调研报告提交，经验收合格后，在7个工作日内支付合同剩余全部款项。</w:t>
            </w:r>
          </w:p>
          <w:p>
            <w:pPr>
              <w:pStyle w:val="null3"/>
            </w:pPr>
            <w:r>
              <w:rPr>
                <w:rFonts w:ascii="仿宋_GB2312" w:hAnsi="仿宋_GB2312" w:cs="仿宋_GB2312" w:eastAsia="仿宋_GB2312"/>
                <w:sz w:val="18"/>
              </w:rPr>
              <w:t>六、服务内容</w:t>
            </w:r>
          </w:p>
          <w:p>
            <w:pPr>
              <w:pStyle w:val="null3"/>
            </w:pPr>
            <w:r>
              <w:rPr>
                <w:rFonts w:ascii="仿宋_GB2312" w:hAnsi="仿宋_GB2312" w:cs="仿宋_GB2312" w:eastAsia="仿宋_GB2312"/>
                <w:sz w:val="18"/>
              </w:rPr>
              <w:t>（一）本次采购调研服务内容主要分为三个阶段：准备阶段、实施阶段、报告阶段，具体内容如下：</w:t>
            </w:r>
          </w:p>
          <w:p>
            <w:pPr>
              <w:pStyle w:val="null3"/>
            </w:pPr>
            <w:r>
              <w:rPr>
                <w:rFonts w:ascii="仿宋_GB2312" w:hAnsi="仿宋_GB2312" w:cs="仿宋_GB2312" w:eastAsia="仿宋_GB2312"/>
                <w:sz w:val="18"/>
              </w:rPr>
              <w:t>（</w:t>
            </w:r>
            <w:r>
              <w:rPr>
                <w:rFonts w:ascii="仿宋_GB2312" w:hAnsi="仿宋_GB2312" w:cs="仿宋_GB2312" w:eastAsia="仿宋_GB2312"/>
                <w:sz w:val="18"/>
              </w:rPr>
              <w:t>1）准备阶段</w:t>
            </w:r>
          </w:p>
          <w:p>
            <w:pPr>
              <w:pStyle w:val="null3"/>
            </w:pPr>
            <w:r>
              <w:rPr>
                <w:rFonts w:ascii="仿宋_GB2312" w:hAnsi="仿宋_GB2312" w:cs="仿宋_GB2312" w:eastAsia="仿宋_GB2312"/>
                <w:sz w:val="18"/>
              </w:rPr>
              <w:t>1.接通知后，公司即成立本项目调研领导小组，由公司主管业务的专业人员担任项目组负责人，全面部署安排调研前期的各项准备工作。</w:t>
            </w:r>
          </w:p>
          <w:p>
            <w:pPr>
              <w:pStyle w:val="null3"/>
            </w:pPr>
            <w:r>
              <w:rPr>
                <w:rFonts w:ascii="仿宋_GB2312" w:hAnsi="仿宋_GB2312" w:cs="仿宋_GB2312" w:eastAsia="仿宋_GB2312"/>
                <w:sz w:val="18"/>
              </w:rPr>
              <w:t>2.了解项目的基本情况，包括但不限于项目的位置、具体内容、项目规模、用途、建筑物整体状况、企业生产经营情况等情况，以便于项目组对项目有一个比较全面的认识和了解。</w:t>
            </w:r>
          </w:p>
          <w:p>
            <w:pPr>
              <w:pStyle w:val="null3"/>
            </w:pPr>
            <w:r>
              <w:rPr>
                <w:rFonts w:ascii="仿宋_GB2312" w:hAnsi="仿宋_GB2312" w:cs="仿宋_GB2312" w:eastAsia="仿宋_GB2312"/>
                <w:sz w:val="18"/>
              </w:rPr>
              <w:t>3.根据项目的基本情况和委托方关于调研工作的总体要求，编制工作计划和进度计划，制定调研方案。</w:t>
            </w:r>
          </w:p>
          <w:p>
            <w:pPr>
              <w:pStyle w:val="null3"/>
            </w:pPr>
            <w:r>
              <w:rPr>
                <w:rFonts w:ascii="仿宋_GB2312" w:hAnsi="仿宋_GB2312" w:cs="仿宋_GB2312" w:eastAsia="仿宋_GB2312"/>
                <w:sz w:val="18"/>
              </w:rPr>
              <w:t>（</w:t>
            </w:r>
            <w:r>
              <w:rPr>
                <w:rFonts w:ascii="仿宋_GB2312" w:hAnsi="仿宋_GB2312" w:cs="仿宋_GB2312" w:eastAsia="仿宋_GB2312"/>
                <w:sz w:val="18"/>
              </w:rPr>
              <w:t>2）实施阶段</w:t>
            </w:r>
          </w:p>
          <w:p>
            <w:pPr>
              <w:pStyle w:val="null3"/>
            </w:pPr>
            <w:r>
              <w:rPr>
                <w:rFonts w:ascii="仿宋_GB2312" w:hAnsi="仿宋_GB2312" w:cs="仿宋_GB2312" w:eastAsia="仿宋_GB2312"/>
                <w:sz w:val="18"/>
              </w:rPr>
              <w:t>外业阶段：调研人员在委托方相关人员的带领下依照有关标准对调研对象进行全面勘察记录。外业工作需全面、准确、清晰、完整查清项目状况，统一调查登记的标准，统一调研参数，并要求调研人员详细填写，相关人员现场签字。</w:t>
            </w:r>
          </w:p>
          <w:p>
            <w:pPr>
              <w:pStyle w:val="null3"/>
            </w:pPr>
            <w:r>
              <w:rPr>
                <w:rFonts w:ascii="仿宋_GB2312" w:hAnsi="仿宋_GB2312" w:cs="仿宋_GB2312" w:eastAsia="仿宋_GB2312"/>
                <w:sz w:val="18"/>
              </w:rPr>
              <w:t>内业阶段：调研人员根据现场勘察记录的情况形成调研报告。</w:t>
            </w:r>
          </w:p>
          <w:p>
            <w:pPr>
              <w:pStyle w:val="null3"/>
            </w:pPr>
            <w:r>
              <w:rPr>
                <w:rFonts w:ascii="仿宋_GB2312" w:hAnsi="仿宋_GB2312" w:cs="仿宋_GB2312" w:eastAsia="仿宋_GB2312"/>
                <w:sz w:val="18"/>
              </w:rPr>
              <w:t>各小组每日完成外业工作后，要及时对取得的项目各项数据进行整理、核对，以便及时发现问题。各小组对各自取得并经过核对的数据，及时反馈，沟通信息，核实数据，确保调研测算的合理性、科学性、准确性。</w:t>
            </w:r>
          </w:p>
          <w:p>
            <w:pPr>
              <w:pStyle w:val="null3"/>
            </w:pPr>
            <w:r>
              <w:rPr>
                <w:rFonts w:ascii="仿宋_GB2312" w:hAnsi="仿宋_GB2312" w:cs="仿宋_GB2312" w:eastAsia="仿宋_GB2312"/>
                <w:sz w:val="18"/>
              </w:rPr>
              <w:t>（</w:t>
            </w:r>
            <w:r>
              <w:rPr>
                <w:rFonts w:ascii="仿宋_GB2312" w:hAnsi="仿宋_GB2312" w:cs="仿宋_GB2312" w:eastAsia="仿宋_GB2312"/>
                <w:sz w:val="18"/>
              </w:rPr>
              <w:t>3）报告阶段</w:t>
            </w:r>
          </w:p>
          <w:p>
            <w:pPr>
              <w:pStyle w:val="null3"/>
            </w:pPr>
            <w:r>
              <w:rPr>
                <w:rFonts w:ascii="仿宋_GB2312" w:hAnsi="仿宋_GB2312" w:cs="仿宋_GB2312" w:eastAsia="仿宋_GB2312"/>
                <w:sz w:val="18"/>
              </w:rPr>
              <w:t>1.报告初稿：根据现场勘察工作底稿，进行计算，撰写初步调研报告。</w:t>
            </w:r>
          </w:p>
          <w:p>
            <w:pPr>
              <w:pStyle w:val="null3"/>
            </w:pPr>
            <w:r>
              <w:rPr>
                <w:rFonts w:ascii="仿宋_GB2312" w:hAnsi="仿宋_GB2312" w:cs="仿宋_GB2312" w:eastAsia="仿宋_GB2312"/>
                <w:sz w:val="18"/>
              </w:rPr>
              <w:t>2.正式调研报告：在初步调研报告的基础上出具正式的调研报告。</w:t>
            </w:r>
          </w:p>
          <w:p>
            <w:pPr>
              <w:pStyle w:val="null3"/>
            </w:pPr>
            <w:r>
              <w:rPr>
                <w:rFonts w:ascii="仿宋_GB2312" w:hAnsi="仿宋_GB2312" w:cs="仿宋_GB2312" w:eastAsia="仿宋_GB2312"/>
                <w:sz w:val="18"/>
              </w:rPr>
              <w:t>（二）辅助服务内容</w:t>
            </w:r>
          </w:p>
          <w:p>
            <w:pPr>
              <w:pStyle w:val="null3"/>
            </w:pPr>
            <w:r>
              <w:rPr>
                <w:rFonts w:ascii="仿宋_GB2312" w:hAnsi="仿宋_GB2312" w:cs="仿宋_GB2312" w:eastAsia="仿宋_GB2312"/>
                <w:sz w:val="18"/>
              </w:rPr>
              <w:t>1.资料整理：协助整理调研过程中的相关资料、数据、报告等，形成完整的项目档案。</w:t>
            </w:r>
          </w:p>
          <w:p>
            <w:pPr>
              <w:pStyle w:val="null3"/>
            </w:pPr>
            <w:r>
              <w:rPr>
                <w:rFonts w:ascii="仿宋_GB2312" w:hAnsi="仿宋_GB2312" w:cs="仿宋_GB2312" w:eastAsia="仿宋_GB2312"/>
                <w:sz w:val="18"/>
              </w:rPr>
              <w:t>2.汇报沟通：定期向上级及相关单位汇报调研工作进展、阶段性成果，及时沟通工作中出现的问题，确保关联单位全面了解项目情况。</w:t>
            </w:r>
          </w:p>
          <w:p>
            <w:pPr>
              <w:pStyle w:val="null3"/>
            </w:pPr>
            <w:r>
              <w:rPr>
                <w:rFonts w:ascii="仿宋_GB2312" w:hAnsi="仿宋_GB2312" w:cs="仿宋_GB2312" w:eastAsia="仿宋_GB2312"/>
                <w:sz w:val="18"/>
              </w:rPr>
              <w:t>3.其他：根据单位需求，提供与本次调研服务相关的其他辅助服务。</w:t>
            </w:r>
          </w:p>
          <w:p>
            <w:pPr>
              <w:pStyle w:val="null3"/>
            </w:pPr>
            <w:r>
              <w:rPr>
                <w:rFonts w:ascii="仿宋_GB2312" w:hAnsi="仿宋_GB2312" w:cs="仿宋_GB2312" w:eastAsia="仿宋_GB2312"/>
                <w:sz w:val="18"/>
              </w:rPr>
              <w:t>（三）成果交付要求</w:t>
            </w:r>
          </w:p>
          <w:p>
            <w:pPr>
              <w:pStyle w:val="null3"/>
            </w:pPr>
            <w:r>
              <w:rPr>
                <w:rFonts w:ascii="仿宋_GB2312" w:hAnsi="仿宋_GB2312" w:cs="仿宋_GB2312" w:eastAsia="仿宋_GB2312"/>
                <w:sz w:val="18"/>
              </w:rPr>
              <w:t>供应商需在服务周期内交付以下成果：调研成果报告</w:t>
            </w:r>
          </w:p>
          <w:p>
            <w:pPr>
              <w:pStyle w:val="null3"/>
            </w:pPr>
            <w:r>
              <w:rPr>
                <w:rFonts w:ascii="仿宋_GB2312" w:hAnsi="仿宋_GB2312" w:cs="仿宋_GB2312" w:eastAsia="仿宋_GB2312"/>
                <w:sz w:val="18"/>
              </w:rPr>
              <w:t>七、服务质量要求</w:t>
            </w:r>
          </w:p>
          <w:p>
            <w:pPr>
              <w:pStyle w:val="null3"/>
            </w:pPr>
            <w:r>
              <w:rPr>
                <w:rFonts w:ascii="仿宋_GB2312" w:hAnsi="仿宋_GB2312" w:cs="仿宋_GB2312" w:eastAsia="仿宋_GB2312"/>
                <w:sz w:val="18"/>
              </w:rPr>
              <w:t>1.提供的调研服务须符合国家相关政策法规、行业标准及相关单位的具体要求，独立、客观、科学、合理，公平、公正、完整。</w:t>
            </w:r>
          </w:p>
          <w:p>
            <w:pPr>
              <w:pStyle w:val="null3"/>
            </w:pPr>
            <w:r>
              <w:rPr>
                <w:rFonts w:ascii="仿宋_GB2312" w:hAnsi="仿宋_GB2312" w:cs="仿宋_GB2312" w:eastAsia="仿宋_GB2312"/>
                <w:sz w:val="18"/>
              </w:rPr>
              <w:t>2.服务过程中，供应商须严格遵守采购单位的相关规章制度，尊重采购单位的工作安排，严格遵守职业道德、行业准则及有关法律法规，积极配合、主动沟通，严格遵守职业道德、行业准则及有关法律法规，为采购单位提供优质服务。</w:t>
            </w:r>
          </w:p>
          <w:p>
            <w:pPr>
              <w:pStyle w:val="null3"/>
            </w:pPr>
            <w:r>
              <w:rPr>
                <w:rFonts w:ascii="仿宋_GB2312" w:hAnsi="仿宋_GB2312" w:cs="仿宋_GB2312" w:eastAsia="仿宋_GB2312"/>
                <w:sz w:val="18"/>
              </w:rPr>
              <w:t>3.调研项目团队须保持专业性、稳定性，未经采购单位书面同意，不得擅自更换团队负责人及核心成员；若确需更换，须提供同等或更高资质的人员证明，经采购单位审核同意后方可更换。</w:t>
            </w:r>
          </w:p>
          <w:p>
            <w:pPr>
              <w:pStyle w:val="null3"/>
            </w:pPr>
            <w:r>
              <w:rPr>
                <w:rFonts w:ascii="仿宋_GB2312" w:hAnsi="仿宋_GB2312" w:cs="仿宋_GB2312" w:eastAsia="仿宋_GB2312"/>
                <w:sz w:val="18"/>
              </w:rPr>
              <w:t>4.调研成果须通过采购单位组织的审查验收，验收合格后方视为工作完成；若验收不合格，供应商须在采购单位规定的期限内及时进行整改，直至验收合格。</w:t>
            </w:r>
          </w:p>
          <w:p>
            <w:pPr>
              <w:pStyle w:val="null3"/>
            </w:pPr>
            <w:r>
              <w:rPr>
                <w:rFonts w:ascii="仿宋_GB2312" w:hAnsi="仿宋_GB2312" w:cs="仿宋_GB2312" w:eastAsia="仿宋_GB2312"/>
                <w:sz w:val="18"/>
              </w:rPr>
              <w:t>5.供应商在调研过程中获取的相关商业数据、内部机密等敏感信息严格进行保密，不得向任何第三方泄露，要严格遵守保密协议，保密服务在合同终止后仍持续有效，如果发生泄露，供应商应承担相应法律责任。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针对本项目投入专业服务团队，组织结构合理，人员分工明确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主要工作地点为长安区，涉及必要的外部调研、会议等地点以实际工作需要为准。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(一)合同文本、合同附件、招标文件、响应文件。(二)乙方提交的调研报告。(三)国内相应的标准、规范。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完成项目调研报告提交，经验收合格后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1、双方均应认真履行本合同，由于任何一方的过错使本合同不能履行、不能完全履行、延迟履行或者履行不符合约定条件的，由过错方承担责任，如属双方过错，则根据各自过错大小，分别承担相应的责任。 任何一方违背本合同约定，违约方除承担违约责任、赔偿对方损失、承担本合同约定的相应违约金外，还应按本合同明示的合同总价的5%向对方支付违约金。 2、如乙方违背独立、客观、公平、科学原则，出具虚假调研报告给甲方造成经济损失的，乙方应承担赔偿责任及法律责任。甲方有权解除本合同，乙方应退还甲方已支付的调研费，并应向甲方支付与调研费等额的违约金。如给甲方造成损失的，乙方应予以赔偿。 3、如果乙方未按照甲方要求的时间完成调研工作并提供完整的调研报告，应按合同规定委托费用的10%支付违约金。由甲方重新指定乙方应完成评审工作的合理期限。 4、除本合同另有约定外，乙方违反本合同约定义务的，乙方应按甲方要求予以改进，若乙方在7日内仍未改进或甲方有理由认为乙方未改进的，则甲方有权解除合同，乙方应退还甲方已支付款项，并应向甲方支付与调研费等额的违约金，若因此给甲方造成损失的，乙方应赔偿甲方的实际损失。 5、乙方对甲方委托调研所提供的文件资料应妥善保管，并承担保密义务，未经甲方同意不得擅自公开或泄露给他人。否则，乙方应向甲方支付合同结算价的10%的违约金，如违约金不足以弥补甲方损失的，甲方有权继续向乙方索赔。 6、本合同签订后，如甲方自身原因导致调研业务取消或延期的，甲方可以终止委托，并书面通知乙方，乙方在收到甲方通知后应立即停止工作。因甲方自身原因终止委托的，甲方需对乙方按双方约定的工作进程所发生的实际而合理的费用予以补偿，同时乙方已经完成的工作应移交甲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施的政府采购项目的投标文件。同时，线下提交纸质投标文件正本壹份、副本贰份，电子版本贰份(以U盘形式提供，文件格式包含word 或pdf格式)。若电子投标文件与纸质投标文件不一致的，以电子投标文件为准；若正本和副本不符。以正本为准。投标文件正本和副本分别各自装订成册密封（电子版同正本一起密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落实政府采购政策需满足的资格要求如下：</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司法部关于政府采购支持监狱企业发展有关问题的通知》（库〔2014〕68号）； （3）《国务院办公厅关于建立政府强制采购节能产品制度的通知》（国发办〔2007〕51号）； （4）《关于印发节能产品政府采购品目清单的通知》（财库〔2019〕19号）； （5）《关于印发环境标志产品政府采购品目清单的通知》（财库〔2019〕18号）； （6）《三部门联合发布关于促进残疾人就业政府采购政策的通知》（财库〔2017〕141号）； （7）《财政部 发展改革委 生态环境部 市场监管总局关于调整优化节能产品、环境标志产品政府采购执行机制的通知》（财库〔2019〕9号）； （8）陕西省财政厅关于印发《陕西省中小企业政府采购信用融资办法》（陕财办采〔2018〕23号）； （9）《财政部 农业农村部 国家乡村振兴局关于运用政府采购政策支持乡村产业振兴的通知》（财库〔2021〕19号）； （10）《财政部 农业农村部 国家乡村振兴局 中华全国供销合作总社关于印发&lt;关于深入开展政府采购脱贫地区农副产品工作推进乡村产业振兴的实施意见&gt;的通知》（财库〔2021〕20号）； （11）《陕西省财政厅关于加快推进我省中小企业政府采购信用融资工作的通知》（陕财办采〔2020〕15号）； （12）《关于进一步加强政府绿色采购有关问题的通知》（陕财办采〔2021〕29号）； （13）《陕西省财政厅、中国人民银行西安分行关于深入推进政府采购信用融资业务的通知》（陕财办采〔2023〕5号）； （14）其他需要落实的政府采购政策。</w:t>
            </w:r>
          </w:p>
        </w:tc>
        <w:tc>
          <w:tcPr>
            <w:tcW w:type="dxa" w:w="1661"/>
          </w:tcPr>
          <w:p>
            <w:pPr>
              <w:pStyle w:val="null3"/>
            </w:pPr>
            <w:r>
              <w:rPr>
                <w:rFonts w:ascii="仿宋_GB2312" w:hAnsi="仿宋_GB2312" w:cs="仿宋_GB2312" w:eastAsia="仿宋_GB2312"/>
              </w:rPr>
              <w:t>其他补充资料.docx 供应商资格证明文件.docx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提供2024年度的财务审计报告或开标前六个月内其基本账户银行出具的资信证明或财政部门认可的政府采购专业担保机构出具的担保函或具有良好的商业信誉和健全的财务会计制度的诚信声明；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开标前六个月内至少一个月的纳税凭证/证明或具有依法缴纳税收的诚信声明，依法免税的应提供相关证明材料；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开标前六个月内至少一个月的社会保障资金缴纳凭证/证明或具有依法缴纳社会保障资金的诚信声明，依法不需要缴纳的应提供相关证明材料；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供应商具备建设行政主管部门核发的房地产估价机构三级及以上资格证书及财政部门备案的资产评估资质；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项目负责人具备注册房地产估价师和资产评估师职业资格证书，且在本单位注册。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供应商不得被列入“信用中国”网站（www.creditchina.gov.cn）重大税收违法失信主体，不得被列入“中国政府采购网”（www.ccgp.gov.cn）政府采购严重违法失信行为记录名单。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投标函.docx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开标一览表.docx 投标函.docx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开标一览表.docx 服务方案及业绩.docx 投标函.docx 其他补充资料.docx 标的清单 报价表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开标一览表.docx 投标函.docx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服务周期的响应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开标一览表.docx 服务方案及业绩.docx 投标函.docx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开标一览表.docx 服务方案及业绩.docx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开标一览表.docx 投标函.docx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开标一览表.docx 服务方案及业绩.docx 投标函.docx 其他补充资料.docx 标的清单 报价表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供应商针对本项目提供详细的服务方案，包括：①项目理解与分析；②服务目标；③资料清单；④实施方案编制依据；⑤工作流程、方法；以上内容每缺一项扣4分；每有1处描述缺陷扣2分，扣完为止。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供应商针对本项目提供详细的管理方案，包括：①项目管理措施；②质量保障措施；③进度保障措施；④员工岗位职责；⑤廉洁及保密措施。以上内容每缺一项扣3分；每有1处描述缺陷扣1.5分，扣完为止。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供应商针对本项目提供详细的后续服务方案，包括：①后续服务具体内容；②后续服务响应方式及时间；③后续服务人员情况及工作安排；④后续服务保障措施；以上内容每缺一项扣3分；每有1处描述缺陷扣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供应商针对本项目提出重点难点分析及合理化建议包括：①项目重点分析；②项目难点分析③解决方案④合理化建议；以上内容每缺一项扣2.5分；每有1处描述缺陷扣1分，扣完为止。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本项目拟派具有相关专业技术能力服务团队人员，项目组成员≥8人得6分，项目组成员≥5人计4分，项目组成员≥3人计2分。 ①以上人员除项目负责人外，每提供1名注册房地产估价师或资产评估师职业资格证书，得2分，最高得6分； ②以上人员，每提供1名中级及以上职称人员，得1分，最高得3分。 注：须提供以上人员相关证书的复印件。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满足招标文件和合同条款的要求，严格按照服务方案执行，根据其对服务质量的保证、人员到岗落实以及未能完全履行服务承诺时接受处罚的情况作出实质性承诺；以上内容每缺一项扣3分；每有1处描述缺陷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供应商提供2023年1月1日至今（中标通知书或合同签订时间为准）同类项目业绩，响应文件中附有完整合同或中标通知书作为业绩证明资料，每提供一个业绩证明计3分。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投标函.docx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详见附件：投标函.docx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详见附件：服务方案及业绩.docx</w:t>
      </w:r>
    </w:p>
    <w:p>
      <w:pPr>
        <w:pStyle w:val="null3"/>
        <w:ind w:firstLine="960"/>
      </w:pPr>
      <w:r>
        <w:rPr>
          <w:rFonts w:ascii="仿宋_GB2312" w:hAnsi="仿宋_GB2312" w:cs="仿宋_GB2312" w:eastAsia="仿宋_GB2312"/>
        </w:rPr>
        <w:t>详见附件：其他补充资料.docx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