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65734">
      <w:pPr>
        <w:pStyle w:val="7"/>
        <w:spacing w:line="360" w:lineRule="auto"/>
        <w:jc w:val="center"/>
        <w:rPr>
          <w:rFonts w:hint="eastAsia" w:ascii="宋体" w:hAnsi="宋体" w:cs="宋体"/>
        </w:rPr>
      </w:pPr>
      <w:r>
        <w:rPr>
          <w:rFonts w:hint="eastAsia" w:ascii="宋体" w:hAnsi="宋体" w:cs="宋体"/>
          <w:b/>
          <w:sz w:val="32"/>
          <w:szCs w:val="32"/>
          <w:lang w:val="en-US" w:eastAsia="zh-CN"/>
        </w:rPr>
        <w:t>六</w:t>
      </w:r>
      <w:r>
        <w:rPr>
          <w:rFonts w:hint="eastAsia" w:ascii="宋体" w:hAnsi="宋体" w:cs="宋体"/>
          <w:b/>
          <w:sz w:val="32"/>
          <w:szCs w:val="32"/>
        </w:rPr>
        <w:t>、供应商认为有必要补充说明的事项</w:t>
      </w:r>
    </w:p>
    <w:p w14:paraId="75FEFF93">
      <w:pPr>
        <w:rPr>
          <w:rFonts w:hint="eastAsia" w:ascii="宋体" w:hAnsi="宋体" w:cs="宋体"/>
        </w:rPr>
      </w:pPr>
    </w:p>
    <w:p w14:paraId="7C4617CD">
      <w:pPr>
        <w:rPr>
          <w:rFonts w:hint="eastAsia" w:ascii="宋体" w:hAnsi="宋体" w:cs="宋体"/>
        </w:rPr>
      </w:pPr>
    </w:p>
    <w:p w14:paraId="2CDDAC8B">
      <w:pPr>
        <w:spacing w:line="400" w:lineRule="exact"/>
        <w:ind w:firstLine="3935" w:firstLineChars="1400"/>
      </w:pPr>
      <w:r>
        <w:rPr>
          <w:rFonts w:hint="eastAsia" w:ascii="宋体" w:hAnsi="宋体"/>
          <w:b/>
          <w:sz w:val="28"/>
          <w:szCs w:val="28"/>
        </w:rPr>
        <w:t>（格式自拟）</w:t>
      </w:r>
    </w:p>
    <w:p w14:paraId="6F131AD3">
      <w:pPr>
        <w:pageBreakBefore w:val="0"/>
        <w:widowControl w:val="0"/>
        <w:overflowPunct/>
        <w:bidi w:val="0"/>
        <w:rPr>
          <w:rFonts w:hint="eastAsia" w:ascii="宋体" w:hAnsi="宋体" w:eastAsia="宋体" w:cs="宋体"/>
          <w:b/>
          <w:color w:val="auto"/>
          <w:spacing w:val="0"/>
          <w:kern w:val="2"/>
          <w:position w:val="0"/>
          <w:sz w:val="28"/>
          <w:szCs w:val="28"/>
          <w:highlight w:val="none"/>
          <w:lang w:val="en-US" w:eastAsia="zh-CN" w:bidi="ar-SA"/>
        </w:rPr>
      </w:pPr>
      <w:r>
        <w:rPr>
          <w:rFonts w:hint="eastAsia" w:ascii="宋体" w:hAnsi="宋体" w:cs="宋体"/>
        </w:rPr>
        <w:br w:type="page"/>
      </w:r>
      <w:r>
        <w:rPr>
          <w:rFonts w:hint="eastAsia" w:ascii="宋体" w:hAnsi="宋体" w:eastAsia="宋体" w:cs="宋体"/>
          <w:b/>
          <w:color w:val="auto"/>
          <w:spacing w:val="0"/>
          <w:kern w:val="2"/>
          <w:position w:val="0"/>
          <w:sz w:val="28"/>
          <w:szCs w:val="28"/>
          <w:highlight w:val="none"/>
          <w:lang w:val="en-US" w:eastAsia="zh-CN" w:bidi="ar-SA"/>
        </w:rPr>
        <w:t>附件：</w:t>
      </w:r>
    </w:p>
    <w:p w14:paraId="74BA1783">
      <w:pPr>
        <w:pageBreakBefore w:val="0"/>
        <w:widowControl w:val="0"/>
        <w:overflowPunct/>
        <w:bidi w:val="0"/>
        <w:ind w:firstLine="843" w:firstLineChars="300"/>
        <w:rPr>
          <w:rFonts w:hint="eastAsia" w:ascii="宋体" w:hAnsi="宋体" w:eastAsia="宋体" w:cs="宋体"/>
          <w:b/>
          <w:color w:val="auto"/>
          <w:spacing w:val="0"/>
          <w:kern w:val="2"/>
          <w:position w:val="0"/>
          <w:sz w:val="28"/>
          <w:szCs w:val="28"/>
          <w:highlight w:val="none"/>
          <w:lang w:val="en-US" w:eastAsia="zh-CN" w:bidi="ar-SA"/>
        </w:rPr>
      </w:pPr>
      <w:r>
        <w:rPr>
          <w:rFonts w:hint="eastAsia" w:ascii="宋体" w:hAnsi="宋体" w:eastAsia="宋体" w:cs="宋体"/>
          <w:b/>
          <w:color w:val="auto"/>
          <w:spacing w:val="0"/>
          <w:kern w:val="2"/>
          <w:position w:val="0"/>
          <w:sz w:val="28"/>
          <w:szCs w:val="28"/>
          <w:highlight w:val="none"/>
          <w:lang w:val="en-US" w:eastAsia="zh-CN" w:bidi="ar-SA"/>
        </w:rPr>
        <w:t>陕西省政府采购供应商拒绝政府采购领域商业贿赂承诺书</w:t>
      </w:r>
    </w:p>
    <w:p w14:paraId="162F9866">
      <w:pPr>
        <w:pageBreakBefore w:val="0"/>
        <w:widowControl w:val="0"/>
        <w:overflowPunct/>
        <w:bidi w:val="0"/>
        <w:spacing w:line="255" w:lineRule="auto"/>
        <w:rPr>
          <w:rFonts w:ascii="Arial"/>
          <w:color w:val="auto"/>
          <w:spacing w:val="0"/>
          <w:position w:val="0"/>
          <w:sz w:val="21"/>
          <w:highlight w:val="none"/>
        </w:rPr>
      </w:pPr>
    </w:p>
    <w:p w14:paraId="568774A6">
      <w:pPr>
        <w:pStyle w:val="3"/>
        <w:keepNext w:val="0"/>
        <w:keepLines w:val="0"/>
        <w:pageBreakBefore w:val="0"/>
        <w:widowControl w:val="0"/>
        <w:kinsoku/>
        <w:wordWrap/>
        <w:overflowPunct/>
        <w:topLinePunct w:val="0"/>
        <w:autoSpaceDE/>
        <w:autoSpaceDN/>
        <w:bidi w:val="0"/>
        <w:adjustRightInd/>
        <w:snapToGrid/>
        <w:spacing w:before="78" w:line="360" w:lineRule="auto"/>
        <w:ind w:left="39" w:right="21" w:firstLine="696"/>
        <w:jc w:val="both"/>
        <w:textAlignment w:val="auto"/>
        <w:rPr>
          <w:color w:val="auto"/>
          <w:spacing w:val="0"/>
          <w:position w:val="0"/>
          <w:sz w:val="24"/>
          <w:szCs w:val="24"/>
          <w:highlight w:val="none"/>
        </w:rPr>
      </w:pPr>
      <w:r>
        <w:rPr>
          <w:color w:val="auto"/>
          <w:spacing w:val="0"/>
          <w:position w:val="0"/>
          <w:sz w:val="24"/>
          <w:szCs w:val="24"/>
          <w:highlight w:val="none"/>
        </w:rPr>
        <w:t>为响应党中央、国务院关于治理政府采购领域商业贿赂行为的号召，我公司在此庄严承诺：</w:t>
      </w:r>
    </w:p>
    <w:p w14:paraId="57B0AC9E">
      <w:pPr>
        <w:pStyle w:val="3"/>
        <w:keepNext w:val="0"/>
        <w:keepLines w:val="0"/>
        <w:pageBreakBefore w:val="0"/>
        <w:widowControl w:val="0"/>
        <w:kinsoku/>
        <w:wordWrap/>
        <w:overflowPunct/>
        <w:topLinePunct w:val="0"/>
        <w:autoSpaceDE/>
        <w:autoSpaceDN/>
        <w:bidi w:val="0"/>
        <w:adjustRightInd/>
        <w:snapToGrid/>
        <w:spacing w:before="35" w:line="360" w:lineRule="auto"/>
        <w:ind w:left="529"/>
        <w:jc w:val="both"/>
        <w:textAlignment w:val="auto"/>
        <w:rPr>
          <w:color w:val="auto"/>
          <w:spacing w:val="0"/>
          <w:position w:val="0"/>
          <w:sz w:val="24"/>
          <w:szCs w:val="24"/>
          <w:highlight w:val="none"/>
        </w:rPr>
      </w:pPr>
      <w:r>
        <w:rPr>
          <w:color w:val="auto"/>
          <w:spacing w:val="0"/>
          <w:position w:val="0"/>
          <w:sz w:val="24"/>
          <w:szCs w:val="24"/>
          <w:highlight w:val="none"/>
        </w:rPr>
        <w:t>1、在参与政府采购活动中遵纪守法、诚信经营、公平竞标。</w:t>
      </w:r>
    </w:p>
    <w:p w14:paraId="5A46378F">
      <w:pPr>
        <w:pStyle w:val="3"/>
        <w:keepNext w:val="0"/>
        <w:keepLines w:val="0"/>
        <w:pageBreakBefore w:val="0"/>
        <w:widowControl w:val="0"/>
        <w:kinsoku/>
        <w:wordWrap/>
        <w:overflowPunct/>
        <w:topLinePunct w:val="0"/>
        <w:autoSpaceDE/>
        <w:autoSpaceDN/>
        <w:bidi w:val="0"/>
        <w:adjustRightInd/>
        <w:snapToGrid/>
        <w:spacing w:before="179" w:line="360" w:lineRule="auto"/>
        <w:ind w:left="51" w:right="24" w:firstLine="463"/>
        <w:jc w:val="both"/>
        <w:textAlignment w:val="auto"/>
        <w:rPr>
          <w:color w:val="auto"/>
          <w:spacing w:val="0"/>
          <w:position w:val="0"/>
          <w:sz w:val="24"/>
          <w:szCs w:val="24"/>
          <w:highlight w:val="none"/>
        </w:rPr>
      </w:pPr>
      <w:r>
        <w:rPr>
          <w:color w:val="auto"/>
          <w:spacing w:val="0"/>
          <w:position w:val="0"/>
          <w:sz w:val="24"/>
          <w:szCs w:val="24"/>
          <w:highlight w:val="none"/>
        </w:rPr>
        <w:t>2、不向政府采购单位、采购代理机构和政府采购评审专家进行任何形式的商业贿赂以谋取交易机会。</w:t>
      </w:r>
    </w:p>
    <w:p w14:paraId="7C9377F5">
      <w:pPr>
        <w:pStyle w:val="3"/>
        <w:keepNext w:val="0"/>
        <w:keepLines w:val="0"/>
        <w:pageBreakBefore w:val="0"/>
        <w:widowControl w:val="0"/>
        <w:numPr>
          <w:ilvl w:val="0"/>
          <w:numId w:val="0"/>
        </w:numPr>
        <w:kinsoku/>
        <w:wordWrap/>
        <w:overflowPunct/>
        <w:topLinePunct w:val="0"/>
        <w:autoSpaceDE/>
        <w:autoSpaceDN/>
        <w:bidi w:val="0"/>
        <w:adjustRightInd/>
        <w:snapToGrid/>
        <w:spacing w:before="180" w:line="360" w:lineRule="auto"/>
        <w:ind w:leftChars="0" w:right="24" w:rightChars="0" w:firstLine="480" w:firstLineChars="200"/>
        <w:jc w:val="both"/>
        <w:textAlignment w:val="auto"/>
        <w:rPr>
          <w:color w:val="auto"/>
          <w:spacing w:val="0"/>
          <w:position w:val="0"/>
          <w:sz w:val="24"/>
          <w:szCs w:val="24"/>
          <w:highlight w:val="none"/>
        </w:rPr>
      </w:pPr>
      <w:r>
        <w:rPr>
          <w:rFonts w:hint="eastAsia"/>
          <w:color w:val="auto"/>
          <w:spacing w:val="0"/>
          <w:position w:val="0"/>
          <w:sz w:val="24"/>
          <w:szCs w:val="24"/>
          <w:highlight w:val="none"/>
          <w:lang w:val="en-US" w:eastAsia="zh-CN"/>
        </w:rPr>
        <w:t>3、</w:t>
      </w:r>
      <w:r>
        <w:rPr>
          <w:color w:val="auto"/>
          <w:spacing w:val="0"/>
          <w:position w:val="0"/>
          <w:sz w:val="24"/>
          <w:szCs w:val="24"/>
          <w:highlight w:val="none"/>
        </w:rPr>
        <w:t>不向政府采购代理机构和采购单位提供虚假资质文件或采用虚假应</w:t>
      </w:r>
    </w:p>
    <w:p w14:paraId="62D4D08F">
      <w:pPr>
        <w:pStyle w:val="3"/>
        <w:keepNext w:val="0"/>
        <w:keepLines w:val="0"/>
        <w:pageBreakBefore w:val="0"/>
        <w:widowControl w:val="0"/>
        <w:numPr>
          <w:ilvl w:val="0"/>
          <w:numId w:val="0"/>
        </w:numPr>
        <w:kinsoku/>
        <w:wordWrap/>
        <w:overflowPunct/>
        <w:topLinePunct w:val="0"/>
        <w:autoSpaceDE/>
        <w:autoSpaceDN/>
        <w:bidi w:val="0"/>
        <w:adjustRightInd/>
        <w:snapToGrid/>
        <w:spacing w:before="180" w:line="360" w:lineRule="auto"/>
        <w:ind w:leftChars="0" w:right="24" w:rightChars="0"/>
        <w:jc w:val="both"/>
        <w:textAlignment w:val="auto"/>
        <w:rPr>
          <w:color w:val="auto"/>
          <w:spacing w:val="0"/>
          <w:position w:val="0"/>
          <w:sz w:val="24"/>
          <w:szCs w:val="24"/>
          <w:highlight w:val="none"/>
        </w:rPr>
      </w:pPr>
      <w:r>
        <w:rPr>
          <w:color w:val="auto"/>
          <w:spacing w:val="0"/>
          <w:position w:val="0"/>
          <w:sz w:val="24"/>
          <w:szCs w:val="24"/>
          <w:highlight w:val="none"/>
        </w:rPr>
        <w:t>标方式参与政府采购市场竞争并谋取中标。</w:t>
      </w:r>
    </w:p>
    <w:p w14:paraId="2883D4E9">
      <w:pPr>
        <w:pStyle w:val="3"/>
        <w:keepNext w:val="0"/>
        <w:keepLines w:val="0"/>
        <w:pageBreakBefore w:val="0"/>
        <w:widowControl w:val="0"/>
        <w:kinsoku/>
        <w:wordWrap/>
        <w:overflowPunct/>
        <w:topLinePunct w:val="0"/>
        <w:autoSpaceDE/>
        <w:autoSpaceDN/>
        <w:bidi w:val="0"/>
        <w:adjustRightInd/>
        <w:snapToGrid/>
        <w:spacing w:before="181" w:line="360" w:lineRule="auto"/>
        <w:ind w:left="510"/>
        <w:jc w:val="both"/>
        <w:textAlignment w:val="auto"/>
        <w:rPr>
          <w:color w:val="auto"/>
          <w:spacing w:val="0"/>
          <w:position w:val="0"/>
          <w:sz w:val="24"/>
          <w:szCs w:val="24"/>
          <w:highlight w:val="none"/>
        </w:rPr>
      </w:pPr>
      <w:r>
        <w:rPr>
          <w:color w:val="auto"/>
          <w:spacing w:val="0"/>
          <w:position w:val="0"/>
          <w:sz w:val="24"/>
          <w:szCs w:val="24"/>
          <w:highlight w:val="none"/>
        </w:rPr>
        <w:t>4、不采取</w:t>
      </w:r>
      <w:r>
        <w:rPr>
          <w:rFonts w:hint="eastAsia"/>
          <w:color w:val="auto"/>
          <w:spacing w:val="0"/>
          <w:position w:val="0"/>
          <w:sz w:val="24"/>
          <w:szCs w:val="24"/>
          <w:highlight w:val="none"/>
          <w:lang w:eastAsia="zh-CN"/>
        </w:rPr>
        <w:t>“</w:t>
      </w:r>
      <w:r>
        <w:rPr>
          <w:color w:val="auto"/>
          <w:spacing w:val="0"/>
          <w:position w:val="0"/>
          <w:sz w:val="24"/>
          <w:szCs w:val="24"/>
          <w:highlight w:val="none"/>
        </w:rPr>
        <w:t>围标、陪标</w:t>
      </w:r>
      <w:r>
        <w:rPr>
          <w:rFonts w:hint="eastAsia"/>
          <w:color w:val="auto"/>
          <w:spacing w:val="0"/>
          <w:position w:val="0"/>
          <w:sz w:val="24"/>
          <w:szCs w:val="24"/>
          <w:highlight w:val="none"/>
          <w:lang w:eastAsia="zh-CN"/>
        </w:rPr>
        <w:t>”</w:t>
      </w:r>
      <w:r>
        <w:rPr>
          <w:color w:val="auto"/>
          <w:spacing w:val="0"/>
          <w:position w:val="0"/>
          <w:sz w:val="24"/>
          <w:szCs w:val="24"/>
          <w:highlight w:val="none"/>
        </w:rPr>
        <w:t>等商业欺诈手段获得政府采购订单。</w:t>
      </w:r>
    </w:p>
    <w:p w14:paraId="33542B81">
      <w:pPr>
        <w:pStyle w:val="3"/>
        <w:keepNext w:val="0"/>
        <w:keepLines w:val="0"/>
        <w:pageBreakBefore w:val="0"/>
        <w:widowControl w:val="0"/>
        <w:kinsoku/>
        <w:wordWrap/>
        <w:overflowPunct/>
        <w:topLinePunct w:val="0"/>
        <w:autoSpaceDE/>
        <w:autoSpaceDN/>
        <w:bidi w:val="0"/>
        <w:adjustRightInd/>
        <w:snapToGrid/>
        <w:spacing w:before="183" w:line="360" w:lineRule="auto"/>
        <w:ind w:left="516"/>
        <w:jc w:val="both"/>
        <w:textAlignment w:val="auto"/>
        <w:rPr>
          <w:color w:val="auto"/>
          <w:spacing w:val="0"/>
          <w:position w:val="0"/>
          <w:sz w:val="24"/>
          <w:szCs w:val="24"/>
          <w:highlight w:val="none"/>
        </w:rPr>
      </w:pPr>
      <w:r>
        <w:rPr>
          <w:color w:val="auto"/>
          <w:spacing w:val="0"/>
          <w:position w:val="0"/>
          <w:sz w:val="24"/>
          <w:szCs w:val="24"/>
          <w:highlight w:val="none"/>
        </w:rPr>
        <w:t>5、不采取不正当手段诋毁、排挤其他投标单位。</w:t>
      </w:r>
    </w:p>
    <w:p w14:paraId="589A6D68">
      <w:pPr>
        <w:pStyle w:val="3"/>
        <w:keepNext w:val="0"/>
        <w:keepLines w:val="0"/>
        <w:pageBreakBefore w:val="0"/>
        <w:widowControl w:val="0"/>
        <w:kinsoku/>
        <w:wordWrap/>
        <w:overflowPunct/>
        <w:topLinePunct w:val="0"/>
        <w:autoSpaceDE/>
        <w:autoSpaceDN/>
        <w:bidi w:val="0"/>
        <w:adjustRightInd/>
        <w:snapToGrid/>
        <w:spacing w:before="181" w:line="360" w:lineRule="auto"/>
        <w:ind w:right="21" w:firstLine="480" w:firstLineChars="200"/>
        <w:jc w:val="both"/>
        <w:textAlignment w:val="auto"/>
        <w:rPr>
          <w:color w:val="auto"/>
          <w:spacing w:val="0"/>
          <w:position w:val="0"/>
          <w:sz w:val="24"/>
          <w:szCs w:val="24"/>
          <w:highlight w:val="none"/>
        </w:rPr>
      </w:pPr>
      <w:r>
        <w:rPr>
          <w:color w:val="auto"/>
          <w:spacing w:val="0"/>
          <w:position w:val="0"/>
          <w:sz w:val="24"/>
          <w:szCs w:val="24"/>
          <w:highlight w:val="none"/>
        </w:rPr>
        <w:t>6、不在提供商品和服务时</w:t>
      </w:r>
      <w:r>
        <w:rPr>
          <w:rFonts w:hint="eastAsia"/>
          <w:color w:val="auto"/>
          <w:spacing w:val="0"/>
          <w:position w:val="0"/>
          <w:sz w:val="24"/>
          <w:szCs w:val="24"/>
          <w:highlight w:val="none"/>
          <w:lang w:eastAsia="zh-CN"/>
        </w:rPr>
        <w:t>“</w:t>
      </w:r>
      <w:r>
        <w:rPr>
          <w:color w:val="auto"/>
          <w:spacing w:val="0"/>
          <w:position w:val="0"/>
          <w:sz w:val="24"/>
          <w:szCs w:val="24"/>
          <w:highlight w:val="none"/>
        </w:rPr>
        <w:t>偷梁换柱、以次充好</w:t>
      </w:r>
      <w:r>
        <w:rPr>
          <w:rFonts w:hint="eastAsia"/>
          <w:color w:val="auto"/>
          <w:spacing w:val="0"/>
          <w:position w:val="0"/>
          <w:sz w:val="24"/>
          <w:szCs w:val="24"/>
          <w:highlight w:val="none"/>
          <w:lang w:eastAsia="zh-CN"/>
        </w:rPr>
        <w:t>”</w:t>
      </w:r>
      <w:r>
        <w:rPr>
          <w:color w:val="auto"/>
          <w:spacing w:val="0"/>
          <w:position w:val="0"/>
          <w:sz w:val="24"/>
          <w:szCs w:val="24"/>
          <w:highlight w:val="none"/>
        </w:rPr>
        <w:t>损害采购单位的合法权益。</w:t>
      </w:r>
    </w:p>
    <w:p w14:paraId="10AF7B70">
      <w:pPr>
        <w:pStyle w:val="3"/>
        <w:keepNext w:val="0"/>
        <w:keepLines w:val="0"/>
        <w:pageBreakBefore w:val="0"/>
        <w:widowControl w:val="0"/>
        <w:numPr>
          <w:ilvl w:val="0"/>
          <w:numId w:val="0"/>
        </w:numPr>
        <w:kinsoku/>
        <w:wordWrap/>
        <w:overflowPunct/>
        <w:topLinePunct w:val="0"/>
        <w:autoSpaceDE/>
        <w:autoSpaceDN/>
        <w:bidi w:val="0"/>
        <w:adjustRightInd/>
        <w:snapToGrid/>
        <w:spacing w:before="178" w:line="360" w:lineRule="auto"/>
        <w:ind w:leftChars="0" w:right="24" w:rightChars="0" w:firstLine="480" w:firstLineChars="200"/>
        <w:jc w:val="both"/>
        <w:textAlignment w:val="auto"/>
        <w:rPr>
          <w:color w:val="auto"/>
          <w:spacing w:val="0"/>
          <w:position w:val="0"/>
          <w:sz w:val="24"/>
          <w:szCs w:val="24"/>
          <w:highlight w:val="none"/>
        </w:rPr>
      </w:pPr>
      <w:r>
        <w:rPr>
          <w:rFonts w:hint="eastAsia"/>
          <w:color w:val="auto"/>
          <w:spacing w:val="0"/>
          <w:position w:val="0"/>
          <w:sz w:val="24"/>
          <w:szCs w:val="24"/>
          <w:highlight w:val="none"/>
          <w:lang w:val="en-US" w:eastAsia="zh-CN"/>
        </w:rPr>
        <w:t>7、</w:t>
      </w:r>
      <w:r>
        <w:rPr>
          <w:color w:val="auto"/>
          <w:spacing w:val="0"/>
          <w:position w:val="0"/>
          <w:sz w:val="24"/>
          <w:szCs w:val="24"/>
          <w:highlight w:val="none"/>
        </w:rPr>
        <w:t>不与采购单位、采购代理机构政府采购评审专家或其它投标单位恶意串通，进行质疑和投诉，维护政府采购市场秩序。</w:t>
      </w:r>
    </w:p>
    <w:p w14:paraId="489E361F">
      <w:pPr>
        <w:pStyle w:val="3"/>
        <w:keepNext w:val="0"/>
        <w:keepLines w:val="0"/>
        <w:pageBreakBefore w:val="0"/>
        <w:widowControl w:val="0"/>
        <w:kinsoku/>
        <w:wordWrap/>
        <w:overflowPunct/>
        <w:topLinePunct w:val="0"/>
        <w:autoSpaceDE/>
        <w:autoSpaceDN/>
        <w:bidi w:val="0"/>
        <w:adjustRightInd/>
        <w:snapToGrid/>
        <w:spacing w:before="180" w:line="360" w:lineRule="auto"/>
        <w:ind w:left="29" w:right="24" w:firstLine="482"/>
        <w:jc w:val="left"/>
        <w:textAlignment w:val="auto"/>
        <w:rPr>
          <w:color w:val="auto"/>
          <w:spacing w:val="0"/>
          <w:position w:val="0"/>
          <w:sz w:val="24"/>
          <w:szCs w:val="24"/>
          <w:highlight w:val="none"/>
        </w:rPr>
      </w:pPr>
      <w:r>
        <w:rPr>
          <w:color w:val="auto"/>
          <w:spacing w:val="0"/>
          <w:position w:val="0"/>
          <w:sz w:val="24"/>
          <w:szCs w:val="24"/>
          <w:highlight w:val="none"/>
        </w:rPr>
        <w:t>8、尊重和接受政府采购监督管理部门的监督和政府采购代理机构招标采购要求，承担因违约行为给采购单位造成的损失。</w:t>
      </w:r>
    </w:p>
    <w:p w14:paraId="636907A2">
      <w:pPr>
        <w:pStyle w:val="3"/>
        <w:keepNext w:val="0"/>
        <w:keepLines w:val="0"/>
        <w:pageBreakBefore w:val="0"/>
        <w:widowControl w:val="0"/>
        <w:kinsoku/>
        <w:wordWrap/>
        <w:overflowPunct/>
        <w:topLinePunct w:val="0"/>
        <w:autoSpaceDE/>
        <w:autoSpaceDN/>
        <w:bidi w:val="0"/>
        <w:adjustRightInd/>
        <w:snapToGrid/>
        <w:spacing w:before="181" w:line="360" w:lineRule="auto"/>
        <w:ind w:left="512"/>
        <w:jc w:val="left"/>
        <w:textAlignment w:val="auto"/>
        <w:rPr>
          <w:color w:val="auto"/>
          <w:spacing w:val="0"/>
          <w:position w:val="0"/>
          <w:sz w:val="24"/>
          <w:szCs w:val="24"/>
          <w:highlight w:val="none"/>
        </w:rPr>
      </w:pPr>
      <w:r>
        <w:rPr>
          <w:color w:val="auto"/>
          <w:spacing w:val="0"/>
          <w:position w:val="0"/>
          <w:sz w:val="24"/>
          <w:szCs w:val="24"/>
          <w:highlight w:val="none"/>
        </w:rPr>
        <w:t>9、不发生其他有悖于政府采购公开、公平、公正和诚信原则的行为。</w:t>
      </w:r>
    </w:p>
    <w:p w14:paraId="321763B0">
      <w:pPr>
        <w:pageBreakBefore w:val="0"/>
        <w:widowControl w:val="0"/>
        <w:overflowPunct/>
        <w:bidi w:val="0"/>
        <w:spacing w:line="271" w:lineRule="auto"/>
        <w:rPr>
          <w:rFonts w:ascii="Arial"/>
          <w:color w:val="auto"/>
          <w:spacing w:val="0"/>
          <w:position w:val="0"/>
          <w:sz w:val="21"/>
          <w:highlight w:val="none"/>
        </w:rPr>
      </w:pPr>
    </w:p>
    <w:p w14:paraId="1263072D">
      <w:pPr>
        <w:pageBreakBefore w:val="0"/>
        <w:widowControl w:val="0"/>
        <w:overflowPunct/>
        <w:bidi w:val="0"/>
        <w:spacing w:line="271" w:lineRule="auto"/>
        <w:rPr>
          <w:rFonts w:ascii="Arial"/>
          <w:color w:val="auto"/>
          <w:spacing w:val="0"/>
          <w:position w:val="0"/>
          <w:sz w:val="21"/>
          <w:highlight w:val="none"/>
        </w:rPr>
      </w:pPr>
    </w:p>
    <w:p w14:paraId="174BD83B">
      <w:pPr>
        <w:pStyle w:val="3"/>
        <w:pageBreakBefore w:val="0"/>
        <w:widowControl w:val="0"/>
        <w:overflowPunct/>
        <w:bidi w:val="0"/>
        <w:spacing w:before="78" w:line="219" w:lineRule="auto"/>
        <w:ind w:left="31"/>
        <w:rPr>
          <w:color w:val="auto"/>
          <w:spacing w:val="0"/>
          <w:position w:val="0"/>
          <w:sz w:val="24"/>
          <w:szCs w:val="24"/>
          <w:highlight w:val="none"/>
        </w:rPr>
      </w:pPr>
      <w:r>
        <w:rPr>
          <w:rFonts w:hint="eastAsia"/>
          <w:color w:val="auto"/>
          <w:spacing w:val="0"/>
          <w:position w:val="0"/>
          <w:sz w:val="24"/>
          <w:szCs w:val="24"/>
          <w:highlight w:val="none"/>
          <w:lang w:val="en-US" w:eastAsia="zh-CN"/>
        </w:rPr>
        <w:t xml:space="preserve">                          </w:t>
      </w:r>
      <w:r>
        <w:rPr>
          <w:color w:val="auto"/>
          <w:spacing w:val="0"/>
          <w:position w:val="0"/>
          <w:sz w:val="24"/>
          <w:szCs w:val="24"/>
          <w:highlight w:val="none"/>
        </w:rPr>
        <w:t>承诺单位：</w:t>
      </w:r>
      <w:r>
        <w:rPr>
          <w:rFonts w:hint="eastAsia"/>
          <w:color w:val="auto"/>
          <w:spacing w:val="0"/>
          <w:position w:val="0"/>
          <w:sz w:val="24"/>
          <w:szCs w:val="24"/>
          <w:highlight w:val="none"/>
          <w:u w:val="single"/>
          <w:lang w:val="en-US" w:eastAsia="zh-CN"/>
        </w:rPr>
        <w:t xml:space="preserve">                        </w:t>
      </w:r>
      <w:r>
        <w:rPr>
          <w:color w:val="auto"/>
          <w:spacing w:val="0"/>
          <w:position w:val="0"/>
          <w:sz w:val="24"/>
          <w:szCs w:val="24"/>
          <w:highlight w:val="none"/>
        </w:rPr>
        <w:t>（公章）</w:t>
      </w:r>
    </w:p>
    <w:p w14:paraId="5FF4352C">
      <w:pPr>
        <w:pStyle w:val="3"/>
        <w:pageBreakBefore w:val="0"/>
        <w:widowControl w:val="0"/>
        <w:overflowPunct/>
        <w:bidi w:val="0"/>
        <w:spacing w:before="174" w:line="219" w:lineRule="auto"/>
        <w:ind w:left="32"/>
        <w:rPr>
          <w:color w:val="auto"/>
          <w:spacing w:val="0"/>
          <w:position w:val="0"/>
          <w:sz w:val="24"/>
          <w:szCs w:val="24"/>
          <w:highlight w:val="none"/>
        </w:rPr>
      </w:pPr>
      <w:r>
        <w:rPr>
          <w:rFonts w:hint="eastAsia"/>
          <w:color w:val="auto"/>
          <w:spacing w:val="0"/>
          <w:position w:val="0"/>
          <w:sz w:val="24"/>
          <w:szCs w:val="24"/>
          <w:highlight w:val="none"/>
          <w:lang w:val="en-US" w:eastAsia="zh-CN"/>
        </w:rPr>
        <w:t xml:space="preserve">                     </w:t>
      </w:r>
      <w:r>
        <w:rPr>
          <w:color w:val="auto"/>
          <w:spacing w:val="0"/>
          <w:position w:val="0"/>
          <w:sz w:val="24"/>
          <w:szCs w:val="24"/>
          <w:highlight w:val="none"/>
        </w:rPr>
        <w:t>法定代表人或授权委托人：</w:t>
      </w:r>
      <w:r>
        <w:rPr>
          <w:rFonts w:hint="eastAsia"/>
          <w:color w:val="auto"/>
          <w:spacing w:val="0"/>
          <w:position w:val="0"/>
          <w:sz w:val="24"/>
          <w:szCs w:val="24"/>
          <w:highlight w:val="none"/>
          <w:u w:val="single"/>
          <w:lang w:val="en-US" w:eastAsia="zh-CN"/>
        </w:rPr>
        <w:t xml:space="preserve">          </w:t>
      </w:r>
      <w:r>
        <w:rPr>
          <w:color w:val="auto"/>
          <w:spacing w:val="0"/>
          <w:position w:val="0"/>
          <w:sz w:val="24"/>
          <w:szCs w:val="24"/>
          <w:highlight w:val="none"/>
        </w:rPr>
        <w:t>（签字或盖章）</w:t>
      </w:r>
    </w:p>
    <w:p w14:paraId="7B8605F9">
      <w:pPr>
        <w:pStyle w:val="3"/>
        <w:pageBreakBefore w:val="0"/>
        <w:widowControl w:val="0"/>
        <w:overflowPunct/>
        <w:bidi w:val="0"/>
        <w:spacing w:before="34" w:line="220" w:lineRule="auto"/>
        <w:ind w:left="6395"/>
        <w:rPr>
          <w:color w:val="auto"/>
          <w:spacing w:val="0"/>
          <w:position w:val="0"/>
          <w:sz w:val="24"/>
          <w:szCs w:val="24"/>
          <w:highlight w:val="none"/>
        </w:rPr>
      </w:pPr>
    </w:p>
    <w:p w14:paraId="576999BF">
      <w:pPr>
        <w:pStyle w:val="3"/>
        <w:pageBreakBefore w:val="0"/>
        <w:widowControl w:val="0"/>
        <w:overflowPunct/>
        <w:bidi w:val="0"/>
        <w:spacing w:before="34" w:line="220" w:lineRule="auto"/>
        <w:ind w:left="6395"/>
        <w:rPr>
          <w:color w:val="auto"/>
          <w:spacing w:val="0"/>
          <w:position w:val="0"/>
          <w:sz w:val="24"/>
          <w:szCs w:val="24"/>
          <w:highlight w:val="none"/>
        </w:rPr>
      </w:pPr>
      <w:r>
        <w:rPr>
          <w:color w:val="auto"/>
          <w:spacing w:val="0"/>
          <w:position w:val="0"/>
          <w:sz w:val="24"/>
          <w:szCs w:val="24"/>
          <w:highlight w:val="none"/>
        </w:rPr>
        <w:t>年   月   日</w:t>
      </w:r>
    </w:p>
    <w:p w14:paraId="75C2FAA3">
      <w:pPr>
        <w:pStyle w:val="3"/>
        <w:pageBreakBefore w:val="0"/>
        <w:widowControl w:val="0"/>
        <w:overflowPunct/>
        <w:bidi w:val="0"/>
        <w:spacing w:before="34" w:line="220" w:lineRule="auto"/>
        <w:ind w:left="6395"/>
        <w:rPr>
          <w:color w:val="auto"/>
          <w:spacing w:val="0"/>
          <w:position w:val="0"/>
          <w:sz w:val="24"/>
          <w:szCs w:val="24"/>
          <w:highlight w:val="none"/>
        </w:rPr>
        <w:sectPr>
          <w:footerReference r:id="rId3" w:type="default"/>
          <w:pgSz w:w="11906" w:h="16838"/>
          <w:pgMar w:top="1440" w:right="1418" w:bottom="1440" w:left="1418" w:header="851" w:footer="992" w:gutter="0"/>
          <w:pgNumType w:fmt="decimal"/>
          <w:cols w:space="720" w:num="1"/>
          <w:docGrid w:type="lines" w:linePitch="312" w:charSpace="0"/>
        </w:sectPr>
      </w:pPr>
    </w:p>
    <w:p w14:paraId="3834CFAF">
      <w:pPr>
        <w:pStyle w:val="3"/>
        <w:spacing w:line="500" w:lineRule="exact"/>
        <w:rPr>
          <w:rFonts w:hint="eastAsia" w:ascii="宋体" w:hAnsi="宋体" w:cs="楷体"/>
          <w:b/>
          <w:bCs/>
          <w:color w:val="auto"/>
        </w:rPr>
      </w:pPr>
      <w:r>
        <w:rPr>
          <w:rFonts w:hint="eastAsia" w:ascii="宋体" w:hAnsi="宋体" w:cs="楷体"/>
          <w:b/>
          <w:bCs/>
          <w:color w:val="auto"/>
        </w:rPr>
        <w:t>附件：</w:t>
      </w:r>
      <w:bookmarkStart w:id="0" w:name="bookmark5"/>
      <w:bookmarkStart w:id="1" w:name="bookmark3"/>
      <w:bookmarkStart w:id="2" w:name="bookmark4"/>
      <w:r>
        <w:rPr>
          <w:rFonts w:hint="eastAsia" w:ascii="宋体" w:hAnsi="宋体" w:cs="楷体"/>
          <w:b/>
          <w:bCs/>
          <w:color w:val="auto"/>
        </w:rPr>
        <w:t>西安市长安区财政局关于进一步做好政采贷工作的通知</w:t>
      </w:r>
      <w:bookmarkEnd w:id="0"/>
      <w:bookmarkEnd w:id="1"/>
      <w:bookmarkEnd w:id="2"/>
    </w:p>
    <w:p w14:paraId="0BFDBCF8">
      <w:pPr>
        <w:tabs>
          <w:tab w:val="left" w:pos="840"/>
        </w:tabs>
        <w:kinsoku w:val="0"/>
        <w:spacing w:line="500" w:lineRule="exact"/>
        <w:ind w:firstLine="480" w:firstLineChars="200"/>
        <w:rPr>
          <w:rFonts w:ascii="宋体" w:hAnsi="宋体" w:cs="楷体"/>
          <w:sz w:val="24"/>
        </w:rPr>
      </w:pPr>
      <w:r>
        <w:rPr>
          <w:rFonts w:hint="eastAsia" w:ascii="宋体" w:hAnsi="宋体" w:cs="楷体"/>
          <w:sz w:val="24"/>
        </w:rPr>
        <w:t>为发挥政府采购促进中小企业发展的政策功能，西安市长安区财政局制定了《西安市长安区财政局关于进一步做好政采贷工作的通知》（长财字〔2021〕223号）。</w:t>
      </w:r>
    </w:p>
    <w:p w14:paraId="197EBE7F">
      <w:pPr>
        <w:pStyle w:val="8"/>
        <w:keepNext/>
        <w:keepLines/>
        <w:ind w:firstLine="480" w:firstLineChars="200"/>
        <w:jc w:val="left"/>
        <w:rPr>
          <w:rFonts w:hint="eastAsia" w:cs="楷体"/>
          <w:sz w:val="24"/>
          <w:szCs w:val="24"/>
          <w:lang w:val="en-US" w:eastAsia="zh-CN" w:bidi="ar-SA"/>
        </w:rPr>
      </w:pPr>
      <w:r>
        <w:rPr>
          <w:rFonts w:hint="eastAsia" w:cs="楷体"/>
          <w:sz w:val="24"/>
          <w:szCs w:val="24"/>
          <w:lang w:val="en-US" w:eastAsia="zh-CN" w:bidi="ar-SA"/>
        </w:rPr>
        <w:t>为进一步贯彻落实中央、省、市关于支持中小企业发展的政策措施，发挥政府采购政策导向作用，助力解决政府采购活动中供应商资金不足、融资难、融资贵等问题，根据《中华人民共和 国政府采购法》《陕西省中小企业政府采购信用融资办法》（陕 财办采〔2018〕23号）等有关规定，现就进一步做好</w:t>
      </w:r>
      <w:r>
        <w:rPr>
          <w:rFonts w:hint="eastAsia" w:cs="楷体"/>
          <w:sz w:val="24"/>
          <w:szCs w:val="24"/>
          <w:lang w:val="zh-CN" w:eastAsia="zh-CN" w:bidi="ar-SA"/>
        </w:rPr>
        <w:t>“政</w:t>
      </w:r>
      <w:r>
        <w:rPr>
          <w:rFonts w:hint="eastAsia" w:cs="楷体"/>
          <w:sz w:val="24"/>
          <w:szCs w:val="24"/>
          <w:lang w:val="en-US" w:eastAsia="zh-CN" w:bidi="ar-SA"/>
        </w:rPr>
        <w:t>采贷” 工作有关事项通知如下。</w:t>
      </w:r>
    </w:p>
    <w:p w14:paraId="743C1E96">
      <w:pPr>
        <w:rPr>
          <w:rFonts w:hint="eastAsia" w:ascii="宋体" w:hAnsi="宋体" w:cs="楷体"/>
          <w:sz w:val="24"/>
        </w:rPr>
      </w:pPr>
      <w:r>
        <w:rPr>
          <w:rFonts w:hint="eastAsia" w:ascii="宋体" w:hAnsi="宋体" w:cs="楷体"/>
          <w:sz w:val="24"/>
        </w:rPr>
        <w:t>一、</w:t>
      </w:r>
      <w:r>
        <w:rPr>
          <w:rFonts w:hint="eastAsia" w:ascii="宋体" w:hAnsi="宋体" w:cs="楷体"/>
          <w:sz w:val="24"/>
          <w:lang w:val="zh-CN"/>
        </w:rPr>
        <w:t>“政</w:t>
      </w:r>
      <w:r>
        <w:rPr>
          <w:rFonts w:hint="eastAsia" w:ascii="宋体" w:hAnsi="宋体" w:cs="楷体"/>
          <w:sz w:val="24"/>
        </w:rPr>
        <w:t>采贷</w:t>
      </w:r>
      <w:r>
        <w:rPr>
          <w:rFonts w:hint="eastAsia" w:ascii="宋体" w:hAnsi="宋体" w:cs="楷体"/>
          <w:sz w:val="24"/>
          <w:lang w:val="zh-CN"/>
        </w:rPr>
        <w:t>”概念</w:t>
      </w:r>
    </w:p>
    <w:p w14:paraId="3DC670E6">
      <w:pPr>
        <w:pStyle w:val="9"/>
        <w:spacing w:after="200" w:line="559" w:lineRule="exact"/>
        <w:ind w:firstLine="840"/>
        <w:jc w:val="left"/>
        <w:rPr>
          <w:rFonts w:hint="eastAsia"/>
          <w:sz w:val="24"/>
          <w:szCs w:val="24"/>
        </w:rPr>
      </w:pPr>
      <w:r>
        <w:rPr>
          <w:rFonts w:hint="eastAsia"/>
          <w:sz w:val="24"/>
          <w:szCs w:val="24"/>
          <w:lang w:val="zh-CN" w:eastAsia="zh-CN" w:bidi="zh-CN"/>
        </w:rPr>
        <w:t>“政采</w:t>
      </w:r>
      <w:r>
        <w:rPr>
          <w:rFonts w:hint="eastAsia"/>
          <w:sz w:val="24"/>
          <w:szCs w:val="24"/>
        </w:rPr>
        <w:t>贷”即政府采购供应商信用融资，是指银行以政府采 购供应商信用审查和政府采购信誉为基础，依托政府采购合同， 按优于一般企业的贷款程序和利率，直接向申请贷款的供应商发 放无财产抵押贷款的一种融资模式。（陕西政府采购供应商信用 融资信息服务平台网址为:</w:t>
      </w:r>
    </w:p>
    <w:p w14:paraId="73723BCC">
      <w:pPr>
        <w:pStyle w:val="10"/>
        <w:rPr>
          <w:rFonts w:hint="eastAsia" w:ascii="宋体" w:hAnsi="宋体" w:cs="宋体"/>
          <w:sz w:val="24"/>
          <w:szCs w:val="24"/>
        </w:rPr>
      </w:pPr>
      <w:r>
        <w:rPr>
          <w:rFonts w:hint="eastAsia" w:ascii="宋体" w:hAnsi="宋体" w:cs="宋体"/>
          <w:sz w:val="24"/>
          <w:szCs w:val="24"/>
          <w:lang w:eastAsia="en-US" w:bidi="en-US"/>
        </w:rPr>
        <w:t>http: //www. ccgp-shaanxi. gov. cn/zcdservice/zed/shanxi/ ）</w:t>
      </w:r>
    </w:p>
    <w:p w14:paraId="71C79934">
      <w:pPr>
        <w:pStyle w:val="9"/>
        <w:spacing w:line="560" w:lineRule="exact"/>
        <w:ind w:firstLine="420"/>
        <w:rPr>
          <w:rFonts w:hint="eastAsia"/>
          <w:sz w:val="24"/>
          <w:szCs w:val="24"/>
        </w:rPr>
      </w:pPr>
      <w:r>
        <w:rPr>
          <w:rFonts w:hint="eastAsia"/>
          <w:sz w:val="24"/>
          <w:szCs w:val="24"/>
        </w:rPr>
        <w:t>二、</w:t>
      </w:r>
      <w:r>
        <w:rPr>
          <w:rFonts w:hint="eastAsia"/>
          <w:sz w:val="24"/>
          <w:szCs w:val="24"/>
          <w:lang w:val="zh-CN" w:eastAsia="zh-CN" w:bidi="zh-CN"/>
        </w:rPr>
        <w:t>“政</w:t>
      </w:r>
      <w:r>
        <w:rPr>
          <w:rFonts w:hint="eastAsia"/>
          <w:sz w:val="24"/>
          <w:szCs w:val="24"/>
        </w:rPr>
        <w:t>采贷”流程</w:t>
      </w:r>
    </w:p>
    <w:p w14:paraId="44338EF9">
      <w:pPr>
        <w:pStyle w:val="9"/>
        <w:tabs>
          <w:tab w:val="left" w:pos="1395"/>
        </w:tabs>
        <w:spacing w:line="560" w:lineRule="exact"/>
        <w:ind w:firstLine="600"/>
        <w:rPr>
          <w:rFonts w:hint="eastAsia"/>
          <w:sz w:val="24"/>
          <w:szCs w:val="24"/>
        </w:rPr>
      </w:pPr>
      <w:bookmarkStart w:id="3" w:name="bookmark6"/>
      <w:r>
        <w:rPr>
          <w:rFonts w:hint="eastAsia"/>
          <w:sz w:val="24"/>
          <w:szCs w:val="24"/>
        </w:rPr>
        <w:t>（</w:t>
      </w:r>
      <w:bookmarkEnd w:id="3"/>
      <w:r>
        <w:rPr>
          <w:rFonts w:hint="eastAsia"/>
          <w:sz w:val="24"/>
          <w:szCs w:val="24"/>
        </w:rPr>
        <w:t>一）</w:t>
      </w:r>
      <w:r>
        <w:rPr>
          <w:rFonts w:hint="eastAsia"/>
          <w:sz w:val="24"/>
          <w:szCs w:val="24"/>
        </w:rPr>
        <w:tab/>
      </w:r>
      <w:r>
        <w:rPr>
          <w:rFonts w:hint="eastAsia"/>
          <w:sz w:val="24"/>
          <w:szCs w:val="24"/>
        </w:rPr>
        <w:t>有融资需求的供应商可根据陕西省政府采购网公示的银 行及其</w:t>
      </w:r>
      <w:r>
        <w:rPr>
          <w:rFonts w:hint="eastAsia"/>
          <w:sz w:val="24"/>
          <w:szCs w:val="24"/>
          <w:lang w:val="zh-CN" w:eastAsia="zh-CN" w:bidi="zh-CN"/>
        </w:rPr>
        <w:t>“政</w:t>
      </w:r>
      <w:r>
        <w:rPr>
          <w:rFonts w:hint="eastAsia"/>
          <w:sz w:val="24"/>
          <w:szCs w:val="24"/>
        </w:rPr>
        <w:t>釆贷”产品，自行选择符合自身情况的</w:t>
      </w:r>
      <w:r>
        <w:rPr>
          <w:rFonts w:hint="eastAsia"/>
          <w:sz w:val="24"/>
          <w:szCs w:val="24"/>
          <w:lang w:val="zh-CN" w:eastAsia="zh-CN" w:bidi="zh-CN"/>
        </w:rPr>
        <w:t>“政</w:t>
      </w:r>
      <w:r>
        <w:rPr>
          <w:rFonts w:hint="eastAsia"/>
          <w:sz w:val="24"/>
          <w:szCs w:val="24"/>
        </w:rPr>
        <w:t>采贷”银行及其产品，凭中标（成交）通知书向银行提出贷款意向申请。</w:t>
      </w:r>
    </w:p>
    <w:p w14:paraId="34F509C3">
      <w:pPr>
        <w:pStyle w:val="9"/>
        <w:tabs>
          <w:tab w:val="left" w:pos="1390"/>
        </w:tabs>
        <w:spacing w:line="560" w:lineRule="exact"/>
        <w:ind w:firstLine="600"/>
        <w:rPr>
          <w:rFonts w:hint="eastAsia"/>
          <w:sz w:val="24"/>
          <w:szCs w:val="24"/>
        </w:rPr>
      </w:pPr>
      <w:bookmarkStart w:id="4" w:name="bookmark7"/>
      <w:r>
        <w:rPr>
          <w:rFonts w:hint="eastAsia"/>
          <w:sz w:val="24"/>
          <w:szCs w:val="24"/>
        </w:rPr>
        <w:t>（</w:t>
      </w:r>
      <w:bookmarkEnd w:id="4"/>
      <w:r>
        <w:rPr>
          <w:rFonts w:hint="eastAsia"/>
          <w:sz w:val="24"/>
          <w:szCs w:val="24"/>
        </w:rPr>
        <w:t>二）</w:t>
      </w:r>
      <w:r>
        <w:rPr>
          <w:rFonts w:hint="eastAsia"/>
          <w:sz w:val="24"/>
          <w:szCs w:val="24"/>
        </w:rPr>
        <w:tab/>
      </w:r>
      <w:r>
        <w:rPr>
          <w:rFonts w:hint="eastAsia"/>
          <w:sz w:val="24"/>
          <w:szCs w:val="24"/>
        </w:rPr>
        <w:t>银行根据供应商的贷款意向申请，及时对供应商开展信 用审查以及开设账户等相关工作。</w:t>
      </w:r>
    </w:p>
    <w:p w14:paraId="53389663">
      <w:pPr>
        <w:pStyle w:val="9"/>
        <w:tabs>
          <w:tab w:val="left" w:pos="1386"/>
        </w:tabs>
        <w:spacing w:line="560" w:lineRule="exact"/>
        <w:ind w:firstLine="600"/>
        <w:rPr>
          <w:rFonts w:hint="eastAsia"/>
          <w:sz w:val="24"/>
          <w:szCs w:val="24"/>
        </w:rPr>
      </w:pPr>
      <w:bookmarkStart w:id="5" w:name="bookmark8"/>
      <w:r>
        <w:rPr>
          <w:rFonts w:hint="eastAsia"/>
          <w:sz w:val="24"/>
          <w:szCs w:val="24"/>
        </w:rPr>
        <w:t>（</w:t>
      </w:r>
      <w:bookmarkEnd w:id="5"/>
      <w:r>
        <w:rPr>
          <w:rFonts w:hint="eastAsia"/>
          <w:sz w:val="24"/>
          <w:szCs w:val="24"/>
        </w:rPr>
        <w:t>三）</w:t>
      </w:r>
      <w:r>
        <w:rPr>
          <w:rFonts w:hint="eastAsia"/>
          <w:sz w:val="24"/>
          <w:szCs w:val="24"/>
        </w:rPr>
        <w:tab/>
      </w:r>
      <w:r>
        <w:rPr>
          <w:rFonts w:hint="eastAsia"/>
          <w:sz w:val="24"/>
          <w:szCs w:val="24"/>
        </w:rPr>
        <w:t>供应商与采购人签订政府采购合同后，向银行提出正式 申请。拟用于</w:t>
      </w:r>
      <w:r>
        <w:rPr>
          <w:rFonts w:hint="eastAsia"/>
          <w:sz w:val="24"/>
          <w:szCs w:val="24"/>
          <w:lang w:val="zh-CN" w:eastAsia="zh-CN" w:bidi="zh-CN"/>
        </w:rPr>
        <w:t>“政</w:t>
      </w:r>
      <w:r>
        <w:rPr>
          <w:rFonts w:hint="eastAsia"/>
          <w:sz w:val="24"/>
          <w:szCs w:val="24"/>
        </w:rPr>
        <w:t>采贷”的政府釆购合同，应当在合同中注明贷 款银行的名称和账号，并作为本次采购的唯一收款账号。</w:t>
      </w:r>
    </w:p>
    <w:p w14:paraId="53A4C4CE">
      <w:pPr>
        <w:pStyle w:val="9"/>
        <w:tabs>
          <w:tab w:val="left" w:pos="1366"/>
        </w:tabs>
        <w:spacing w:line="560" w:lineRule="exact"/>
        <w:ind w:firstLine="600"/>
        <w:rPr>
          <w:rFonts w:hint="eastAsia"/>
          <w:sz w:val="24"/>
          <w:szCs w:val="24"/>
        </w:rPr>
      </w:pPr>
      <w:bookmarkStart w:id="6" w:name="bookmark9"/>
      <w:r>
        <w:rPr>
          <w:rFonts w:hint="eastAsia"/>
          <w:sz w:val="24"/>
          <w:szCs w:val="24"/>
        </w:rPr>
        <w:t>（</w:t>
      </w:r>
      <w:bookmarkEnd w:id="6"/>
      <w:r>
        <w:rPr>
          <w:rFonts w:hint="eastAsia"/>
          <w:sz w:val="24"/>
          <w:szCs w:val="24"/>
        </w:rPr>
        <w:t>四）</w:t>
      </w:r>
      <w:r>
        <w:rPr>
          <w:rFonts w:hint="eastAsia"/>
          <w:sz w:val="24"/>
          <w:szCs w:val="24"/>
        </w:rPr>
        <w:tab/>
      </w:r>
      <w:r>
        <w:rPr>
          <w:rFonts w:hint="eastAsia"/>
          <w:sz w:val="24"/>
          <w:szCs w:val="24"/>
        </w:rPr>
        <w:t>银行按规定对供应商资格及其提供的政府采购合同等信 息进行审查，审查通过后按照公示的服务承诺事项及时放款。</w:t>
      </w:r>
    </w:p>
    <w:p w14:paraId="7A287D16">
      <w:pPr>
        <w:pStyle w:val="9"/>
        <w:tabs>
          <w:tab w:val="left" w:pos="1381"/>
        </w:tabs>
        <w:spacing w:line="560" w:lineRule="exact"/>
        <w:ind w:firstLine="600"/>
        <w:rPr>
          <w:rFonts w:hint="eastAsia"/>
          <w:sz w:val="24"/>
          <w:szCs w:val="24"/>
        </w:rPr>
      </w:pPr>
      <w:bookmarkStart w:id="7" w:name="bookmark10"/>
      <w:r>
        <w:rPr>
          <w:rFonts w:hint="eastAsia"/>
          <w:sz w:val="24"/>
          <w:szCs w:val="24"/>
        </w:rPr>
        <w:t>（</w:t>
      </w:r>
      <w:bookmarkEnd w:id="7"/>
      <w:r>
        <w:rPr>
          <w:rFonts w:hint="eastAsia"/>
          <w:sz w:val="24"/>
          <w:szCs w:val="24"/>
        </w:rPr>
        <w:t>五）</w:t>
      </w:r>
      <w:r>
        <w:rPr>
          <w:rFonts w:hint="eastAsia"/>
          <w:sz w:val="24"/>
          <w:szCs w:val="24"/>
        </w:rPr>
        <w:tab/>
      </w:r>
      <w:r>
        <w:rPr>
          <w:rFonts w:hint="eastAsia"/>
          <w:sz w:val="24"/>
          <w:szCs w:val="24"/>
        </w:rPr>
        <w:t>在资金支付时，采购人应当将采购资金支付到政府采购 合同注明的贷款银行和账号中，不得支付到政府釆购合同约定以 外的账号，以保障贷款资金安全回收。</w:t>
      </w:r>
    </w:p>
    <w:p w14:paraId="0EF712DC">
      <w:pPr>
        <w:pStyle w:val="9"/>
        <w:spacing w:line="560" w:lineRule="exact"/>
        <w:ind w:firstLine="580"/>
        <w:rPr>
          <w:rFonts w:hint="eastAsia"/>
          <w:sz w:val="24"/>
          <w:szCs w:val="24"/>
        </w:rPr>
      </w:pPr>
      <w:r>
        <w:rPr>
          <w:rFonts w:hint="eastAsia"/>
          <w:sz w:val="24"/>
          <w:szCs w:val="24"/>
          <w:lang w:val="zh-CN" w:eastAsia="zh-CN" w:bidi="zh-CN"/>
        </w:rPr>
        <w:t xml:space="preserve">三、 </w:t>
      </w:r>
      <w:r>
        <w:rPr>
          <w:rFonts w:hint="eastAsia"/>
          <w:sz w:val="24"/>
          <w:szCs w:val="24"/>
        </w:rPr>
        <w:t>职责要求</w:t>
      </w:r>
    </w:p>
    <w:p w14:paraId="54A49B25">
      <w:pPr>
        <w:pStyle w:val="9"/>
        <w:spacing w:line="576" w:lineRule="exact"/>
        <w:ind w:firstLine="820"/>
        <w:rPr>
          <w:rFonts w:hint="eastAsia"/>
          <w:sz w:val="24"/>
          <w:szCs w:val="24"/>
        </w:rPr>
      </w:pPr>
      <w:bookmarkStart w:id="8" w:name="bookmark11"/>
      <w:r>
        <w:rPr>
          <w:rFonts w:hint="eastAsia"/>
          <w:sz w:val="24"/>
          <w:szCs w:val="24"/>
        </w:rPr>
        <w:t>（</w:t>
      </w:r>
      <w:bookmarkEnd w:id="8"/>
      <w:r>
        <w:rPr>
          <w:rFonts w:hint="eastAsia"/>
          <w:sz w:val="24"/>
          <w:szCs w:val="24"/>
        </w:rPr>
        <w:t>一）各单位要积极推动</w:t>
      </w:r>
      <w:r>
        <w:rPr>
          <w:rFonts w:hint="eastAsia"/>
          <w:sz w:val="24"/>
          <w:szCs w:val="24"/>
          <w:lang w:val="zh-CN" w:eastAsia="zh-CN" w:bidi="zh-CN"/>
        </w:rPr>
        <w:t>“政</w:t>
      </w:r>
      <w:r>
        <w:rPr>
          <w:rFonts w:hint="eastAsia"/>
          <w:sz w:val="24"/>
          <w:szCs w:val="24"/>
        </w:rPr>
        <w:t>采贷”工作开展，应当在合同签订后2个工作日内将政府采购合同在陕西省政府采购网进行公示，为金融机构核实合同提供信息。对于已融资采购项目，供应商履约完成后，要及时开展履约验收工作，并按照合同约定支付 采购资金，不得无故拖延和拒付。</w:t>
      </w:r>
    </w:p>
    <w:p w14:paraId="0856298E">
      <w:pPr>
        <w:pStyle w:val="9"/>
        <w:tabs>
          <w:tab w:val="left" w:pos="1606"/>
        </w:tabs>
        <w:spacing w:line="570" w:lineRule="exact"/>
        <w:ind w:firstLine="780"/>
        <w:rPr>
          <w:rFonts w:hint="eastAsia"/>
          <w:sz w:val="24"/>
          <w:szCs w:val="24"/>
        </w:rPr>
      </w:pPr>
      <w:bookmarkStart w:id="9" w:name="bookmark12"/>
      <w:r>
        <w:rPr>
          <w:rFonts w:hint="eastAsia"/>
          <w:sz w:val="24"/>
          <w:szCs w:val="24"/>
        </w:rPr>
        <w:t>（</w:t>
      </w:r>
      <w:bookmarkEnd w:id="9"/>
      <w:r>
        <w:rPr>
          <w:rFonts w:hint="eastAsia"/>
          <w:sz w:val="24"/>
          <w:szCs w:val="24"/>
        </w:rPr>
        <w:t>二）</w:t>
      </w:r>
      <w:r>
        <w:rPr>
          <w:rFonts w:hint="eastAsia"/>
          <w:sz w:val="24"/>
          <w:szCs w:val="24"/>
        </w:rPr>
        <w:tab/>
      </w:r>
      <w:r>
        <w:rPr>
          <w:rFonts w:hint="eastAsia"/>
          <w:sz w:val="24"/>
          <w:szCs w:val="24"/>
        </w:rPr>
        <w:t>各单位和采购代理机构在组织实施政府采购活动中， 应当将</w:t>
      </w:r>
      <w:r>
        <w:rPr>
          <w:rFonts w:hint="eastAsia"/>
          <w:sz w:val="24"/>
          <w:szCs w:val="24"/>
          <w:lang w:val="zh-CN" w:eastAsia="zh-CN" w:bidi="zh-CN"/>
        </w:rPr>
        <w:t>“政</w:t>
      </w:r>
      <w:r>
        <w:rPr>
          <w:rFonts w:hint="eastAsia"/>
          <w:sz w:val="24"/>
          <w:szCs w:val="24"/>
        </w:rPr>
        <w:t>采贷”业务介绍、陕西政府采购供应商信用融资信息服务平台操作手册和银行联系方式（见附件）在采购文件中载明， 并随中标（成交）通知书一并发放。</w:t>
      </w:r>
    </w:p>
    <w:p w14:paraId="0300302C">
      <w:pPr>
        <w:pStyle w:val="9"/>
        <w:tabs>
          <w:tab w:val="left" w:pos="1587"/>
        </w:tabs>
        <w:spacing w:after="740" w:line="581" w:lineRule="exact"/>
        <w:ind w:firstLine="780"/>
        <w:rPr>
          <w:rFonts w:hint="eastAsia"/>
          <w:sz w:val="24"/>
          <w:szCs w:val="24"/>
        </w:rPr>
      </w:pPr>
      <w:bookmarkStart w:id="10" w:name="bookmark13"/>
      <w:r>
        <w:rPr>
          <w:rFonts w:hint="eastAsia"/>
          <w:sz w:val="24"/>
          <w:szCs w:val="24"/>
        </w:rPr>
        <w:t>（</w:t>
      </w:r>
      <w:bookmarkEnd w:id="10"/>
      <w:r>
        <w:rPr>
          <w:rFonts w:hint="eastAsia"/>
          <w:sz w:val="24"/>
          <w:szCs w:val="24"/>
        </w:rPr>
        <w:t>三）</w:t>
      </w:r>
      <w:r>
        <w:rPr>
          <w:rFonts w:hint="eastAsia"/>
          <w:sz w:val="24"/>
          <w:szCs w:val="24"/>
        </w:rPr>
        <w:tab/>
      </w:r>
      <w:r>
        <w:rPr>
          <w:rFonts w:hint="eastAsia"/>
          <w:sz w:val="24"/>
          <w:szCs w:val="24"/>
        </w:rPr>
        <w:t>供应商应当依法参加政府釆购活动，公平竞争，诚实守信,严格按照政府采购合同履约，严格按照借款合同偿还债务。</w:t>
      </w:r>
    </w:p>
    <w:p w14:paraId="1F7DDBA5">
      <w:pPr>
        <w:pStyle w:val="9"/>
        <w:spacing w:after="180" w:line="240" w:lineRule="auto"/>
        <w:ind w:firstLine="660"/>
        <w:rPr>
          <w:rFonts w:hint="eastAsia"/>
          <w:sz w:val="24"/>
          <w:szCs w:val="24"/>
        </w:rPr>
      </w:pPr>
      <w:r>
        <w:rPr>
          <w:rFonts w:hint="eastAsia"/>
          <w:sz w:val="24"/>
          <w:szCs w:val="24"/>
        </w:rPr>
        <w:t>附件：</w:t>
      </w:r>
      <w:r>
        <w:rPr>
          <w:rFonts w:hint="eastAsia"/>
          <w:sz w:val="24"/>
          <w:szCs w:val="24"/>
          <w:lang w:val="en-US" w:eastAsia="zh-CN" w:bidi="en-US"/>
        </w:rPr>
        <w:t xml:space="preserve">1. </w:t>
      </w:r>
      <w:r>
        <w:rPr>
          <w:rFonts w:hint="eastAsia"/>
          <w:sz w:val="24"/>
          <w:szCs w:val="24"/>
          <w:lang w:val="zh-CN" w:eastAsia="zh-CN" w:bidi="zh-CN"/>
        </w:rPr>
        <w:t>“政</w:t>
      </w:r>
      <w:r>
        <w:rPr>
          <w:rFonts w:hint="eastAsia"/>
          <w:sz w:val="24"/>
          <w:szCs w:val="24"/>
        </w:rPr>
        <w:t>采贷”业务介绍</w:t>
      </w:r>
    </w:p>
    <w:p w14:paraId="248A710A">
      <w:pPr>
        <w:pStyle w:val="9"/>
        <w:numPr>
          <w:ilvl w:val="0"/>
          <w:numId w:val="1"/>
        </w:numPr>
        <w:spacing w:after="180" w:line="240" w:lineRule="auto"/>
        <w:ind w:firstLine="660"/>
        <w:rPr>
          <w:rFonts w:hint="eastAsia"/>
          <w:sz w:val="24"/>
          <w:szCs w:val="24"/>
        </w:rPr>
      </w:pPr>
      <w:r>
        <w:rPr>
          <w:rFonts w:hint="eastAsia"/>
          <w:sz w:val="24"/>
          <w:szCs w:val="24"/>
        </w:rPr>
        <w:t>陕西政府采购供应商信用融资信息服务平台操作手册</w:t>
      </w:r>
    </w:p>
    <w:p w14:paraId="781DE18E">
      <w:pPr>
        <w:pStyle w:val="9"/>
        <w:numPr>
          <w:ilvl w:val="0"/>
          <w:numId w:val="1"/>
        </w:numPr>
        <w:spacing w:after="180" w:line="240" w:lineRule="auto"/>
        <w:ind w:firstLine="660"/>
        <w:rPr>
          <w:rFonts w:hint="eastAsia"/>
          <w:sz w:val="24"/>
          <w:szCs w:val="24"/>
          <w:lang w:val="en-US" w:eastAsia="zh-CN"/>
        </w:rPr>
      </w:pPr>
      <w:r>
        <w:rPr>
          <w:rFonts w:hint="eastAsia"/>
          <w:sz w:val="24"/>
          <w:szCs w:val="24"/>
        </w:rPr>
        <w:t>长安区开展政采贷业务银行联系方式</w:t>
      </w:r>
    </w:p>
    <w:p w14:paraId="3F67FB2A">
      <w:pPr>
        <w:spacing w:line="360" w:lineRule="auto"/>
        <w:ind w:firstLine="480" w:firstLineChars="200"/>
        <w:rPr>
          <w:rFonts w:hint="eastAsia" w:ascii="宋体" w:hAnsi="宋体"/>
          <w:sz w:val="24"/>
        </w:rPr>
      </w:pPr>
      <w:bookmarkStart w:id="11" w:name="bookmark14"/>
      <w:bookmarkEnd w:id="11"/>
    </w:p>
    <w:p w14:paraId="4840004B">
      <w:pPr>
        <w:spacing w:line="360" w:lineRule="auto"/>
        <w:rPr>
          <w:rFonts w:hint="eastAsia" w:ascii="宋体" w:hAnsi="宋体"/>
          <w:sz w:val="24"/>
        </w:rPr>
      </w:pPr>
    </w:p>
    <w:p w14:paraId="3E12F523">
      <w:pPr>
        <w:spacing w:line="360" w:lineRule="auto"/>
        <w:rPr>
          <w:rFonts w:hint="eastAsia" w:ascii="宋体" w:hAnsi="宋体"/>
          <w:sz w:val="24"/>
        </w:rPr>
      </w:pPr>
    </w:p>
    <w:p w14:paraId="5DC4CFD2">
      <w:pPr>
        <w:rPr>
          <w:rFonts w:hint="eastAsia" w:ascii="宋体" w:hAnsi="宋体"/>
          <w:sz w:val="24"/>
        </w:rPr>
      </w:pPr>
      <w:r>
        <w:rPr>
          <w:rFonts w:hint="eastAsia" w:ascii="宋体" w:hAnsi="宋体"/>
          <w:sz w:val="24"/>
        </w:rPr>
        <w:br w:type="page"/>
      </w:r>
    </w:p>
    <w:p w14:paraId="333191A0">
      <w:pPr>
        <w:spacing w:line="360" w:lineRule="auto"/>
        <w:rPr>
          <w:rFonts w:hint="eastAsia" w:ascii="宋体" w:hAnsi="宋体"/>
          <w:sz w:val="24"/>
        </w:rPr>
      </w:pPr>
      <w:r>
        <w:rPr>
          <w:rFonts w:hint="eastAsia" w:ascii="宋体" w:hAnsi="宋体"/>
          <w:sz w:val="24"/>
        </w:rPr>
        <w:t>1、“政采贷"业务介绍</w:t>
      </w:r>
    </w:p>
    <w:p w14:paraId="05F075CD">
      <w:pPr>
        <w:spacing w:line="360" w:lineRule="auto"/>
        <w:ind w:firstLine="480" w:firstLineChars="200"/>
        <w:rPr>
          <w:rFonts w:hint="eastAsia" w:ascii="宋体" w:hAnsi="宋体"/>
          <w:sz w:val="24"/>
        </w:rPr>
      </w:pPr>
      <w:r>
        <w:rPr>
          <w:rFonts w:hint="eastAsia" w:ascii="宋体" w:hAnsi="宋体"/>
          <w:sz w:val="24"/>
        </w:rPr>
        <w:t>政采贷，即政府采购合同融资，是银行机构以政府采购诚信 考核和信用审查为基础，凭借中小企业取得并提供的政府采购合 同，按优于一般中小企业贷款的利率直接向申请贷款的中小企业 发放贷款的一种新融资方式。政府采购贷特点政采贷以中小企业 的政府采购信用和国库集中支付作为履约保障的政府采购合同为 基础，借力政府采购诚信保障，提供了银企对接的机会和相关的 服务支持。</w:t>
      </w:r>
    </w:p>
    <w:p w14:paraId="60C25769">
      <w:pPr>
        <w:numPr>
          <w:ilvl w:val="0"/>
          <w:numId w:val="2"/>
        </w:numPr>
        <w:spacing w:line="360" w:lineRule="auto"/>
        <w:rPr>
          <w:rFonts w:hint="eastAsia" w:ascii="宋体" w:hAnsi="宋体"/>
          <w:sz w:val="24"/>
        </w:rPr>
      </w:pPr>
      <w:r>
        <w:rPr>
          <w:rFonts w:hint="eastAsia" w:ascii="宋体" w:hAnsi="宋体"/>
          <w:sz w:val="24"/>
        </w:rPr>
        <w:t>陕西政府采购供应商信用融资信息服务平台操作手册</w:t>
      </w:r>
    </w:p>
    <w:p w14:paraId="7B73B8B8">
      <w:pPr>
        <w:spacing w:line="360" w:lineRule="auto"/>
        <w:ind w:firstLine="480" w:firstLineChars="200"/>
        <w:rPr>
          <w:rFonts w:hint="eastAsia" w:ascii="宋体" w:hAnsi="宋体"/>
          <w:sz w:val="24"/>
        </w:rPr>
      </w:pPr>
      <w:r>
        <w:rPr>
          <w:rFonts w:hint="eastAsia" w:ascii="宋体" w:hAnsi="宋体"/>
          <w:sz w:val="24"/>
        </w:rPr>
        <w:t>陕西政府采购供应商信用融资信息服务平台主要功能为：供应商凭中标项目或成交合同提交融资意向，查看融资申请进度等功能，本操作手册将详细说明这些功能。</w:t>
      </w:r>
    </w:p>
    <w:p w14:paraId="12A0EC1D">
      <w:pPr>
        <w:spacing w:line="360" w:lineRule="auto"/>
        <w:ind w:firstLine="480" w:firstLineChars="200"/>
        <w:rPr>
          <w:rFonts w:hint="eastAsia" w:ascii="宋体" w:hAnsi="宋体"/>
          <w:sz w:val="24"/>
        </w:rPr>
      </w:pPr>
      <w:r>
        <w:rPr>
          <w:rFonts w:hint="eastAsia" w:ascii="宋体" w:hAnsi="宋体"/>
          <w:sz w:val="24"/>
        </w:rPr>
        <w:t>1.首页</w:t>
      </w:r>
    </w:p>
    <w:p w14:paraId="65337A52">
      <w:pPr>
        <w:spacing w:line="360" w:lineRule="auto"/>
        <w:ind w:firstLine="480" w:firstLineChars="200"/>
        <w:rPr>
          <w:rFonts w:hint="eastAsia" w:ascii="宋体" w:hAnsi="宋体"/>
          <w:sz w:val="24"/>
        </w:rPr>
      </w:pPr>
      <w:r>
        <w:rPr>
          <w:rFonts w:hint="eastAsia" w:ascii="宋体" w:hAnsi="宋体"/>
          <w:sz w:val="24"/>
        </w:rPr>
        <w:t>平台首页主要呈现陕西政府采购信用融资相关政策法规、基本操作流程及供应商帮助内容，供应商企业可由登录注册模块登录平台。</w:t>
      </w:r>
    </w:p>
    <w:p w14:paraId="0409C085">
      <w:pPr>
        <w:spacing w:line="360" w:lineRule="auto"/>
        <w:ind w:firstLine="480" w:firstLineChars="200"/>
        <w:rPr>
          <w:rFonts w:hint="eastAsia" w:ascii="宋体" w:hAnsi="宋体"/>
          <w:sz w:val="24"/>
        </w:rPr>
      </w:pPr>
      <w:r>
        <w:rPr>
          <w:rFonts w:hint="eastAsia" w:ascii="宋体" w:hAnsi="宋体"/>
          <w:sz w:val="24"/>
        </w:rPr>
        <w:t>2.登录</w:t>
      </w:r>
    </w:p>
    <w:p w14:paraId="3EE52F80">
      <w:pPr>
        <w:spacing w:line="360" w:lineRule="auto"/>
        <w:ind w:firstLine="480" w:firstLineChars="200"/>
        <w:rPr>
          <w:rFonts w:hint="eastAsia" w:ascii="宋体" w:hAnsi="宋体"/>
          <w:sz w:val="24"/>
        </w:rPr>
      </w:pPr>
      <w:r>
        <w:rPr>
          <w:rFonts w:hint="eastAsia" w:ascii="宋体" w:hAnsi="宋体"/>
          <w:sz w:val="24"/>
        </w:rPr>
        <w:t>陕西政府采购网的中标企业可用手机号注册用户，注册时需要填写企业名称及社会统一信用代码等信息，如下图：</w:t>
      </w:r>
    </w:p>
    <w:p w14:paraId="0D19C51F">
      <w:pPr>
        <w:spacing w:line="360" w:lineRule="auto"/>
        <w:rPr>
          <w:rFonts w:hint="eastAsia" w:ascii="宋体" w:hAnsi="宋体"/>
          <w:sz w:val="24"/>
        </w:rPr>
      </w:pPr>
      <w:r>
        <w:drawing>
          <wp:inline distT="0" distB="0" distL="114300" distR="114300">
            <wp:extent cx="5514975" cy="30765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514975" cy="3076575"/>
                    </a:xfrm>
                    <a:prstGeom prst="rect">
                      <a:avLst/>
                    </a:prstGeom>
                    <a:noFill/>
                    <a:ln>
                      <a:noFill/>
                    </a:ln>
                  </pic:spPr>
                </pic:pic>
              </a:graphicData>
            </a:graphic>
          </wp:inline>
        </w:drawing>
      </w:r>
    </w:p>
    <w:p w14:paraId="0A82517B">
      <w:pPr>
        <w:spacing w:line="360" w:lineRule="auto"/>
        <w:rPr>
          <w:rFonts w:hint="eastAsia" w:ascii="宋体" w:hAnsi="宋体"/>
          <w:sz w:val="24"/>
        </w:rPr>
      </w:pPr>
      <w:r>
        <w:rPr>
          <w:rFonts w:hint="eastAsia" w:ascii="宋体" w:hAnsi="宋体"/>
          <w:sz w:val="24"/>
        </w:rPr>
        <w:t>注册成功后，凭手机登录平台，如下图，点击首页：</w:t>
      </w:r>
    </w:p>
    <w:p w14:paraId="52AB68B1">
      <w:pPr>
        <w:spacing w:line="360" w:lineRule="auto"/>
        <w:jc w:val="both"/>
      </w:pPr>
      <w:r>
        <w:drawing>
          <wp:inline distT="0" distB="0" distL="114300" distR="114300">
            <wp:extent cx="5556250" cy="3108325"/>
            <wp:effectExtent l="0" t="0" r="6350" b="158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6"/>
                    <a:stretch>
                      <a:fillRect/>
                    </a:stretch>
                  </pic:blipFill>
                  <pic:spPr>
                    <a:xfrm>
                      <a:off x="0" y="0"/>
                      <a:ext cx="5556250" cy="3108325"/>
                    </a:xfrm>
                    <a:prstGeom prst="rect">
                      <a:avLst/>
                    </a:prstGeom>
                    <a:noFill/>
                    <a:ln>
                      <a:noFill/>
                    </a:ln>
                  </pic:spPr>
                </pic:pic>
              </a:graphicData>
            </a:graphic>
          </wp:inline>
        </w:drawing>
      </w:r>
    </w:p>
    <w:p w14:paraId="6FD35C21">
      <w:pPr>
        <w:pStyle w:val="3"/>
        <w:rPr>
          <w:rFonts w:hint="eastAsia" w:ascii="宋体" w:hAnsi="宋体" w:eastAsia="宋体" w:cs="宋体"/>
          <w:color w:val="000000"/>
        </w:rPr>
      </w:pPr>
    </w:p>
    <w:p w14:paraId="20B06EEA">
      <w:pPr>
        <w:pStyle w:val="3"/>
        <w:rPr>
          <w:rFonts w:hint="eastAsia" w:ascii="宋体" w:hAnsi="宋体" w:eastAsia="宋体" w:cs="宋体"/>
          <w:color w:val="000000"/>
        </w:rPr>
      </w:pPr>
    </w:p>
    <w:p w14:paraId="29B7DB68">
      <w:pPr>
        <w:pStyle w:val="3"/>
        <w:rPr>
          <w:rFonts w:hint="eastAsia" w:ascii="宋体" w:hAnsi="宋体" w:eastAsia="宋体" w:cs="宋体"/>
          <w:color w:val="000000"/>
        </w:rPr>
      </w:pPr>
    </w:p>
    <w:p w14:paraId="4560196A">
      <w:pPr>
        <w:pStyle w:val="3"/>
        <w:rPr>
          <w:rFonts w:hint="eastAsia" w:ascii="宋体" w:hAnsi="宋体" w:eastAsia="宋体" w:cs="宋体"/>
          <w:color w:val="000000"/>
        </w:rPr>
      </w:pPr>
    </w:p>
    <w:p w14:paraId="33BA4BEF">
      <w:pPr>
        <w:pStyle w:val="3"/>
        <w:rPr>
          <w:rFonts w:hint="eastAsia" w:ascii="宋体" w:hAnsi="宋体" w:eastAsia="宋体" w:cs="宋体"/>
          <w:color w:val="000000"/>
        </w:rPr>
      </w:pPr>
    </w:p>
    <w:p w14:paraId="06D07E4D">
      <w:pPr>
        <w:pStyle w:val="3"/>
        <w:rPr>
          <w:rFonts w:hint="eastAsia" w:ascii="宋体" w:hAnsi="宋体" w:eastAsia="宋体" w:cs="宋体"/>
          <w:color w:val="000000"/>
        </w:rPr>
      </w:pPr>
    </w:p>
    <w:p w14:paraId="2EB08F91">
      <w:pPr>
        <w:pStyle w:val="3"/>
        <w:rPr>
          <w:rFonts w:hint="eastAsia" w:ascii="宋体" w:hAnsi="宋体" w:eastAsia="宋体" w:cs="宋体"/>
          <w:color w:val="000000"/>
        </w:rPr>
      </w:pPr>
    </w:p>
    <w:p w14:paraId="22CD88A0">
      <w:pPr>
        <w:pStyle w:val="3"/>
        <w:rPr>
          <w:rFonts w:hint="eastAsia" w:ascii="宋体" w:hAnsi="宋体" w:eastAsia="宋体" w:cs="宋体"/>
          <w:color w:val="000000"/>
        </w:rPr>
      </w:pPr>
      <w:r>
        <w:rPr>
          <w:rFonts w:hint="eastAsia" w:ascii="宋体" w:hAnsi="宋体" w:eastAsia="宋体" w:cs="宋体"/>
          <w:color w:val="000000"/>
        </w:rPr>
        <w:t>3.点击“可融资项目/合同”，再点击申请贷款:</w:t>
      </w:r>
    </w:p>
    <w:p w14:paraId="074670F1">
      <w:pPr>
        <w:spacing w:line="360" w:lineRule="auto"/>
        <w:rPr>
          <w:rFonts w:hint="eastAsia" w:ascii="宋体" w:hAnsi="宋体"/>
          <w:sz w:val="24"/>
        </w:rPr>
      </w:pPr>
      <w:bookmarkStart w:id="12" w:name="bookmark19"/>
      <w:bookmarkEnd w:id="12"/>
      <w:r>
        <w:drawing>
          <wp:inline distT="0" distB="0" distL="114300" distR="114300">
            <wp:extent cx="5758815" cy="3271520"/>
            <wp:effectExtent l="0" t="0" r="1333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758815" cy="3271520"/>
                    </a:xfrm>
                    <a:prstGeom prst="rect">
                      <a:avLst/>
                    </a:prstGeom>
                    <a:noFill/>
                    <a:ln>
                      <a:noFill/>
                    </a:ln>
                  </pic:spPr>
                </pic:pic>
              </a:graphicData>
            </a:graphic>
          </wp:inline>
        </w:drawing>
      </w:r>
    </w:p>
    <w:p w14:paraId="0DE067D8">
      <w:pPr>
        <w:spacing w:line="360" w:lineRule="auto"/>
        <w:rPr>
          <w:rFonts w:hint="eastAsia" w:ascii="宋体" w:hAnsi="宋体"/>
          <w:sz w:val="24"/>
        </w:rPr>
      </w:pPr>
      <w:bookmarkStart w:id="13" w:name="bookmark20"/>
      <w:bookmarkEnd w:id="13"/>
      <w:r>
        <w:rPr>
          <w:rFonts w:hint="eastAsia" w:ascii="宋体" w:hAnsi="宋体"/>
          <w:sz w:val="24"/>
        </w:rPr>
        <w:t>4.勾选融资意向书：</w:t>
      </w:r>
    </w:p>
    <w:p w14:paraId="729B9BA6">
      <w:pPr>
        <w:spacing w:line="360" w:lineRule="auto"/>
        <w:ind w:firstLine="420" w:firstLineChars="200"/>
        <w:rPr>
          <w:rFonts w:hint="eastAsia" w:ascii="宋体" w:hAnsi="宋体"/>
          <w:sz w:val="24"/>
        </w:rPr>
      </w:pPr>
      <w:r>
        <w:drawing>
          <wp:anchor distT="0" distB="0" distL="114300" distR="114300" simplePos="0" relativeHeight="251660288" behindDoc="0" locked="0" layoutInCell="1" allowOverlap="1">
            <wp:simplePos x="0" y="0"/>
            <wp:positionH relativeFrom="column">
              <wp:posOffset>64135</wp:posOffset>
            </wp:positionH>
            <wp:positionV relativeFrom="paragraph">
              <wp:posOffset>73660</wp:posOffset>
            </wp:positionV>
            <wp:extent cx="5755005" cy="3291840"/>
            <wp:effectExtent l="0" t="0" r="17145" b="3810"/>
            <wp:wrapTopAndBottom/>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755005" cy="3291840"/>
                    </a:xfrm>
                    <a:prstGeom prst="rect">
                      <a:avLst/>
                    </a:prstGeom>
                    <a:noFill/>
                    <a:ln>
                      <a:noFill/>
                    </a:ln>
                  </pic:spPr>
                </pic:pic>
              </a:graphicData>
            </a:graphic>
          </wp:anchor>
        </w:drawing>
      </w:r>
    </w:p>
    <w:p w14:paraId="0041F98E">
      <w:pPr>
        <w:spacing w:line="360" w:lineRule="auto"/>
        <w:rPr>
          <w:rFonts w:hint="eastAsia" w:ascii="宋体" w:hAnsi="宋体"/>
          <w:sz w:val="24"/>
        </w:rPr>
      </w:pPr>
    </w:p>
    <w:p w14:paraId="2E1F1BA4">
      <w:pPr>
        <w:spacing w:line="360" w:lineRule="auto"/>
        <w:rPr>
          <w:rFonts w:hint="eastAsia" w:ascii="宋体" w:hAnsi="宋体"/>
          <w:sz w:val="24"/>
        </w:rPr>
      </w:pPr>
      <w:r>
        <w:rPr>
          <w:rFonts w:hint="eastAsia" w:ascii="宋体" w:hAnsi="宋体"/>
          <w:sz w:val="24"/>
        </w:rPr>
        <w:t>5.页面下拉，输入贷款金额、预计用款周期、可接受利率、贷款资金</w:t>
      </w:r>
    </w:p>
    <w:p w14:paraId="428EBCD6">
      <w:pPr>
        <w:spacing w:line="360" w:lineRule="auto"/>
        <w:rPr>
          <w:rFonts w:hint="eastAsia" w:ascii="宋体" w:hAnsi="宋体"/>
          <w:sz w:val="24"/>
        </w:rPr>
      </w:pPr>
      <w:r>
        <w:drawing>
          <wp:inline distT="0" distB="0" distL="114300" distR="114300">
            <wp:extent cx="5758180" cy="3240405"/>
            <wp:effectExtent l="0" t="0" r="13970" b="1714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9"/>
                    <a:stretch>
                      <a:fillRect/>
                    </a:stretch>
                  </pic:blipFill>
                  <pic:spPr>
                    <a:xfrm>
                      <a:off x="0" y="0"/>
                      <a:ext cx="5758180" cy="3240405"/>
                    </a:xfrm>
                    <a:prstGeom prst="rect">
                      <a:avLst/>
                    </a:prstGeom>
                    <a:noFill/>
                    <a:ln>
                      <a:noFill/>
                    </a:ln>
                  </pic:spPr>
                </pic:pic>
              </a:graphicData>
            </a:graphic>
          </wp:inline>
        </w:drawing>
      </w:r>
    </w:p>
    <w:p w14:paraId="1DE2F021">
      <w:pPr>
        <w:spacing w:line="360" w:lineRule="auto"/>
        <w:rPr>
          <w:rFonts w:hint="eastAsia" w:ascii="宋体" w:hAnsi="宋体"/>
          <w:sz w:val="24"/>
        </w:rPr>
      </w:pPr>
    </w:p>
    <w:p w14:paraId="7B53807D">
      <w:pPr>
        <w:spacing w:line="360" w:lineRule="auto"/>
        <w:rPr>
          <w:rFonts w:hint="eastAsia" w:ascii="宋体" w:hAnsi="宋体"/>
          <w:sz w:val="24"/>
        </w:rPr>
      </w:pPr>
      <w:r>
        <w:rPr>
          <w:rFonts w:hint="eastAsia" w:ascii="宋体" w:hAnsi="宋体"/>
          <w:sz w:val="24"/>
        </w:rPr>
        <w:t>6.在意向银行列点击提交贷款意向并确定：</w:t>
      </w:r>
    </w:p>
    <w:p w14:paraId="4775B615">
      <w:pPr>
        <w:spacing w:line="360" w:lineRule="auto"/>
        <w:ind w:firstLine="420" w:firstLineChars="200"/>
        <w:rPr>
          <w:rFonts w:ascii="宋体" w:hAnsi="宋体"/>
          <w:sz w:val="24"/>
        </w:rPr>
      </w:pPr>
      <w:r>
        <w:drawing>
          <wp:anchor distT="0" distB="0" distL="114300" distR="114300" simplePos="0" relativeHeight="251661312" behindDoc="0" locked="0" layoutInCell="1" allowOverlap="1">
            <wp:simplePos x="0" y="0"/>
            <wp:positionH relativeFrom="column">
              <wp:posOffset>40640</wp:posOffset>
            </wp:positionH>
            <wp:positionV relativeFrom="paragraph">
              <wp:posOffset>156845</wp:posOffset>
            </wp:positionV>
            <wp:extent cx="5753735" cy="3220720"/>
            <wp:effectExtent l="0" t="0" r="18415" b="17780"/>
            <wp:wrapTopAndBottom/>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0"/>
                    <a:stretch>
                      <a:fillRect/>
                    </a:stretch>
                  </pic:blipFill>
                  <pic:spPr>
                    <a:xfrm>
                      <a:off x="0" y="0"/>
                      <a:ext cx="5753735" cy="3220720"/>
                    </a:xfrm>
                    <a:prstGeom prst="rect">
                      <a:avLst/>
                    </a:prstGeom>
                    <a:noFill/>
                    <a:ln>
                      <a:noFill/>
                    </a:ln>
                  </pic:spPr>
                </pic:pic>
              </a:graphicData>
            </a:graphic>
          </wp:anchor>
        </w:drawing>
      </w:r>
    </w:p>
    <w:p w14:paraId="11504CE6">
      <w:pPr>
        <w:spacing w:line="360" w:lineRule="auto"/>
        <w:rPr>
          <w:rFonts w:hint="eastAsia" w:ascii="宋体" w:hAnsi="宋体"/>
          <w:sz w:val="24"/>
        </w:rPr>
      </w:pPr>
    </w:p>
    <w:p w14:paraId="5EAF0F51">
      <w:pPr>
        <w:spacing w:line="360" w:lineRule="auto"/>
        <w:rPr>
          <w:rFonts w:hint="eastAsia" w:ascii="宋体" w:hAnsi="宋体"/>
          <w:sz w:val="24"/>
        </w:rPr>
      </w:pPr>
    </w:p>
    <w:p w14:paraId="79E643E6">
      <w:pPr>
        <w:spacing w:line="360" w:lineRule="auto"/>
        <w:rPr>
          <w:rFonts w:hint="eastAsia" w:ascii="宋体" w:hAnsi="宋体"/>
          <w:sz w:val="24"/>
        </w:rPr>
      </w:pPr>
      <w:r>
        <w:rPr>
          <w:rFonts w:hint="eastAsia" w:ascii="宋体" w:hAnsi="宋体"/>
          <w:sz w:val="24"/>
        </w:rPr>
        <w:t>7.在申请进度栏即可查看本笔融资进度：</w:t>
      </w:r>
    </w:p>
    <w:p w14:paraId="4EC096D1">
      <w:pPr>
        <w:spacing w:line="360" w:lineRule="auto"/>
        <w:rPr>
          <w:rFonts w:ascii="宋体" w:hAnsi="宋体"/>
          <w:sz w:val="24"/>
        </w:rPr>
      </w:pPr>
      <w:r>
        <w:drawing>
          <wp:inline distT="0" distB="0" distL="114300" distR="114300">
            <wp:extent cx="5752465" cy="3240405"/>
            <wp:effectExtent l="0" t="0" r="635" b="1714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1"/>
                    <a:stretch>
                      <a:fillRect/>
                    </a:stretch>
                  </pic:blipFill>
                  <pic:spPr>
                    <a:xfrm>
                      <a:off x="0" y="0"/>
                      <a:ext cx="5752465" cy="3240405"/>
                    </a:xfrm>
                    <a:prstGeom prst="rect">
                      <a:avLst/>
                    </a:prstGeom>
                    <a:noFill/>
                    <a:ln>
                      <a:noFill/>
                    </a:ln>
                  </pic:spPr>
                </pic:pic>
              </a:graphicData>
            </a:graphic>
          </wp:inline>
        </w:drawing>
      </w:r>
    </w:p>
    <w:p w14:paraId="24CB90F0">
      <w:pPr>
        <w:spacing w:line="360" w:lineRule="auto"/>
        <w:rPr>
          <w:rFonts w:ascii="宋体" w:hAnsi="宋体"/>
          <w:sz w:val="24"/>
        </w:rPr>
      </w:pPr>
      <w:r>
        <w:rPr>
          <w:rFonts w:hint="eastAsia" w:ascii="宋体" w:hAnsi="宋体"/>
          <w:sz w:val="24"/>
        </w:rPr>
        <w:t>附件3</w:t>
      </w:r>
    </w:p>
    <w:p w14:paraId="79A48C6D">
      <w:pPr>
        <w:spacing w:line="360" w:lineRule="auto"/>
        <w:jc w:val="center"/>
        <w:rPr>
          <w:rFonts w:ascii="宋体" w:hAnsi="宋体"/>
          <w:sz w:val="24"/>
        </w:rPr>
      </w:pPr>
      <w:r>
        <w:rPr>
          <w:rFonts w:hint="eastAsia" w:ascii="宋体" w:hAnsi="宋体" w:cs="楷体"/>
          <w:sz w:val="24"/>
        </w:rPr>
        <w:t>长安区开展政采贷业务银行联系方式</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3103"/>
        <w:gridCol w:w="2094"/>
        <w:gridCol w:w="2241"/>
      </w:tblGrid>
      <w:tr w14:paraId="4B019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4C3FC958">
            <w:pPr>
              <w:spacing w:line="360" w:lineRule="auto"/>
              <w:jc w:val="center"/>
              <w:rPr>
                <w:rFonts w:hint="eastAsia" w:ascii="宋体" w:hAnsi="宋体"/>
                <w:sz w:val="24"/>
              </w:rPr>
            </w:pPr>
            <w:r>
              <w:rPr>
                <w:rFonts w:hint="eastAsia" w:ascii="宋体" w:hAnsi="宋体"/>
                <w:sz w:val="24"/>
              </w:rPr>
              <w:t>序号</w:t>
            </w:r>
          </w:p>
        </w:tc>
        <w:tc>
          <w:tcPr>
            <w:tcW w:w="3471" w:type="dxa"/>
            <w:noWrap w:val="0"/>
            <w:vAlign w:val="center"/>
          </w:tcPr>
          <w:p w14:paraId="4FC60F0A">
            <w:pPr>
              <w:spacing w:line="360" w:lineRule="auto"/>
              <w:jc w:val="center"/>
              <w:rPr>
                <w:rFonts w:ascii="宋体" w:hAnsi="宋体"/>
                <w:sz w:val="24"/>
              </w:rPr>
            </w:pPr>
            <w:r>
              <w:rPr>
                <w:rFonts w:hint="eastAsia" w:ascii="宋体" w:hAnsi="宋体"/>
                <w:sz w:val="24"/>
              </w:rPr>
              <w:t>银行名称</w:t>
            </w:r>
          </w:p>
        </w:tc>
        <w:tc>
          <w:tcPr>
            <w:tcW w:w="2322" w:type="dxa"/>
            <w:noWrap w:val="0"/>
            <w:vAlign w:val="center"/>
          </w:tcPr>
          <w:p w14:paraId="3EB88849">
            <w:pPr>
              <w:spacing w:line="360" w:lineRule="auto"/>
              <w:jc w:val="center"/>
              <w:rPr>
                <w:rFonts w:hint="eastAsia" w:ascii="宋体" w:hAnsi="宋体"/>
                <w:sz w:val="24"/>
              </w:rPr>
            </w:pPr>
            <w:r>
              <w:rPr>
                <w:rFonts w:hint="eastAsia" w:ascii="宋体" w:hAnsi="宋体"/>
                <w:sz w:val="24"/>
              </w:rPr>
              <w:t>联系人</w:t>
            </w:r>
          </w:p>
        </w:tc>
        <w:tc>
          <w:tcPr>
            <w:tcW w:w="2322" w:type="dxa"/>
            <w:noWrap w:val="0"/>
            <w:vAlign w:val="center"/>
          </w:tcPr>
          <w:p w14:paraId="0CDC0EDE">
            <w:pPr>
              <w:spacing w:line="360" w:lineRule="auto"/>
              <w:jc w:val="center"/>
              <w:rPr>
                <w:rFonts w:hint="eastAsia" w:ascii="宋体" w:hAnsi="宋体"/>
                <w:sz w:val="24"/>
              </w:rPr>
            </w:pPr>
            <w:r>
              <w:rPr>
                <w:rFonts w:hint="eastAsia" w:ascii="宋体" w:hAnsi="宋体"/>
                <w:sz w:val="24"/>
              </w:rPr>
              <w:t>电话</w:t>
            </w:r>
          </w:p>
        </w:tc>
      </w:tr>
      <w:tr w14:paraId="7E7C8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6C78BAD1">
            <w:pPr>
              <w:spacing w:line="360" w:lineRule="auto"/>
              <w:jc w:val="center"/>
              <w:rPr>
                <w:rFonts w:hint="eastAsia" w:ascii="宋体" w:hAnsi="宋体"/>
                <w:sz w:val="24"/>
              </w:rPr>
            </w:pPr>
            <w:r>
              <w:rPr>
                <w:rFonts w:hint="eastAsia" w:ascii="宋体" w:hAnsi="宋体"/>
                <w:sz w:val="24"/>
              </w:rPr>
              <w:t>1</w:t>
            </w:r>
          </w:p>
        </w:tc>
        <w:tc>
          <w:tcPr>
            <w:tcW w:w="3471" w:type="dxa"/>
            <w:noWrap w:val="0"/>
            <w:vAlign w:val="center"/>
          </w:tcPr>
          <w:p w14:paraId="49BFACAC">
            <w:pPr>
              <w:spacing w:line="360" w:lineRule="auto"/>
              <w:jc w:val="center"/>
              <w:rPr>
                <w:rFonts w:ascii="宋体" w:hAnsi="宋体"/>
                <w:sz w:val="24"/>
              </w:rPr>
            </w:pPr>
            <w:r>
              <w:rPr>
                <w:rFonts w:hint="eastAsia" w:ascii="宋体" w:hAnsi="宋体"/>
                <w:sz w:val="24"/>
              </w:rPr>
              <w:t>中信银行</w:t>
            </w:r>
          </w:p>
        </w:tc>
        <w:tc>
          <w:tcPr>
            <w:tcW w:w="2322" w:type="dxa"/>
            <w:noWrap w:val="0"/>
            <w:vAlign w:val="center"/>
          </w:tcPr>
          <w:p w14:paraId="7F519470">
            <w:pPr>
              <w:spacing w:line="360" w:lineRule="auto"/>
              <w:jc w:val="center"/>
              <w:rPr>
                <w:rFonts w:hint="eastAsia" w:ascii="宋体" w:hAnsi="宋体"/>
                <w:sz w:val="24"/>
              </w:rPr>
            </w:pPr>
            <w:r>
              <w:rPr>
                <w:rFonts w:hint="eastAsia" w:ascii="宋体" w:hAnsi="宋体"/>
                <w:sz w:val="24"/>
              </w:rPr>
              <w:t>张天宇</w:t>
            </w:r>
          </w:p>
        </w:tc>
        <w:tc>
          <w:tcPr>
            <w:tcW w:w="2322" w:type="dxa"/>
            <w:noWrap w:val="0"/>
            <w:vAlign w:val="center"/>
          </w:tcPr>
          <w:p w14:paraId="73D2D1EC">
            <w:pPr>
              <w:spacing w:line="360" w:lineRule="auto"/>
              <w:jc w:val="center"/>
              <w:rPr>
                <w:rFonts w:ascii="宋体" w:hAnsi="宋体"/>
                <w:sz w:val="24"/>
              </w:rPr>
            </w:pPr>
            <w:r>
              <w:rPr>
                <w:rFonts w:hint="eastAsia" w:ascii="宋体" w:hAnsi="宋体"/>
                <w:sz w:val="24"/>
              </w:rPr>
              <w:t>15102968497</w:t>
            </w:r>
          </w:p>
        </w:tc>
      </w:tr>
      <w:tr w14:paraId="0FAF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1D9B56A5">
            <w:pPr>
              <w:spacing w:line="360" w:lineRule="auto"/>
              <w:jc w:val="center"/>
              <w:rPr>
                <w:rFonts w:hint="eastAsia" w:ascii="宋体" w:hAnsi="宋体"/>
                <w:sz w:val="24"/>
              </w:rPr>
            </w:pPr>
            <w:r>
              <w:rPr>
                <w:rFonts w:hint="eastAsia" w:ascii="宋体" w:hAnsi="宋体"/>
                <w:sz w:val="24"/>
              </w:rPr>
              <w:t>2</w:t>
            </w:r>
          </w:p>
        </w:tc>
        <w:tc>
          <w:tcPr>
            <w:tcW w:w="3471" w:type="dxa"/>
            <w:noWrap w:val="0"/>
            <w:vAlign w:val="center"/>
          </w:tcPr>
          <w:p w14:paraId="2DEFF6A5">
            <w:pPr>
              <w:spacing w:line="360" w:lineRule="auto"/>
              <w:jc w:val="center"/>
              <w:rPr>
                <w:rFonts w:ascii="宋体" w:hAnsi="宋体"/>
                <w:sz w:val="24"/>
              </w:rPr>
            </w:pPr>
            <w:r>
              <w:rPr>
                <w:rFonts w:hint="eastAsia" w:ascii="宋体" w:hAnsi="宋体"/>
                <w:sz w:val="24"/>
              </w:rPr>
              <w:t>中国银行</w:t>
            </w:r>
          </w:p>
        </w:tc>
        <w:tc>
          <w:tcPr>
            <w:tcW w:w="2322" w:type="dxa"/>
            <w:noWrap w:val="0"/>
            <w:vAlign w:val="center"/>
          </w:tcPr>
          <w:p w14:paraId="53B94340">
            <w:pPr>
              <w:spacing w:line="360" w:lineRule="auto"/>
              <w:jc w:val="center"/>
              <w:rPr>
                <w:rFonts w:hint="eastAsia" w:ascii="宋体" w:hAnsi="宋体"/>
                <w:sz w:val="24"/>
              </w:rPr>
            </w:pPr>
            <w:r>
              <w:rPr>
                <w:rFonts w:hint="eastAsia" w:ascii="宋体" w:hAnsi="宋体"/>
                <w:sz w:val="24"/>
              </w:rPr>
              <w:t>王羡</w:t>
            </w:r>
          </w:p>
        </w:tc>
        <w:tc>
          <w:tcPr>
            <w:tcW w:w="2322" w:type="dxa"/>
            <w:noWrap w:val="0"/>
            <w:vAlign w:val="center"/>
          </w:tcPr>
          <w:p w14:paraId="6E9C1706">
            <w:pPr>
              <w:spacing w:line="360" w:lineRule="auto"/>
              <w:jc w:val="center"/>
              <w:rPr>
                <w:rFonts w:ascii="宋体" w:hAnsi="宋体"/>
                <w:sz w:val="24"/>
              </w:rPr>
            </w:pPr>
            <w:r>
              <w:rPr>
                <w:rFonts w:hint="eastAsia" w:ascii="宋体" w:hAnsi="宋体"/>
                <w:sz w:val="24"/>
              </w:rPr>
              <w:t>029-81563158</w:t>
            </w:r>
          </w:p>
        </w:tc>
      </w:tr>
      <w:tr w14:paraId="207B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2A0523F6">
            <w:pPr>
              <w:spacing w:line="360" w:lineRule="auto"/>
              <w:jc w:val="center"/>
              <w:rPr>
                <w:rFonts w:hint="eastAsia" w:ascii="宋体" w:hAnsi="宋体"/>
                <w:sz w:val="24"/>
              </w:rPr>
            </w:pPr>
            <w:r>
              <w:rPr>
                <w:rFonts w:hint="eastAsia" w:ascii="宋体" w:hAnsi="宋体"/>
                <w:sz w:val="24"/>
              </w:rPr>
              <w:t>3</w:t>
            </w:r>
          </w:p>
        </w:tc>
        <w:tc>
          <w:tcPr>
            <w:tcW w:w="3471" w:type="dxa"/>
            <w:noWrap w:val="0"/>
            <w:vAlign w:val="center"/>
          </w:tcPr>
          <w:p w14:paraId="4F679A10">
            <w:pPr>
              <w:spacing w:line="360" w:lineRule="auto"/>
              <w:jc w:val="center"/>
              <w:rPr>
                <w:rFonts w:ascii="宋体" w:hAnsi="宋体"/>
                <w:sz w:val="24"/>
              </w:rPr>
            </w:pPr>
            <w:r>
              <w:rPr>
                <w:rFonts w:hint="eastAsia" w:ascii="宋体" w:hAnsi="宋体"/>
                <w:sz w:val="24"/>
              </w:rPr>
              <w:t>西安市长安区农村信用合作联社</w:t>
            </w:r>
          </w:p>
        </w:tc>
        <w:tc>
          <w:tcPr>
            <w:tcW w:w="2322" w:type="dxa"/>
            <w:noWrap w:val="0"/>
            <w:vAlign w:val="center"/>
          </w:tcPr>
          <w:p w14:paraId="6AA525BB">
            <w:pPr>
              <w:spacing w:line="360" w:lineRule="auto"/>
              <w:jc w:val="center"/>
              <w:rPr>
                <w:rFonts w:hint="eastAsia" w:ascii="宋体" w:hAnsi="宋体"/>
                <w:sz w:val="24"/>
              </w:rPr>
            </w:pPr>
            <w:r>
              <w:rPr>
                <w:rFonts w:hint="eastAsia" w:ascii="宋体" w:hAnsi="宋体"/>
                <w:sz w:val="24"/>
              </w:rPr>
              <w:t>高锋</w:t>
            </w:r>
          </w:p>
        </w:tc>
        <w:tc>
          <w:tcPr>
            <w:tcW w:w="2322" w:type="dxa"/>
            <w:noWrap w:val="0"/>
            <w:vAlign w:val="center"/>
          </w:tcPr>
          <w:p w14:paraId="63A6311A">
            <w:pPr>
              <w:spacing w:line="360" w:lineRule="auto"/>
              <w:jc w:val="center"/>
              <w:rPr>
                <w:rFonts w:ascii="宋体" w:hAnsi="宋体"/>
                <w:sz w:val="24"/>
              </w:rPr>
            </w:pPr>
            <w:r>
              <w:rPr>
                <w:rFonts w:hint="eastAsia" w:ascii="宋体" w:hAnsi="宋体"/>
                <w:sz w:val="24"/>
              </w:rPr>
              <w:t>029-89230551</w:t>
            </w:r>
          </w:p>
        </w:tc>
      </w:tr>
      <w:tr w14:paraId="6060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Merge w:val="restart"/>
            <w:noWrap w:val="0"/>
            <w:vAlign w:val="center"/>
          </w:tcPr>
          <w:p w14:paraId="4582AB43">
            <w:pPr>
              <w:spacing w:line="360" w:lineRule="auto"/>
              <w:jc w:val="center"/>
              <w:rPr>
                <w:rFonts w:hint="eastAsia" w:ascii="宋体" w:hAnsi="宋体"/>
                <w:sz w:val="24"/>
              </w:rPr>
            </w:pPr>
            <w:r>
              <w:rPr>
                <w:rFonts w:hint="eastAsia" w:ascii="宋体" w:hAnsi="宋体"/>
                <w:sz w:val="24"/>
              </w:rPr>
              <w:t>4</w:t>
            </w:r>
          </w:p>
        </w:tc>
        <w:tc>
          <w:tcPr>
            <w:tcW w:w="3471" w:type="dxa"/>
            <w:vMerge w:val="restart"/>
            <w:noWrap w:val="0"/>
            <w:vAlign w:val="center"/>
          </w:tcPr>
          <w:p w14:paraId="334AA031">
            <w:pPr>
              <w:spacing w:line="360" w:lineRule="auto"/>
              <w:jc w:val="center"/>
              <w:rPr>
                <w:rFonts w:ascii="宋体" w:hAnsi="宋体"/>
                <w:sz w:val="24"/>
              </w:rPr>
            </w:pPr>
            <w:r>
              <w:rPr>
                <w:rFonts w:hint="eastAsia" w:ascii="宋体" w:hAnsi="宋体"/>
                <w:sz w:val="24"/>
              </w:rPr>
              <w:t>浦发银行</w:t>
            </w:r>
          </w:p>
        </w:tc>
        <w:tc>
          <w:tcPr>
            <w:tcW w:w="2322" w:type="dxa"/>
            <w:noWrap w:val="0"/>
            <w:vAlign w:val="center"/>
          </w:tcPr>
          <w:p w14:paraId="7FAABA6E">
            <w:pPr>
              <w:spacing w:line="360" w:lineRule="auto"/>
              <w:jc w:val="center"/>
              <w:rPr>
                <w:rFonts w:hint="eastAsia" w:ascii="宋体" w:hAnsi="宋体"/>
                <w:sz w:val="24"/>
              </w:rPr>
            </w:pPr>
            <w:r>
              <w:rPr>
                <w:rFonts w:hint="eastAsia" w:ascii="宋体" w:hAnsi="宋体"/>
                <w:sz w:val="24"/>
              </w:rPr>
              <w:t>雷超</w:t>
            </w:r>
          </w:p>
        </w:tc>
        <w:tc>
          <w:tcPr>
            <w:tcW w:w="2322" w:type="dxa"/>
            <w:noWrap w:val="0"/>
            <w:vAlign w:val="center"/>
          </w:tcPr>
          <w:p w14:paraId="551507B7">
            <w:pPr>
              <w:spacing w:line="360" w:lineRule="auto"/>
              <w:jc w:val="center"/>
              <w:rPr>
                <w:rFonts w:ascii="宋体" w:hAnsi="宋体"/>
                <w:sz w:val="24"/>
              </w:rPr>
            </w:pPr>
            <w:r>
              <w:rPr>
                <w:rFonts w:hint="eastAsia" w:ascii="宋体" w:hAnsi="宋体"/>
                <w:sz w:val="24"/>
              </w:rPr>
              <w:t>13992895375</w:t>
            </w:r>
          </w:p>
        </w:tc>
      </w:tr>
      <w:tr w14:paraId="27DD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vMerge w:val="continue"/>
            <w:noWrap w:val="0"/>
            <w:vAlign w:val="center"/>
          </w:tcPr>
          <w:p w14:paraId="3B37A1FE">
            <w:pPr>
              <w:spacing w:line="360" w:lineRule="auto"/>
              <w:jc w:val="center"/>
              <w:rPr>
                <w:rFonts w:hint="eastAsia" w:ascii="宋体" w:hAnsi="宋体"/>
                <w:sz w:val="24"/>
              </w:rPr>
            </w:pPr>
          </w:p>
        </w:tc>
        <w:tc>
          <w:tcPr>
            <w:tcW w:w="3471" w:type="dxa"/>
            <w:vMerge w:val="continue"/>
            <w:noWrap w:val="0"/>
            <w:vAlign w:val="center"/>
          </w:tcPr>
          <w:p w14:paraId="4D5DE933">
            <w:pPr>
              <w:spacing w:line="360" w:lineRule="auto"/>
              <w:jc w:val="center"/>
              <w:rPr>
                <w:rFonts w:hint="eastAsia" w:ascii="宋体" w:hAnsi="宋体"/>
                <w:sz w:val="24"/>
              </w:rPr>
            </w:pPr>
          </w:p>
        </w:tc>
        <w:tc>
          <w:tcPr>
            <w:tcW w:w="2322" w:type="dxa"/>
            <w:noWrap w:val="0"/>
            <w:vAlign w:val="center"/>
          </w:tcPr>
          <w:p w14:paraId="3BFB3A2B">
            <w:pPr>
              <w:spacing w:line="360" w:lineRule="auto"/>
              <w:jc w:val="center"/>
              <w:rPr>
                <w:rFonts w:hint="eastAsia" w:ascii="宋体" w:hAnsi="宋体"/>
                <w:sz w:val="24"/>
              </w:rPr>
            </w:pPr>
            <w:r>
              <w:rPr>
                <w:rFonts w:hint="eastAsia" w:ascii="宋体" w:hAnsi="宋体"/>
                <w:sz w:val="24"/>
              </w:rPr>
              <w:t>李昊</w:t>
            </w:r>
          </w:p>
        </w:tc>
        <w:tc>
          <w:tcPr>
            <w:tcW w:w="2322" w:type="dxa"/>
            <w:noWrap w:val="0"/>
            <w:vAlign w:val="center"/>
          </w:tcPr>
          <w:p w14:paraId="0E1459DF">
            <w:pPr>
              <w:spacing w:line="360" w:lineRule="auto"/>
              <w:jc w:val="center"/>
              <w:rPr>
                <w:rFonts w:ascii="宋体" w:hAnsi="宋体"/>
                <w:sz w:val="24"/>
              </w:rPr>
            </w:pPr>
            <w:r>
              <w:rPr>
                <w:rFonts w:hint="eastAsia" w:ascii="宋体" w:hAnsi="宋体"/>
                <w:sz w:val="24"/>
              </w:rPr>
              <w:t>15209277417</w:t>
            </w:r>
          </w:p>
        </w:tc>
      </w:tr>
      <w:tr w14:paraId="010B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5D741760">
            <w:pPr>
              <w:spacing w:line="360" w:lineRule="auto"/>
              <w:jc w:val="center"/>
              <w:rPr>
                <w:rFonts w:hint="eastAsia" w:ascii="宋体" w:hAnsi="宋体"/>
                <w:sz w:val="24"/>
              </w:rPr>
            </w:pPr>
            <w:r>
              <w:rPr>
                <w:rFonts w:hint="eastAsia" w:ascii="宋体" w:hAnsi="宋体"/>
                <w:sz w:val="24"/>
              </w:rPr>
              <w:t>6</w:t>
            </w:r>
          </w:p>
        </w:tc>
        <w:tc>
          <w:tcPr>
            <w:tcW w:w="3471" w:type="dxa"/>
            <w:noWrap w:val="0"/>
            <w:vAlign w:val="center"/>
          </w:tcPr>
          <w:p w14:paraId="2D6D350B">
            <w:pPr>
              <w:spacing w:line="360" w:lineRule="auto"/>
              <w:jc w:val="center"/>
              <w:rPr>
                <w:rFonts w:ascii="宋体" w:hAnsi="宋体"/>
                <w:sz w:val="24"/>
              </w:rPr>
            </w:pPr>
            <w:r>
              <w:rPr>
                <w:rFonts w:hint="eastAsia" w:ascii="宋体" w:hAnsi="宋体"/>
                <w:sz w:val="24"/>
              </w:rPr>
              <w:t>北京银行</w:t>
            </w:r>
          </w:p>
        </w:tc>
        <w:tc>
          <w:tcPr>
            <w:tcW w:w="2322" w:type="dxa"/>
            <w:noWrap w:val="0"/>
            <w:vAlign w:val="center"/>
          </w:tcPr>
          <w:p w14:paraId="4197E9D0">
            <w:pPr>
              <w:spacing w:line="360" w:lineRule="auto"/>
              <w:jc w:val="center"/>
              <w:rPr>
                <w:rFonts w:hint="eastAsia" w:ascii="宋体" w:hAnsi="宋体"/>
                <w:sz w:val="24"/>
              </w:rPr>
            </w:pPr>
            <w:r>
              <w:rPr>
                <w:rFonts w:hint="eastAsia" w:ascii="宋体" w:hAnsi="宋体"/>
                <w:sz w:val="24"/>
              </w:rPr>
              <w:t>陈明</w:t>
            </w:r>
          </w:p>
        </w:tc>
        <w:tc>
          <w:tcPr>
            <w:tcW w:w="2322" w:type="dxa"/>
            <w:noWrap w:val="0"/>
            <w:vAlign w:val="center"/>
          </w:tcPr>
          <w:p w14:paraId="0383B351">
            <w:pPr>
              <w:spacing w:line="360" w:lineRule="auto"/>
              <w:jc w:val="center"/>
              <w:rPr>
                <w:rFonts w:ascii="宋体" w:hAnsi="宋体"/>
                <w:sz w:val="24"/>
              </w:rPr>
            </w:pPr>
            <w:r>
              <w:rPr>
                <w:rFonts w:hint="eastAsia" w:ascii="宋体" w:hAnsi="宋体"/>
                <w:sz w:val="24"/>
              </w:rPr>
              <w:t>18149209660</w:t>
            </w:r>
          </w:p>
        </w:tc>
      </w:tr>
      <w:tr w14:paraId="5DA6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17A204F1">
            <w:pPr>
              <w:spacing w:line="360" w:lineRule="auto"/>
              <w:jc w:val="center"/>
              <w:rPr>
                <w:rFonts w:hint="eastAsia" w:ascii="宋体" w:hAnsi="宋体"/>
                <w:sz w:val="24"/>
              </w:rPr>
            </w:pPr>
            <w:r>
              <w:rPr>
                <w:rFonts w:hint="eastAsia" w:ascii="宋体" w:hAnsi="宋体"/>
                <w:sz w:val="24"/>
              </w:rPr>
              <w:t>7</w:t>
            </w:r>
          </w:p>
        </w:tc>
        <w:tc>
          <w:tcPr>
            <w:tcW w:w="3471" w:type="dxa"/>
            <w:noWrap w:val="0"/>
            <w:vAlign w:val="center"/>
          </w:tcPr>
          <w:p w14:paraId="45DF4C82">
            <w:pPr>
              <w:spacing w:line="360" w:lineRule="auto"/>
              <w:jc w:val="center"/>
              <w:rPr>
                <w:rFonts w:ascii="宋体" w:hAnsi="宋体"/>
                <w:sz w:val="24"/>
              </w:rPr>
            </w:pPr>
            <w:r>
              <w:rPr>
                <w:rFonts w:hint="eastAsia" w:ascii="宋体" w:hAnsi="宋体"/>
                <w:sz w:val="24"/>
              </w:rPr>
              <w:t>兴业银行</w:t>
            </w:r>
          </w:p>
        </w:tc>
        <w:tc>
          <w:tcPr>
            <w:tcW w:w="2322" w:type="dxa"/>
            <w:noWrap w:val="0"/>
            <w:vAlign w:val="center"/>
          </w:tcPr>
          <w:p w14:paraId="0D17D2C1">
            <w:pPr>
              <w:spacing w:line="360" w:lineRule="auto"/>
              <w:jc w:val="center"/>
              <w:rPr>
                <w:rFonts w:hint="eastAsia" w:ascii="宋体" w:hAnsi="宋体"/>
                <w:sz w:val="24"/>
              </w:rPr>
            </w:pPr>
            <w:r>
              <w:rPr>
                <w:rFonts w:hint="eastAsia" w:ascii="宋体" w:hAnsi="宋体"/>
                <w:sz w:val="24"/>
              </w:rPr>
              <w:t>孙健</w:t>
            </w:r>
          </w:p>
        </w:tc>
        <w:tc>
          <w:tcPr>
            <w:tcW w:w="2322" w:type="dxa"/>
            <w:noWrap w:val="0"/>
            <w:vAlign w:val="center"/>
          </w:tcPr>
          <w:p w14:paraId="4C112C91">
            <w:pPr>
              <w:spacing w:line="360" w:lineRule="auto"/>
              <w:jc w:val="center"/>
              <w:rPr>
                <w:rFonts w:ascii="宋体" w:hAnsi="宋体"/>
                <w:sz w:val="24"/>
              </w:rPr>
            </w:pPr>
            <w:r>
              <w:rPr>
                <w:rFonts w:hint="eastAsia" w:ascii="宋体" w:hAnsi="宋体"/>
                <w:sz w:val="24"/>
              </w:rPr>
              <w:t>18591051627</w:t>
            </w:r>
          </w:p>
        </w:tc>
      </w:tr>
      <w:tr w14:paraId="33A5E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20276010">
            <w:pPr>
              <w:spacing w:line="360" w:lineRule="auto"/>
              <w:jc w:val="center"/>
              <w:rPr>
                <w:rFonts w:hint="eastAsia" w:ascii="宋体" w:hAnsi="宋体"/>
                <w:sz w:val="24"/>
              </w:rPr>
            </w:pPr>
            <w:r>
              <w:rPr>
                <w:rFonts w:hint="eastAsia" w:ascii="宋体" w:hAnsi="宋体"/>
                <w:sz w:val="24"/>
              </w:rPr>
              <w:t>8</w:t>
            </w:r>
          </w:p>
        </w:tc>
        <w:tc>
          <w:tcPr>
            <w:tcW w:w="3471" w:type="dxa"/>
            <w:noWrap w:val="0"/>
            <w:vAlign w:val="center"/>
          </w:tcPr>
          <w:p w14:paraId="670FD96C">
            <w:pPr>
              <w:spacing w:line="360" w:lineRule="auto"/>
              <w:jc w:val="center"/>
              <w:rPr>
                <w:rFonts w:ascii="宋体" w:hAnsi="宋体"/>
                <w:sz w:val="24"/>
              </w:rPr>
            </w:pPr>
            <w:r>
              <w:rPr>
                <w:rFonts w:hint="eastAsia" w:ascii="宋体" w:hAnsi="宋体"/>
                <w:sz w:val="24"/>
              </w:rPr>
              <w:t>中国建设银行</w:t>
            </w:r>
          </w:p>
        </w:tc>
        <w:tc>
          <w:tcPr>
            <w:tcW w:w="2322" w:type="dxa"/>
            <w:noWrap w:val="0"/>
            <w:vAlign w:val="center"/>
          </w:tcPr>
          <w:p w14:paraId="262A4321">
            <w:pPr>
              <w:spacing w:line="360" w:lineRule="auto"/>
              <w:jc w:val="center"/>
              <w:rPr>
                <w:rFonts w:hint="eastAsia" w:ascii="宋体" w:hAnsi="宋体"/>
                <w:sz w:val="24"/>
              </w:rPr>
            </w:pPr>
            <w:r>
              <w:rPr>
                <w:rFonts w:hint="eastAsia" w:ascii="宋体" w:hAnsi="宋体"/>
                <w:sz w:val="24"/>
              </w:rPr>
              <w:t>孙振荣</w:t>
            </w:r>
          </w:p>
        </w:tc>
        <w:tc>
          <w:tcPr>
            <w:tcW w:w="2322" w:type="dxa"/>
            <w:noWrap w:val="0"/>
            <w:vAlign w:val="center"/>
          </w:tcPr>
          <w:p w14:paraId="7182DCA6">
            <w:pPr>
              <w:spacing w:line="360" w:lineRule="auto"/>
              <w:jc w:val="center"/>
              <w:rPr>
                <w:rFonts w:ascii="宋体" w:hAnsi="宋体"/>
                <w:sz w:val="24"/>
              </w:rPr>
            </w:pPr>
            <w:r>
              <w:rPr>
                <w:rFonts w:hint="eastAsia" w:ascii="宋体" w:hAnsi="宋体"/>
                <w:sz w:val="24"/>
              </w:rPr>
              <w:t>18792546729</w:t>
            </w:r>
          </w:p>
        </w:tc>
      </w:tr>
      <w:tr w14:paraId="20372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dxa"/>
            <w:noWrap w:val="0"/>
            <w:vAlign w:val="center"/>
          </w:tcPr>
          <w:p w14:paraId="02767F1F">
            <w:pPr>
              <w:spacing w:line="360" w:lineRule="auto"/>
              <w:jc w:val="center"/>
              <w:rPr>
                <w:rFonts w:ascii="宋体" w:hAnsi="宋体"/>
                <w:sz w:val="24"/>
              </w:rPr>
            </w:pPr>
            <w:r>
              <w:rPr>
                <w:rFonts w:hint="eastAsia" w:ascii="宋体" w:hAnsi="宋体"/>
                <w:sz w:val="24"/>
              </w:rPr>
              <w:t>9</w:t>
            </w:r>
          </w:p>
        </w:tc>
        <w:tc>
          <w:tcPr>
            <w:tcW w:w="3471" w:type="dxa"/>
            <w:noWrap w:val="0"/>
            <w:vAlign w:val="center"/>
          </w:tcPr>
          <w:p w14:paraId="308AB541">
            <w:pPr>
              <w:spacing w:line="360" w:lineRule="auto"/>
              <w:jc w:val="center"/>
              <w:rPr>
                <w:rFonts w:ascii="宋体" w:hAnsi="宋体"/>
                <w:sz w:val="24"/>
              </w:rPr>
            </w:pPr>
            <w:r>
              <w:rPr>
                <w:rFonts w:hint="eastAsia" w:ascii="宋体" w:hAnsi="宋体"/>
                <w:sz w:val="24"/>
              </w:rPr>
              <w:t>中国工商银行</w:t>
            </w:r>
          </w:p>
        </w:tc>
        <w:tc>
          <w:tcPr>
            <w:tcW w:w="2322" w:type="dxa"/>
            <w:noWrap w:val="0"/>
            <w:vAlign w:val="center"/>
          </w:tcPr>
          <w:p w14:paraId="63D40766">
            <w:pPr>
              <w:spacing w:line="360" w:lineRule="auto"/>
              <w:jc w:val="center"/>
              <w:rPr>
                <w:rFonts w:ascii="宋体" w:hAnsi="宋体"/>
                <w:sz w:val="24"/>
              </w:rPr>
            </w:pPr>
            <w:r>
              <w:rPr>
                <w:rFonts w:hint="eastAsia" w:ascii="宋体" w:hAnsi="宋体"/>
                <w:sz w:val="24"/>
              </w:rPr>
              <w:t>李碧莹</w:t>
            </w:r>
          </w:p>
        </w:tc>
        <w:tc>
          <w:tcPr>
            <w:tcW w:w="2322" w:type="dxa"/>
            <w:noWrap w:val="0"/>
            <w:vAlign w:val="center"/>
          </w:tcPr>
          <w:p w14:paraId="4D90C537">
            <w:pPr>
              <w:spacing w:line="360" w:lineRule="auto"/>
              <w:jc w:val="center"/>
              <w:rPr>
                <w:rFonts w:ascii="宋体" w:hAnsi="宋体"/>
                <w:sz w:val="24"/>
              </w:rPr>
            </w:pPr>
            <w:r>
              <w:rPr>
                <w:rFonts w:hint="eastAsia" w:ascii="宋体" w:hAnsi="宋体"/>
                <w:sz w:val="24"/>
              </w:rPr>
              <w:t>13809159860</w:t>
            </w:r>
          </w:p>
        </w:tc>
      </w:tr>
    </w:tbl>
    <w:p w14:paraId="43B8B8E7">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DCE08">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A1534A">
                          <w:pPr>
                            <w:pStyle w:val="4"/>
                          </w:pPr>
                          <w:r>
                            <w:t xml:space="preserve">第 </w:t>
                          </w:r>
                          <w:r>
                            <w:fldChar w:fldCharType="begin"/>
                          </w:r>
                          <w:r>
                            <w:instrText xml:space="preserve"> PAGE  \* MERGEFORMAT </w:instrText>
                          </w:r>
                          <w:r>
                            <w:fldChar w:fldCharType="separate"/>
                          </w:r>
                          <w:r>
                            <w:t>41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path/>
              <v:fill on="f" focussize="0,0"/>
              <v:stroke on="f"/>
              <v:imagedata o:title=""/>
              <o:lock v:ext="edit" aspectratio="f"/>
              <v:textbox inset="0mm,0mm,0mm,0mm" style="mso-fit-shape-to-text:t;">
                <w:txbxContent>
                  <w:p w14:paraId="22A1534A">
                    <w:pPr>
                      <w:pStyle w:val="4"/>
                    </w:pPr>
                    <w:r>
                      <w:t xml:space="preserve">第 </w:t>
                    </w:r>
                    <w:r>
                      <w:fldChar w:fldCharType="begin"/>
                    </w:r>
                    <w:r>
                      <w:instrText xml:space="preserve"> PAGE  \* MERGEFORMAT </w:instrText>
                    </w:r>
                    <w:r>
                      <w:fldChar w:fldCharType="separate"/>
                    </w:r>
                    <w:r>
                      <w:t>41</w:t>
                    </w:r>
                    <w:r>
                      <w:fldChar w:fldCharType="end"/>
                    </w:r>
                    <w:r>
                      <w:t xml:space="preserve"> 页</w:t>
                    </w:r>
                  </w:p>
                </w:txbxContent>
              </v:textbox>
            </v:shape>
          </w:pict>
        </mc:Fallback>
      </mc:AlternateContent>
    </w:r>
  </w:p>
  <w:p w14:paraId="6100F553">
    <w:pPr>
      <w:pStyle w:val="3"/>
      <w:kinsoku w:val="0"/>
      <w:overflowPunct w:val="0"/>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48E1C"/>
    <w:multiLevelType w:val="singleLevel"/>
    <w:tmpl w:val="B6248E1C"/>
    <w:lvl w:ilvl="0" w:tentative="0">
      <w:start w:val="2"/>
      <w:numFmt w:val="decimal"/>
      <w:suff w:val="nothing"/>
      <w:lvlText w:val="%1、"/>
      <w:lvlJc w:val="left"/>
    </w:lvl>
  </w:abstractNum>
  <w:abstractNum w:abstractNumId="1">
    <w:nsid w:val="F4F57BB5"/>
    <w:multiLevelType w:val="singleLevel"/>
    <w:tmpl w:val="F4F57BB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C9600B"/>
    <w:rsid w:val="40FB2E2C"/>
    <w:rsid w:val="66AF2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Calibri" w:hAnsi="Calibri" w:cs="Times New Roman"/>
      <w:szCs w:val="22"/>
    </w:rPr>
  </w:style>
  <w:style w:type="paragraph" w:styleId="3">
    <w:name w:val="Body Text"/>
    <w:basedOn w:val="1"/>
    <w:next w:val="1"/>
    <w:qFormat/>
    <w:uiPriority w:val="0"/>
    <w:pPr>
      <w:jc w:val="center"/>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customStyle="1" w:styleId="7">
    <w:name w:val="Char1"/>
    <w:basedOn w:val="1"/>
    <w:qFormat/>
    <w:uiPriority w:val="0"/>
    <w:rPr>
      <w:szCs w:val="21"/>
    </w:rPr>
  </w:style>
  <w:style w:type="paragraph" w:customStyle="1" w:styleId="8">
    <w:name w:val="Heading #2|1"/>
    <w:basedOn w:val="1"/>
    <w:qFormat/>
    <w:uiPriority w:val="0"/>
    <w:pPr>
      <w:widowControl w:val="0"/>
      <w:shd w:val="clear" w:color="auto" w:fill="auto"/>
      <w:spacing w:after="520" w:line="557"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9">
    <w:name w:val="Body text|1"/>
    <w:basedOn w:val="1"/>
    <w:qFormat/>
    <w:uiPriority w:val="0"/>
    <w:pPr>
      <w:widowControl w:val="0"/>
      <w:shd w:val="clear" w:color="auto" w:fill="auto"/>
      <w:spacing w:line="394" w:lineRule="auto"/>
      <w:ind w:firstLine="400"/>
    </w:pPr>
    <w:rPr>
      <w:rFonts w:ascii="宋体" w:hAnsi="宋体" w:eastAsia="宋体" w:cs="宋体"/>
      <w:sz w:val="30"/>
      <w:szCs w:val="30"/>
      <w:u w:val="none"/>
      <w:shd w:val="clear" w:color="auto" w:fill="auto"/>
      <w:lang w:val="zh-TW" w:eastAsia="zh-TW" w:bidi="zh-TW"/>
    </w:rPr>
  </w:style>
  <w:style w:type="paragraph" w:customStyle="1" w:styleId="10">
    <w:name w:val="Body text|5"/>
    <w:basedOn w:val="1"/>
    <w:qFormat/>
    <w:uiPriority w:val="0"/>
    <w:pPr>
      <w:widowControl w:val="0"/>
      <w:shd w:val="clear" w:color="auto" w:fill="auto"/>
      <w:spacing w:line="391" w:lineRule="auto"/>
    </w:pPr>
    <w:rPr>
      <w:sz w:val="30"/>
      <w:szCs w:val="30"/>
      <w:u w:val="none"/>
      <w:shd w:val="clear" w:color="auto" w:fill="auto"/>
    </w:rPr>
  </w:style>
  <w:style w:type="paragraph" w:customStyle="1" w:styleId="11">
    <w:name w:val="正文1"/>
    <w:qFormat/>
    <w:uiPriority w:val="0"/>
    <w:pPr>
      <w:widowControl w:val="0"/>
      <w:adjustRightInd w:val="0"/>
      <w:spacing w:after="0" w:line="315" w:lineRule="atLeast"/>
      <w:textAlignment w:val="baseline"/>
    </w:pPr>
    <w:rPr>
      <w:rFonts w:ascii="宋体" w:hAnsi="Times New Roman" w:eastAsia="宋体" w:cs="Times New Roman"/>
      <w:kern w:val="0"/>
      <w:sz w:val="24"/>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468</Words>
  <Characters>468</Characters>
  <Lines>0</Lines>
  <Paragraphs>0</Paragraphs>
  <TotalTime>0</TotalTime>
  <ScaleCrop>false</ScaleCrop>
  <LinksUpToDate>false</LinksUpToDate>
  <CharactersWithSpaces>561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2024-05-11T01:52:00Z</dcterms:created>
  <dc:creator>Administrator</dc:creator>
  <cp:lastModifiedBy>WPS_1699587595</cp:lastModifiedBy>
  <dcterms:modified xsi:type="dcterms:W3CDTF">2026-04-13T06:08:31Z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1C900C6B06BF48A89B6BAC8E228501E4_12</vt:lpwstr>
  </property>
  <property fmtid="{D5CDD505-2E9C-101B-9397-08002B2CF9AE}" pid="4" name="KSOTemplateDocerSaveRecord">
    <vt:lpwstr>eyJoZGlkIjoiNDAyMDI2MGMxMjQ5ZTFhYzZkN2Y4OWFjYzFhMmE4NGYiLCJ1c2VySWQiOiIxNTU3MTExOTM2In0=</vt:lpwstr>
  </property>
</Properties>
</file>