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版本号：HC-FZB-2026-012.1B120260414001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警用车辆采购(二次)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HC-FZB-2026-012.1B1</w:t>
      </w:r>
      <w:r>
        <w:br/>
      </w:r>
      <w:r>
        <w:br/>
      </w:r>
      <w:r>
        <w:br/>
      </w:r>
    </w:p>
    <w:p>
      <w:pPr>
        <w:pStyle w:val="null3"/>
        <w:jc w:val="center"/>
        <w:outlineLvl w:val="2"/>
      </w:pPr>
      <w:r>
        <w:rPr>
          <w:rFonts w:ascii="仿宋_GB2312" w:hAnsi="仿宋_GB2312" w:cs="仿宋_GB2312" w:eastAsia="仿宋_GB2312"/>
          <w:sz w:val="28"/>
          <w:b/>
        </w:rPr>
        <w:t>西安市公安局交通管理支队长安大队</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西安市公安局交通管理支队长安大队</w:t>
      </w:r>
      <w:r>
        <w:rPr>
          <w:rFonts w:ascii="仿宋_GB2312" w:hAnsi="仿宋_GB2312" w:cs="仿宋_GB2312" w:eastAsia="仿宋_GB2312"/>
        </w:rPr>
        <w:t>委托，拟对</w:t>
      </w:r>
      <w:r>
        <w:rPr>
          <w:rFonts w:ascii="仿宋_GB2312" w:hAnsi="仿宋_GB2312" w:cs="仿宋_GB2312" w:eastAsia="仿宋_GB2312"/>
        </w:rPr>
        <w:t>警用车辆采购(二次)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HC-FZB-2026-012.1B1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警用车辆采购(二次)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西安市公安局交通管理支队长安大队需采购新能源警用汽车4辆。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1、法定代表人授权书：法定代表人授权书（附法定代表人、被授权人身份证复印件；法定代表人直接参加谈判，须提供法定代表人身份证明及身份证复印件）</w:t>
      </w:r>
    </w:p>
    <w:p>
      <w:pPr>
        <w:pStyle w:val="null3"/>
      </w:pPr>
      <w:r>
        <w:rPr>
          <w:rFonts w:ascii="仿宋_GB2312" w:hAnsi="仿宋_GB2312" w:cs="仿宋_GB2312" w:eastAsia="仿宋_GB2312"/>
        </w:rPr>
        <w:t>2、信用查询：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西安市公安局交通管理支队长安大队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西安市长安区北长安街24号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姚梦津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85621550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夏庭楷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17792836559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具体收费金额将在成交公告中公布。 请将采购代理服务费汇至下列指定账户： 开户名称：华春建设工程项目管理有限责任公司 开 户 行：中国银行西安南二环支行 账 号：102807336850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西安市公安局交通管理支队长安大队</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西安市公安局交通管理支队长安大队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西安市公安局交通管理支队长安大队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华春建设工程项目管理有限责任公司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对项目进行整体验收，供应商协助配合。其内容包括确认产品的产地、规格、型号和数量，对其产品技术指标、性能参数、样式、颜色、以及质量是否达到现行国家有关验收规范“合格”标准、是否在规定时间内安装完毕、所有产品的配套包装是否完好无损等进行逐项检查。 2、所验产品的指标、性能参数最终验收达不到竞争性谈判文件要求和谈判响应文件承诺的，或在使用中发现采购人不能容忍的缺陷等，将视为产品验收不合格，供应商应在采购人要求的时间内无条件免费更换或退货。 3、若发现供应商有弄虚作假的，在投标阶段故意或随意夸大产品技术性能，供应商应无条件退货，本合同解除，供应商赔偿采购人相应的损失。4、验收标准：按竞争性谈判文件、谈判响应文件及澄清函等技术指标进行验收。各项指标均应符合验收标准及要求。5、验收合格后，填写验收单，双方签字生效。6、验收依据：a)合同文本；b)谈判响应文件及澄清函、竞争性谈判文件；c)国家和行业制定的相应的标准和规范；d)验收清单（注明各部件的品名、数量、规格型号和原产地或生产厂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联系人：夏庭楷</w:t>
      </w:r>
    </w:p>
    <w:p>
      <w:pPr>
        <w:pStyle w:val="null3"/>
      </w:pPr>
      <w:r>
        <w:rPr>
          <w:rFonts w:ascii="仿宋_GB2312" w:hAnsi="仿宋_GB2312" w:cs="仿宋_GB2312" w:eastAsia="仿宋_GB2312"/>
        </w:rPr>
        <w:t>联系电话：17792836559</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西安市公安局交通管理支队长安大队需采购新能源警用汽车4辆。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车辆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发动机排量：≥1.5L</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发动机类型：直列四缸（汽油）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动力类型：插电式混合动力</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变速箱类型：电子无级变速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长×宽×高：≥（4800mm×1900mm×1450mm）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车身结构：4门5座三厢车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轴距≥2750mm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纯电里程：续航≥120km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电池能量（kWh）≥15.00</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综合功率≥190kw</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综合扭矩≥335N·m</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油箱容积≥60L</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排放标准：国VI</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制动系统：四轮盘式</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百公里加速时间≤8.00s</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最高车速≥180km/h</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电池类型：磷酸铁锂蓄电池</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轮距（前/后）（mm）≥1620/1620</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最小转弯半径（m）≤5.8</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电池冷却方式：直冷</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巡航系统：全速自适应巡航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接到采购人通知之日起30日历日内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车辆验收合格</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CDATA[1、技术要求：技术参数不允许出现负偏离，需提供相关证明材料并加盖公章，证明材料包括但不限于（产品介绍彩页、设备参数表、相关检测报告等内容） 2、质保要求：整车质保3年或10万公里（三电系统质保60万公里）；响应人承诺超过谈判文件要求的，按其承诺的质保期进行质保 3、其他要求：所投车型必须在国家发改委或工信部发布的《车辆生产企业及产品》公告内，提供车辆3C认证。4、采购包1：“政采贷”业务介绍：政采贷，即政府采购合同融资，是银行机构以政府采购诚信考核和信用审查为基础，凭借中小企业取得并提供的政府采购合同，按优于一般中小企业贷款的利率直接向申请贷款的中小企业发放贷款的一种新融资方式。政府采购贷特点政采贷以中小企业的政府采购信用和国库集中支付作为履约保障的政府采购合同为基础，借力政府采购诚信保障，提供了银企对接的机会和相关的服务支持。 长安区开展政采贷业务银行联系方式：1.中信银行/张天宇/15102968497/2.中国银行/王 羡/029-81563158/3.西安市长安区农村信用合作联社/高锋/029-89230551/4.浦发银行/ 雷超/13992895375/李昊/15209277417/5. 北京银行/陈明/18149209660/6.兴业银行/孙 健/18591051627/7.中国建设银行/孙振荣/18792546729/8.中国工商银行/李碧莹/13809159860 5、落实政府采购政策： 5.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5.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5.3《关于运用政府采购政策支持乡村产业振兴的通知》（财库〔2021〕19 号）、《关于印发<关于深入开展政府采购脱贫地区农副产品工作推进乡村产业振兴的实施意见>的通知》（财库〔2021〕20 号）。 5.4《国家互联网信息办公室 工业和信息化部 公安部 财政部 国家认证认可监督管理委员会关于调整网络安全专用产品安全管理有关事项的公告》（2023年第1号）。 5.5《陕西省财政厅关于加快推进我省中小企业政府采购信用融资工作的通知》（陕财办采〔2020〕15 号）、《陕西省财政厅关于印发<陕西省中小企业政府采购信用融资办法>的通知》（陕财办采〔2018〕23 号）。 5.6《关于扩大政府采购支持绿色建材促进建筑品质提升政策实施范围的通知》（财库〔2022〕35号）、《财政部办公厅 住房城乡建设部办公厅 工业和信息化部办公厅关于印发<政府采购支持绿色建材促进建筑品质提升政策项目实施指南>的通知》（财办库〔2023〕52号）。 5.7《国务院办公厅关于在政府采购中实施本国产品标准及相关政策的通知》（国办发〔2025〕34号）。 若享受以上政策优惠的企业，提供相应声明函或品目清单范围内产品的有效认证证书或相关证明。 5.8 关于推动解决政府采购异常低价问题的通知（财库〔2026〕2号）。 6、异常低价审查： 6.1评审中出现下列情形之一的，评标委员会应当启动异常低价投标审查程序：①投标报价低于全部通过符合性审查供应商投标报价平均值50%的，即投标报价<全部通过符合性审查供应商投标报价平均值×50%； ②投标报价低于通过符合性审查的次低报价供应商投标报价50%的，即投标报价<通过符合性审查的次低报价供应商投标报价×50%； ③投标报价低于采购项目最高限价45%的，即投标报价<采购项目最高限价×45%； ④评标委员会基于专业判断，认为供应商报价过低，有可能影响产品质量或者不能诚信履约的其他情形。相关法律法规对供应商报价有规定的，从其规定。 6.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供应商需在项目电子化交易系统中按要求填写《投标函》完成承诺并进行电子签章。(1)提供合格有效的法人或者其他 组织的营业执照等证明文件，自然人的身份证明； 供应商是法人或其他组织的应提供营业执照等证明文件，供应商是自然人的应提供有效的自然人身份证明。(2)提供2024年度经审计的财务报告（包括“ 四表一注” 即《资产负债表》《利润表》《现金流量表》《所有者权益变动表》及其附注；成立时间至提交谈判响应文件截止时间不足一年的可提供成立后任意时段的资产负债表）或基本存款账户开户银行出具的资信证明及基本存款账户开户许可证（基本账户信息）或财政部门认可的政府采购专业担保机构出具的担保函；(3)提供具有履行合同所必需的设备和专业技术能力的承诺； (4) 提供谈判截止日前一年内已缴纳的至少一个月的纳税证明或完税证明，依法免税的单位应提供相关证明材料； (5)提供谈判截止日前一年内已缴存的至少一个月的社会保障资金缴存单据或社保机构开具的社会保险参保缴费情况证明,依法不需要缴纳社会保障资金的单位应提供相关证明材料； (6)参加政府采购活动前3年内, 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提供2024年度经审计的财务报告（包括“ 四表一注” 即资产负债表》《利润表》《现金流量表》《所有者权益变动表》及其附注；成立时间至提 交响应响应文件截止时间不足一年的可提供成立后任意时段的资产负债表）或基本存款账户开户银行出具的资信证明及基本存款账户开户许可证（基本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单位负责人为同一人或者存在直接控股、管理关系的不同供应商不得参加同一合同项下的政府采购活动；（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法定代表人授权书（附法定代表人、被授权人身份证复印件；法定代表人直接参加谈判，须提供法定代表人身份证明及身份证复印件）</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法定代表人证明书与法定代表人授权书.docx 商务应答表 供应商应提交的相关资格证明材料 标的清单 报价表 响应函 承诺函.docx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法定代表人证明书与法定代表人授权书.docx 商务应答表 供应商应提交的相关资格证明材料 标的清单 报价表 响应函 承诺函.docx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符合谈判文件要求签署、加盖印章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法定代表人证明书与法定代表人授权书.docx 商务应答表 供应商应提交的相关资格证明材料 标的清单 报价表 响应函 承诺函.docx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法定代表人证明书与法定代表人授权书.docx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谈判总报价</w:t>
            </w:r>
          </w:p>
        </w:tc>
        <w:tc>
          <w:tcPr>
            <w:tcW w:type="dxa" w:w="3322"/>
          </w:tcPr>
          <w:p>
            <w:pPr>
              <w:pStyle w:val="null3"/>
            </w:pPr>
            <w:r>
              <w:rPr>
                <w:rFonts w:ascii="仿宋_GB2312" w:hAnsi="仿宋_GB2312" w:cs="仿宋_GB2312" w:eastAsia="仿宋_GB2312"/>
              </w:rPr>
              <w:t>每轮报价唯一且未超过本项目最高限价 注：本项目最高限价为人民币肆拾万元整（¥400000.00）</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