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版本号：ZHZB-2026-3920260417001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2025年长安区市级产量大镇（街道）建设项目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ZHZB-2026-39</w:t>
      </w:r>
      <w:r>
        <w:br/>
      </w:r>
      <w:r>
        <w:br/>
      </w:r>
      <w:r>
        <w:br/>
      </w:r>
    </w:p>
    <w:p>
      <w:pPr>
        <w:pStyle w:val="null3"/>
        <w:jc w:val="center"/>
        <w:outlineLvl w:val="2"/>
      </w:pPr>
      <w:r>
        <w:rPr>
          <w:rFonts w:ascii="仿宋_GB2312" w:hAnsi="仿宋_GB2312" w:cs="仿宋_GB2312" w:eastAsia="仿宋_GB2312"/>
          <w:sz w:val="28"/>
          <w:b/>
        </w:rPr>
        <w:t>西安市长安区农业技术推广中心</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西安市长安区农业技术推广中心</w:t>
      </w:r>
      <w:r>
        <w:rPr>
          <w:rFonts w:ascii="仿宋_GB2312" w:hAnsi="仿宋_GB2312" w:cs="仿宋_GB2312" w:eastAsia="仿宋_GB2312"/>
        </w:rPr>
        <w:t>委托，拟对</w:t>
      </w:r>
      <w:r>
        <w:rPr>
          <w:rFonts w:ascii="仿宋_GB2312" w:hAnsi="仿宋_GB2312" w:cs="仿宋_GB2312" w:eastAsia="仿宋_GB2312"/>
        </w:rPr>
        <w:t>2025年长安区市级产量大镇（街道）建设项目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2025年长安区市级产量大镇（街道）建设项目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全区5个粮食生产工作突出的街道进行物化补助，补助物资为玉米种子和玉米复合肥。重点用于支持种粮大户、家庭农场、种粮合作社等社会化服务组织发展粮食生产和支持粮食生产先进个人或村集体，促进粮食种植面积、产量增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采购包1（玉米种子）：属于专门面向中小企业采购。</w:t>
      </w:r>
    </w:p>
    <w:p>
      <w:pPr>
        <w:pStyle w:val="null3"/>
      </w:pPr>
      <w:r>
        <w:rPr>
          <w:rFonts w:ascii="仿宋_GB2312" w:hAnsi="仿宋_GB2312" w:cs="仿宋_GB2312" w:eastAsia="仿宋_GB2312"/>
        </w:rPr>
        <w:t>采购包2（复合肥）：属于专门面向中小企业采购。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1、资质：供应商须提供有效的《农作物种子生产经营许可证》B级及以上；</w:t>
      </w:r>
    </w:p>
    <w:p>
      <w:pPr>
        <w:pStyle w:val="null3"/>
      </w:pPr>
      <w:r>
        <w:rPr>
          <w:rFonts w:ascii="仿宋_GB2312" w:hAnsi="仿宋_GB2312" w:cs="仿宋_GB2312" w:eastAsia="仿宋_GB2312"/>
        </w:rPr>
        <w:t>2、信用要求：供应商未被“信用中国”网站列入失信被执行人、重大税收违法失信主体名单，未被“中国政府采购网”网站列入政府采购严重违法失信行为记录名单（以采购代理机构或采购人现场查询为准）；</w:t>
      </w:r>
    </w:p>
    <w:p>
      <w:pPr>
        <w:pStyle w:val="null3"/>
      </w:pPr>
      <w:r>
        <w:rPr>
          <w:rFonts w:ascii="仿宋_GB2312" w:hAnsi="仿宋_GB2312" w:cs="仿宋_GB2312" w:eastAsia="仿宋_GB2312"/>
        </w:rPr>
        <w:t>3、法定代表人授权书或法定代表人身份证明：法定代表人直接参加投标的，须出具法定代表人身份证明；法定代表人委托代理人参加投标的，须出具法定代表人授权书（附法定代表人、代理人身份证复印件）及代理人本单位证明（开标前六个月内任意一个月社会保障资金凭证）；</w:t>
      </w:r>
    </w:p>
    <w:p>
      <w:pPr>
        <w:pStyle w:val="null3"/>
      </w:pPr>
      <w:r>
        <w:rPr>
          <w:rFonts w:ascii="仿宋_GB2312" w:hAnsi="仿宋_GB2312" w:cs="仿宋_GB2312" w:eastAsia="仿宋_GB2312"/>
        </w:rPr>
        <w:t>4、非联合体要求：本合同包不接受联合体投标。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质：供应商为生产厂家的须具有《全国工业产品生产许可证》，提供所投产品的肥料登记证或省级农业农村部门肥料备案信息系统的备案凭证，供应商为代理商的须提供加盖厂家公章的《全国工业产品生产许可证》和肥料登记证或备案证明材料；</w:t>
      </w:r>
    </w:p>
    <w:p>
      <w:pPr>
        <w:pStyle w:val="null3"/>
      </w:pPr>
      <w:r>
        <w:rPr>
          <w:rFonts w:ascii="仿宋_GB2312" w:hAnsi="仿宋_GB2312" w:cs="仿宋_GB2312" w:eastAsia="仿宋_GB2312"/>
        </w:rPr>
        <w:t>2、信用要求：供应商未被“信用中国”网站列入失信被执行人、重大税收违法失信主体名单，未被“中国政府采购网”网站列入政府采购严重违法失信行为记录名单（以采购代理机构或采购人现场查询为准）；</w:t>
      </w:r>
    </w:p>
    <w:p>
      <w:pPr>
        <w:pStyle w:val="null3"/>
      </w:pPr>
      <w:r>
        <w:rPr>
          <w:rFonts w:ascii="仿宋_GB2312" w:hAnsi="仿宋_GB2312" w:cs="仿宋_GB2312" w:eastAsia="仿宋_GB2312"/>
        </w:rPr>
        <w:t>3、法定代表人授权书或法定代表人身份证明：法定代表人直接参加投标的，须出具法定代表人身份证明；法定代表人委托代理人参加投标的，须出具法定代表人授权书（附法定代表人、代理人身份证复印件）及代理人本单位证明（开标前六个月内任意一个月社会保障资金凭证）；</w:t>
      </w:r>
    </w:p>
    <w:p>
      <w:pPr>
        <w:pStyle w:val="null3"/>
      </w:pPr>
      <w:r>
        <w:rPr>
          <w:rFonts w:ascii="仿宋_GB2312" w:hAnsi="仿宋_GB2312" w:cs="仿宋_GB2312" w:eastAsia="仿宋_GB2312"/>
        </w:rPr>
        <w:t>4、非联合体要求：本合同包不接受联合体投标。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西安市长安区南长安街201A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029-85622271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王臻、张盼、王阿磊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15502905959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代理服务费收费标准：参照国家发展计划委员会计价格[2002]1980号文件、国家发展和改革委员会办公厅颁发的《关于招标代理服务收费有关问题的通知》（发改办价格[2003]857号）规定的标准收取。 代理服务费缴纳账户信息： 银行户名：众合国际项目管理有限公司 开户银行：西安银行股份有限公司高新四路支行 账 号：6110 1158 0000 0858 34 注：转账时备注项目名称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西安市长安区农业技术推广中心</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西安市长安区农业技术推广中心</w:t>
      </w:r>
      <w:r>
        <w:rPr>
          <w:rFonts w:ascii="仿宋_GB2312" w:hAnsi="仿宋_GB2312" w:cs="仿宋_GB2312" w:eastAsia="仿宋_GB2312"/>
        </w:rPr>
        <w:t>负责解释。除上述招标文件内容，其他内容由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按国家现行项目实施规范和合同规定的验收评定标准等要求进行验收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按国家现行项目实施规范和合同规定的验收评定标准等要求进行验收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联系人：王臻、张盼、王阿磊</w:t>
      </w:r>
    </w:p>
    <w:p>
      <w:pPr>
        <w:pStyle w:val="null3"/>
      </w:pPr>
      <w:r>
        <w:rPr>
          <w:rFonts w:ascii="仿宋_GB2312" w:hAnsi="仿宋_GB2312" w:cs="仿宋_GB2312" w:eastAsia="仿宋_GB2312"/>
        </w:rPr>
        <w:t>联系电话：15502905959</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区5个粮食生产工作突出的街道进行物化补助，补助物资为玉米种子和玉米复合肥。重点用于支持种粮大户、家庭农场、种粮合作社等社会化服务组织发展粮食生产和支持粮食生产先进个人或村集体，促进粮食种植面积、产量增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玉米种子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复合肥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标的名称：玉米种子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采购</w:t>
            </w:r>
            <w:r>
              <w:rPr>
                <w:rFonts w:ascii="仿宋_GB2312" w:hAnsi="仿宋_GB2312" w:cs="仿宋_GB2312" w:eastAsia="仿宋_GB2312"/>
                <w:sz w:val="20"/>
              </w:rPr>
              <w:t>玉米种子</w:t>
            </w:r>
            <w:r>
              <w:rPr>
                <w:rFonts w:ascii="仿宋_GB2312" w:hAnsi="仿宋_GB2312" w:cs="仿宋_GB2312" w:eastAsia="仿宋_GB2312"/>
                <w:sz w:val="20"/>
              </w:rPr>
              <w:t>10000袋</w:t>
            </w:r>
            <w:r>
              <w:rPr>
                <w:rFonts w:ascii="仿宋_GB2312" w:hAnsi="仿宋_GB2312" w:cs="仿宋_GB2312" w:eastAsia="仿宋_GB2312"/>
                <w:sz w:val="20"/>
              </w:rPr>
              <w:t>，技术要求：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1）规格：4200—5000粒/袋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适合长安区地区大面积密植及推广的优良品种，具有抗逆性、抗病性、丰产性好的特点</w:t>
            </w:r>
            <w:r>
              <w:rPr>
                <w:rFonts w:ascii="仿宋_GB2312" w:hAnsi="仿宋_GB2312" w:cs="仿宋_GB2312" w:eastAsia="仿宋_GB2312"/>
                <w:sz w:val="20"/>
              </w:rPr>
              <w:t>（不少于</w:t>
            </w:r>
            <w:r>
              <w:rPr>
                <w:rFonts w:ascii="仿宋_GB2312" w:hAnsi="仿宋_GB2312" w:cs="仿宋_GB2312" w:eastAsia="仿宋_GB2312"/>
                <w:sz w:val="20"/>
              </w:rPr>
              <w:t>3（含）个品种）</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执行标准</w:t>
            </w:r>
            <w:r>
              <w:rPr>
                <w:rFonts w:ascii="仿宋_GB2312" w:hAnsi="仿宋_GB2312" w:cs="仿宋_GB2312" w:eastAsia="仿宋_GB2312"/>
                <w:sz w:val="20"/>
              </w:rPr>
              <w:t>GB4404.1-2024，包衣种子；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玉米品种审定证书；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5）提供投标文件截止时间前近一年内</w:t>
            </w:r>
            <w:r>
              <w:rPr>
                <w:rFonts w:ascii="仿宋_GB2312" w:hAnsi="仿宋_GB2312" w:cs="仿宋_GB2312" w:eastAsia="仿宋_GB2312"/>
                <w:sz w:val="20"/>
              </w:rPr>
              <w:t>种子质量检验报告单。</w:t>
            </w:r>
          </w:p>
          <w:p>
            <w:pPr>
              <w:pStyle w:val="null3"/>
              <w:jc w:val="both"/>
            </w:pPr>
            <w:r>
              <w:rPr>
                <w:rFonts w:ascii="仿宋_GB2312" w:hAnsi="仿宋_GB2312" w:cs="仿宋_GB2312" w:eastAsia="仿宋_GB2312"/>
                <w:sz w:val="21"/>
                <w:b/>
              </w:rPr>
              <w:t>注：提供生产厂家确认的玉米品种审定证书和种子质量检验报告单（加盖厂家公章）。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服务要求：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在合同执行过程中需要供应商应执行的伴随服务的服务标准或应当履行的相关义务。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2026年6月10日前将玉米种子发放到项目村组并登记造册</w:t>
            </w:r>
            <w:r>
              <w:rPr>
                <w:rFonts w:ascii="仿宋_GB2312" w:hAnsi="仿宋_GB2312" w:cs="仿宋_GB2312" w:eastAsia="仿宋_GB2312"/>
                <w:sz w:val="20"/>
              </w:rPr>
              <w:t>，玉米生育期内负责开展相关技术指导。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其它要求：</w:t>
            </w:r>
            <w:r>
              <w:rPr>
                <w:rFonts w:ascii="仿宋_GB2312" w:hAnsi="仿宋_GB2312" w:cs="仿宋_GB2312" w:eastAsia="仿宋_GB2312"/>
                <w:sz w:val="20"/>
              </w:rPr>
              <w:t>中标方提供玉米种子经第三方检验出现质量问题需承担相关经济损失</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标的名称：复合肥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采购玉米复合肥</w:t>
            </w:r>
            <w:r>
              <w:rPr>
                <w:rFonts w:ascii="仿宋_GB2312" w:hAnsi="仿宋_GB2312" w:cs="仿宋_GB2312" w:eastAsia="仿宋_GB2312"/>
                <w:sz w:val="20"/>
              </w:rPr>
              <w:t>4000袋</w:t>
            </w:r>
            <w:r>
              <w:rPr>
                <w:rFonts w:ascii="仿宋_GB2312" w:hAnsi="仿宋_GB2312" w:cs="仿宋_GB2312" w:eastAsia="仿宋_GB2312"/>
                <w:sz w:val="20"/>
              </w:rPr>
              <w:t>，</w:t>
            </w:r>
            <w:r>
              <w:rPr>
                <w:rFonts w:ascii="仿宋_GB2312" w:hAnsi="仿宋_GB2312" w:cs="仿宋_GB2312" w:eastAsia="仿宋_GB2312"/>
                <w:sz w:val="20"/>
              </w:rPr>
              <w:t>技术要求：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1）规格</w:t>
            </w:r>
            <w:r>
              <w:rPr>
                <w:rFonts w:ascii="仿宋_GB2312" w:hAnsi="仿宋_GB2312" w:cs="仿宋_GB2312" w:eastAsia="仿宋_GB2312"/>
                <w:sz w:val="20"/>
              </w:rPr>
              <w:t>40公斤/袋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执行标准：</w:t>
            </w:r>
            <w:r>
              <w:rPr>
                <w:rFonts w:ascii="仿宋_GB2312" w:hAnsi="仿宋_GB2312" w:cs="仿宋_GB2312" w:eastAsia="仿宋_GB2312"/>
                <w:sz w:val="20"/>
              </w:rPr>
              <w:t>GB/T 15063-2020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高氮型</w:t>
            </w:r>
            <w:r>
              <w:rPr>
                <w:rFonts w:ascii="仿宋_GB2312" w:hAnsi="仿宋_GB2312" w:cs="仿宋_GB2312" w:eastAsia="仿宋_GB2312"/>
                <w:sz w:val="20"/>
              </w:rPr>
              <w:t>（</w:t>
            </w:r>
            <w:r>
              <w:rPr>
                <w:rFonts w:ascii="仿宋_GB2312" w:hAnsi="仿宋_GB2312" w:cs="仿宋_GB2312" w:eastAsia="仿宋_GB2312"/>
                <w:sz w:val="20"/>
              </w:rPr>
              <w:t>N-P</w:t>
            </w:r>
            <w:r>
              <w:rPr>
                <w:rFonts w:ascii="仿宋_GB2312" w:hAnsi="仿宋_GB2312" w:cs="仿宋_GB2312" w:eastAsia="仿宋_GB2312"/>
                <w:sz w:val="20"/>
                <w:vertAlign w:val="subscript"/>
              </w:rPr>
              <w:t>2</w:t>
            </w:r>
            <w:r>
              <w:rPr>
                <w:rFonts w:ascii="仿宋_GB2312" w:hAnsi="仿宋_GB2312" w:cs="仿宋_GB2312" w:eastAsia="仿宋_GB2312"/>
                <w:sz w:val="20"/>
              </w:rPr>
              <w:t>O</w:t>
            </w:r>
            <w:r>
              <w:rPr>
                <w:rFonts w:ascii="仿宋_GB2312" w:hAnsi="仿宋_GB2312" w:cs="仿宋_GB2312" w:eastAsia="仿宋_GB2312"/>
                <w:sz w:val="20"/>
                <w:vertAlign w:val="subscript"/>
              </w:rPr>
              <w:t>5</w:t>
            </w:r>
            <w:r>
              <w:rPr>
                <w:rFonts w:ascii="仿宋_GB2312" w:hAnsi="仿宋_GB2312" w:cs="仿宋_GB2312" w:eastAsia="仿宋_GB2312"/>
                <w:sz w:val="20"/>
              </w:rPr>
              <w:t>-K</w:t>
            </w:r>
            <w:r>
              <w:rPr>
                <w:rFonts w:ascii="仿宋_GB2312" w:hAnsi="仿宋_GB2312" w:cs="仿宋_GB2312" w:eastAsia="仿宋_GB2312"/>
                <w:sz w:val="20"/>
                <w:vertAlign w:val="subscript"/>
              </w:rPr>
              <w:t>2</w:t>
            </w:r>
            <w:r>
              <w:rPr>
                <w:rFonts w:ascii="仿宋_GB2312" w:hAnsi="仿宋_GB2312" w:cs="仿宋_GB2312" w:eastAsia="仿宋_GB2312"/>
                <w:sz w:val="20"/>
              </w:rPr>
              <w:t>O:28-6-6）</w:t>
            </w:r>
            <w:r>
              <w:rPr>
                <w:rFonts w:ascii="仿宋_GB2312" w:hAnsi="仿宋_GB2312" w:cs="仿宋_GB2312" w:eastAsia="仿宋_GB2312"/>
                <w:sz w:val="20"/>
              </w:rPr>
              <w:t>玉米专用肥，总养分含量</w:t>
            </w:r>
            <w:r>
              <w:rPr>
                <w:rFonts w:ascii="仿宋_GB2312" w:hAnsi="仿宋_GB2312" w:cs="仿宋_GB2312" w:eastAsia="仿宋_GB2312"/>
                <w:sz w:val="20"/>
              </w:rPr>
              <w:t>≥40.0%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4）提供投标文件截止时间前近一年内由第三方检测机构或生产厂家出具的</w:t>
            </w:r>
            <w:r>
              <w:rPr>
                <w:rFonts w:ascii="仿宋_GB2312" w:hAnsi="仿宋_GB2312" w:cs="仿宋_GB2312" w:eastAsia="仿宋_GB2312"/>
                <w:sz w:val="20"/>
              </w:rPr>
              <w:t>质</w:t>
            </w:r>
            <w:r>
              <w:rPr>
                <w:rFonts w:ascii="仿宋_GB2312" w:hAnsi="仿宋_GB2312" w:cs="仿宋_GB2312" w:eastAsia="仿宋_GB2312"/>
                <w:sz w:val="20"/>
              </w:rPr>
              <w:t>量</w:t>
            </w:r>
            <w:r>
              <w:rPr>
                <w:rFonts w:ascii="仿宋_GB2312" w:hAnsi="仿宋_GB2312" w:cs="仿宋_GB2312" w:eastAsia="仿宋_GB2312"/>
                <w:sz w:val="20"/>
              </w:rPr>
              <w:t>检</w:t>
            </w:r>
            <w:r>
              <w:rPr>
                <w:rFonts w:ascii="仿宋_GB2312" w:hAnsi="仿宋_GB2312" w:cs="仿宋_GB2312" w:eastAsia="仿宋_GB2312"/>
                <w:sz w:val="20"/>
              </w:rPr>
              <w:t>验</w:t>
            </w:r>
            <w:r>
              <w:rPr>
                <w:rFonts w:ascii="仿宋_GB2312" w:hAnsi="仿宋_GB2312" w:cs="仿宋_GB2312" w:eastAsia="仿宋_GB2312"/>
                <w:sz w:val="20"/>
              </w:rPr>
              <w:t>报告单。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服务要求：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在合同执行过程中需要供应商应执行的伴随服务的服务标准或应当履行的相关义务。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2026年6月10日前将复合肥发放到项目村组并登记造册</w:t>
            </w:r>
            <w:r>
              <w:rPr>
                <w:rFonts w:ascii="仿宋_GB2312" w:hAnsi="仿宋_GB2312" w:cs="仿宋_GB2312" w:eastAsia="仿宋_GB2312"/>
                <w:sz w:val="20"/>
              </w:rPr>
              <w:t>并负责开展相关技术指导。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其它要求：</w:t>
            </w:r>
            <w:r>
              <w:rPr>
                <w:rFonts w:ascii="仿宋_GB2312" w:hAnsi="仿宋_GB2312" w:cs="仿宋_GB2312" w:eastAsia="仿宋_GB2312"/>
                <w:sz w:val="20"/>
              </w:rPr>
              <w:t>中标方提供</w:t>
            </w:r>
            <w:r>
              <w:rPr>
                <w:rFonts w:ascii="仿宋_GB2312" w:hAnsi="仿宋_GB2312" w:cs="仿宋_GB2312" w:eastAsia="仿宋_GB2312"/>
                <w:sz w:val="20"/>
              </w:rPr>
              <w:t>玉米</w:t>
            </w:r>
            <w:r>
              <w:rPr>
                <w:rFonts w:ascii="仿宋_GB2312" w:hAnsi="仿宋_GB2312" w:cs="仿宋_GB2312" w:eastAsia="仿宋_GB2312"/>
                <w:sz w:val="20"/>
              </w:rPr>
              <w:t>复合肥经第三方检验出现质量问题需承担相关经济损失</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2026年6月10日前，按照甲方指定地点完成供货，并交付采购人验收合格。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2026年6月10日前，按照甲方指定地点完成供货，并交付采购人验收合格。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项目验收完成后，按照财政资金拨付情况及时支付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项目验收完成后，按照财政资金拨付情况及时支付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（1）货物到达交货地点后，由采购方根据合同对货物（产品）的名称、品牌、规格、型号、产地、数量进行检查。 （2）验收不合格的中标单位，必须在接到通知后 7 个日历日内确保货物通过验收。若接到通知后 7 个日历日内验收仍不合格，采购方可提出索赔或取消其供货合同。 （3）验收依据 1）合同文本及合同补充文件（条款）。 2）所投产品的来源证明资料。 3）招标文件。 4）中标人的投标文件。 5）合同货物清单。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（1）货物到达交货地点后，由采购方根据合同对货物（产品）的名称、品牌、规格、型号、产地、数量进行检查。 （2）验收不合格的中标单位，必须在接到通知后 7 个日历日内确保货物通过验收。若接到通知后 7 个日历日内验收仍不合格，采购方可提出索赔或取消其供货合同。 （3）验收依据 1）合同文本及合同补充文件（条款）。 2）所投产品的来源证明资料。 3）招标文件。 4）中标人的投标文件。 5）合同货物清单。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保修范围：采购要求全部内容；产品质保期：2026年10月15日之前。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保修范围：采购要求全部内容；产品质保期：2026年10月15日之前。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2、未按合同要求的提供产品或设备质量不能满足技术要求，甲方有权终止合同，甚至对供方违约行为进行追究。 3、中标方提供玉米种子经第三方检验出现质量问题需承担相关经济损失。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2、未按合同要求的提供产品或设备质量不能满足技术要求，甲方有权终止合同，甚至对供方违约行为进行追究。 3、中标方提供玉米复合肥经第三方检验出现质量问题需承担相关经济损失。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1、结果公告发布5日内中标人须向采购代理机构提供纸质版投标文件2套，且提供的投标文件必须与在陕西省政府采购综合管理平台的项目电子化交易系统中递交的投标文件内容一致。提交地点：陕西省西安市莲湖区丰登南路3号1幢306室（丰庆公园北门往西200米PM中心三楼）。 2、如磋商文件中融资相关内容与新政策要求有出入，按照最新要求执行。 采购包2： 1、结果公告发布5日内中标人须向采购代理机构提供纸质版投标文件2套，且提供的投标文件必须与在陕西省政府采购综合管理平台的项目电子化交易系统中递交的投标文件内容一致。提交地点：陕西省西安市莲湖区丰登南路3号1幢306室（丰庆公园北门往西200米PM中心三楼）。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的营业执照等证明文件，自然人的身份证明；（2）税收缴纳证明：提供2025年10月至今任意一个月的纳税证明或完税证明，依法免税的单位应提供相关证明材料；（3）社会保障资金缴纳证明：提供2025年10月至今任意一个月的社会保障资金缴存单据或社保机构开具的社会保险参保缴费情况证明，依法不需要缴纳社会保障资金的单位应提供相关证明材料；（4）具备履行合同所必需的设备和专业技术能力的说明；(5)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资格证明部分.docx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提供2024年度或2025年度经审计的财务会计报告或其提交投标文件截止时间前3个月内银行出具的资信证明。（以上形式的资料提供任何一种即可）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投标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《资产负债表》《利润表》《现金流量表》及其附注，或者提交投标文件截止时间前3个月内其基本账户开户银行出具的资信证明（附基本存款账户信息）； （2）其他组织和自然人，提供提交投标文件截止时间前3个月内银行出具的资信证明（附账户信息）； （3）供应商成立不到1年（至提交投标文件截止时间）的，提供成立后任意时段的资产负债表，或提交投标文件截止时间前3个月内其基本账户开户银行出具的资信证明（附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的营业执照等证明文件，自然人的身份证明；（2）税收缴纳证明：提供2025年10月至今任意一个月的纳税证明或完税证明，依法免税的单位应提供相关证明材料；（3）社会保障资金缴纳证明：提供2025年10月至今任意一个月的社会保障资金缴存单据或社保机构开具的社会保险参保缴费情况证明，依法不需要缴纳社会保障资金的单位应提供相关证明材料；（4）具备履行合同所必需的设备和专业技术能力的说明；(5)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资格证明部分.docx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提供2024年度或2025年度经审计的财务会计报告或其提交投标文件截止时间前3个月内银行出具的资信证明。（以上形式的资料提供任何一种即可）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投标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《资产负债表》《利润表》《现金流量表》及其附注，或者提交投标文件截止时间前3个月内其基本账户开户银行出具的资信证明（附基本存款账户信息）； （2）其他组织和自然人，提供提交投标文件截止时间前3个月内银行出具的资信证明（附账户信息）； （3）供应商成立不到1年（至提交投标文件截止时间）的，提供成立后任意时段的资产负债表，或提交投标文件截止时间前3个月内其基本账户开户银行出具的资信证明（附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供应商须提供有效的《农作物种子生产经营许可证》B级及以上；</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供应商未被“信用中国”网站列入失信被执行人、重大税收违法失信主体名单，未被“中国政府采购网”网站列入政府采购严重违法失信行为记录名单（以采购代理机构或采购人现场查询为准）；</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社会保障资金凭证）；</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非联合体要求</w:t>
            </w:r>
          </w:p>
        </w:tc>
        <w:tc>
          <w:tcPr>
            <w:tcW w:type="dxa" w:w="3322"/>
          </w:tcPr>
          <w:p>
            <w:pPr>
              <w:pStyle w:val="null3"/>
            </w:pPr>
            <w:r>
              <w:rPr>
                <w:rFonts w:ascii="仿宋_GB2312" w:hAnsi="仿宋_GB2312" w:cs="仿宋_GB2312" w:eastAsia="仿宋_GB2312"/>
              </w:rPr>
              <w:t>本合同包不接受联合体投标。</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为生产厂家的须具有《全国工业产品生产许可证》，提供所投产品的肥料登记证或省级农业农村部门肥料备案信息系统的备案凭证，供应商为代理商的须提供加盖厂家公章的《全国工业产品生产许可证》和肥料登记证或备案证明材料；</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供应商未被“信用中国”网站列入失信被执行人、重大税收违法失信主体名单，未被“中国政府采购网”网站列入政府采购严重违法失信行为记录名单（以采购代理机构或采购人现场查询为准）；</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社会保障资金凭证）；</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非联合体要求</w:t>
            </w:r>
          </w:p>
        </w:tc>
        <w:tc>
          <w:tcPr>
            <w:tcW w:type="dxa" w:w="3322"/>
          </w:tcPr>
          <w:p>
            <w:pPr>
              <w:pStyle w:val="null3"/>
            </w:pPr>
            <w:r>
              <w:rPr>
                <w:rFonts w:ascii="仿宋_GB2312" w:hAnsi="仿宋_GB2312" w:cs="仿宋_GB2312" w:eastAsia="仿宋_GB2312"/>
              </w:rPr>
              <w:t>本合同包不接受联合体投标。</w:t>
            </w:r>
          </w:p>
        </w:tc>
        <w:tc>
          <w:tcPr>
            <w:tcW w:type="dxa" w:w="1661"/>
          </w:tcPr>
          <w:p>
            <w:pPr>
              <w:pStyle w:val="null3"/>
            </w:pPr>
            <w:r>
              <w:rPr>
                <w:rFonts w:ascii="仿宋_GB2312" w:hAnsi="仿宋_GB2312" w:cs="仿宋_GB2312" w:eastAsia="仿宋_GB2312"/>
              </w:rPr>
              <w:t>资格证明部分.docx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应符合招标文件中的要求</w:t>
            </w:r>
          </w:p>
        </w:tc>
        <w:tc>
          <w:tcPr>
            <w:tcW w:type="dxa" w:w="1661"/>
          </w:tcPr>
          <w:p>
            <w:pPr>
              <w:pStyle w:val="null3"/>
            </w:pPr>
            <w:r>
              <w:rPr>
                <w:rFonts w:ascii="仿宋_GB2312" w:hAnsi="仿宋_GB2312" w:cs="仿宋_GB2312" w:eastAsia="仿宋_GB2312"/>
              </w:rPr>
              <w:t>开标一览表 资格证明部分.docx 投标函 中小企业声明函 残疾人福利性单位声明函 标的清单 投标文件封面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应符合“投标文件格式”要求（不得因文件排序等非实质性的格式、形式问题限制和影响投标人投标)</w:t>
            </w:r>
          </w:p>
        </w:tc>
        <w:tc>
          <w:tcPr>
            <w:tcW w:type="dxa" w:w="1661"/>
          </w:tcPr>
          <w:p>
            <w:pPr>
              <w:pStyle w:val="null3"/>
            </w:pPr>
            <w:r>
              <w:rPr>
                <w:rFonts w:ascii="仿宋_GB2312" w:hAnsi="仿宋_GB2312" w:cs="仿宋_GB2312" w:eastAsia="仿宋_GB2312"/>
              </w:rPr>
              <w:t>开标一览表 资格证明部分.docx 投标函 中小企业声明函 残疾人福利性单位声明函 标的清单 投标文件封面 商务技术部分.docx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商务技术部分.docx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（1）不同供应商的投标文件由同一单位或者个人编制； （2）不同供应商委托同一单位或者个人办理投标事宜； （3）不同供应商的投标文件载明的项目管理成员或者联系人员为同一人； （4）不同供应商的投标文件异常一致或者投标报价呈规律性差异； （5）不同供应商的投标文件相互混装。</w:t>
            </w:r>
          </w:p>
        </w:tc>
        <w:tc>
          <w:tcPr>
            <w:tcW w:type="dxa" w:w="1661"/>
          </w:tcPr>
          <w:p>
            <w:pPr>
              <w:pStyle w:val="null3"/>
            </w:pPr>
            <w:r>
              <w:rPr>
                <w:rFonts w:ascii="仿宋_GB2312" w:hAnsi="仿宋_GB2312" w:cs="仿宋_GB2312" w:eastAsia="仿宋_GB2312"/>
              </w:rPr>
              <w:t>开标一览表 资格证明部分.docx 标的清单 投标文件封面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应符合招标文件中的规定</w:t>
            </w:r>
          </w:p>
        </w:tc>
        <w:tc>
          <w:tcPr>
            <w:tcW w:type="dxa" w:w="1661"/>
          </w:tcPr>
          <w:p>
            <w:pPr>
              <w:pStyle w:val="null3"/>
            </w:pPr>
            <w:r>
              <w:rPr>
                <w:rFonts w:ascii="仿宋_GB2312" w:hAnsi="仿宋_GB2312" w:cs="仿宋_GB2312" w:eastAsia="仿宋_GB2312"/>
              </w:rPr>
              <w:t>标的清单 商务技术部分.docx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应符合招标文件中的要求</w:t>
            </w:r>
          </w:p>
        </w:tc>
        <w:tc>
          <w:tcPr>
            <w:tcW w:type="dxa" w:w="1661"/>
          </w:tcPr>
          <w:p>
            <w:pPr>
              <w:pStyle w:val="null3"/>
            </w:pPr>
            <w:r>
              <w:rPr>
                <w:rFonts w:ascii="仿宋_GB2312" w:hAnsi="仿宋_GB2312" w:cs="仿宋_GB2312" w:eastAsia="仿宋_GB2312"/>
              </w:rPr>
              <w:t>开标一览表 资格证明部分.docx 投标函 中小企业声明函 残疾人福利性单位声明函 标的清单 投标文件封面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应符合“投标文件格式”要求（不得因文件排序等非实质性的格式、形式问题限制和影响投标人投标)</w:t>
            </w:r>
          </w:p>
        </w:tc>
        <w:tc>
          <w:tcPr>
            <w:tcW w:type="dxa" w:w="1661"/>
          </w:tcPr>
          <w:p>
            <w:pPr>
              <w:pStyle w:val="null3"/>
            </w:pPr>
            <w:r>
              <w:rPr>
                <w:rFonts w:ascii="仿宋_GB2312" w:hAnsi="仿宋_GB2312" w:cs="仿宋_GB2312" w:eastAsia="仿宋_GB2312"/>
              </w:rPr>
              <w:t>开标一览表 资格证明部分.docx 投标函 中小企业声明函 残疾人福利性单位声明函 标的清单 投标文件封面 商务技术部分.docx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商务技术部分.docx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（1）不同供应商的投标文件由同一单位或者个人编制； （2）不同供应商委托同一单位或者个人办理投标事宜； （3）不同供应商的投标文件载明的项目管理成员或者联系人员为同一人； （4）不同供应商的投标文件异常一致或者投标报价呈规律性差异； （5）不同供应商的投标文件相互混装。</w:t>
            </w:r>
          </w:p>
        </w:tc>
        <w:tc>
          <w:tcPr>
            <w:tcW w:type="dxa" w:w="1661"/>
          </w:tcPr>
          <w:p>
            <w:pPr>
              <w:pStyle w:val="null3"/>
            </w:pPr>
            <w:r>
              <w:rPr>
                <w:rFonts w:ascii="仿宋_GB2312" w:hAnsi="仿宋_GB2312" w:cs="仿宋_GB2312" w:eastAsia="仿宋_GB2312"/>
              </w:rPr>
              <w:t>开标一览表 资格证明部分.docx 标的清单 投标文件封面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应符合招标文件中的规定</w:t>
            </w:r>
          </w:p>
        </w:tc>
        <w:tc>
          <w:tcPr>
            <w:tcW w:type="dxa" w:w="1661"/>
          </w:tcPr>
          <w:p>
            <w:pPr>
              <w:pStyle w:val="null3"/>
            </w:pPr>
            <w:r>
              <w:rPr>
                <w:rFonts w:ascii="仿宋_GB2312" w:hAnsi="仿宋_GB2312" w:cs="仿宋_GB2312" w:eastAsia="仿宋_GB2312"/>
              </w:rPr>
              <w:t>标的清单 商务技术部分.docx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所提供产品须保证无病虫害、长势良好，货源渠道正常，能提供种源证明或种子销售合法来源证明文件。满分3.5分，未提供的不计分。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供应商所投产品技术参数逐条响应并满足招标文件技术指标得4分，不满足不得分。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供应商所投产品为适合长安区地区大面积密植及推广的优良品种，具有抗逆性、抗病性、丰产性好的特点； 1、能提供“耐密植”或“适宜密植”等相关标注的证明材料得1.5分，否则不得分； 2、能提供产品具有抗病性（关中夏播区常见病虫害种类）的相关证明材料得1.5分，否则不得分； 3、能提供产品具有丰产性的相关指标证明材料采购得1.5分，否则不得分； 4、能提供产品具有抗逆性（抗倒性、抗旱/耐阴性能的相关证明采购得1.5分，否则不得分； 备注：证明材料包含但不限于品种审定报告/公告、产品技术说明、相关检测报告等资料任意一种。）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针对本项目提供完整的项目实施方案： 内容包含：①备货、供货进度及保证措施；②人员配备；③应急预案等组织措施；④运输方案；⑤验收措施。 二、评审标准 1、完整性：方案必须全面，对评审内容中的各项要求有详细描述； 2、可实施性：切合本项目实际情况，提出步骤清晰、合理的方案； 3、针对性：方案能够紧扣项目实际情况，内容科学合理。 三、赋分标准（满分22.5分） 每个评审项满分4.5分，每完全满足一个评审标准得1.5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22.5000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针对本项目提供的质量保障措施，包含①质量控制措施；②质量问题采取的补救措施；③质量保障承诺。 二、评审标准 1、完整性：方案必须全面，对评审内容中的各项要求有详细描述； 2、可实施性：切合本项目实际情况，提出步骤清晰、合理的方案； 3、针对性：方案能够紧扣项目实际情况，内容科学合理。 三、赋分标准（满分9分） 每个评审项满分3分，每完全满足一个评审标准得1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针对本项目提供的培训方案，包含①培训方案、②培训内容及培训计划③培训措施承诺。 二、评审标准 1、完整性：方案必须全面，对评审内容中的各项要求有详细描述； 2、可实施性：切合本项目实际情况，提出步骤清晰、合理的方案； 3、针对性：方案能够紧扣项目实际情况，内容科学合理。 三、赋分标准（满分9分） 每个评审项满分3分，每完全满足一个评审标准得1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针对本项目提供的售后服务方案：包含①售后服务方案及措施；②有种植的专业技术人员，能够为采购人提供种植、灌溉、防虫害、等方面的技术咨询及技术指导。 二、评审标准 1、完整性：方案必须全面，对评审内容中的各项要求有详细描述； 2、可实施性：切合本项目实际情况，提出步骤清晰、合理的方案； 3、针对性：方案能够紧扣项目实际情况，内容科学合理。 三、赋分标准（满分9分） 每个评审项满分4.5分，每完全满足一个评审标准得1.5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2023年1月1日起至今，供应商承担的类似项目业绩。（提供合同复印件含清单或中标（成交）通知书复印件），每提供1份业绩得3.5分，最高得7分；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 投标报价得分=（评标基准价/投标评审价）×价格权值×100 。 投标单位的报价明显低于正常报价的，评标委员会可要求投标单位在规定的期限内提供相关证明材料；投标单位不能证明其报价合理的，可视为无效投标。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所投产品的合法来源渠道证明文件（包括但不限于产品制造商授权、销售协议、代理协议、原厂授权等）、保证所投产品均符合国家强制标准或行业标准，无知识产权纠纷、水货、假货、贴牌产品，提供证明材料得3.5分，未提供的不计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供应商所投产品技术参数逐条响应并满足招标文件技术指标得4分，不满足不得分。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针对本项目提供完整的项目实施方案： 内容包含：①备货、供货进度及保证措施；②人员配备；③跟踪指导及培训方案；④运输方案；⑤验收方案。 二、评审标准 1、完整性：方案必须全面，对评审内容中的各项要求有详细描述； 2、可实施性：切合本项目实际情况，提出步骤清晰、合理的方案； 3、针对性：方案能够紧扣项目实际情况，内容科学合理。 三、赋分标准（满分22.5分） 每个评审项满分4.5分，每完全满足一个评审标准得1.5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22.5000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针对本项目提供完整的质量保障措施：①质量目标及质量保证体系；②质量控制措施；③质量问题采取的补救措施；④质量保障承诺。 二、评审标准 1、完整性：方案必须全面，对评审内容中的各项要求有详细描述； 2、可实施性：切合本项目实际情况，提出步骤清晰、合理的方案； 3、针对性：方案能够紧扣项目实际情况，内容科学合理。 三、赋分标准（满分12分） 每个评审项满分3分，每完全满足一个评审标准得1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针对本项目提供的应急预案： 内容包含：①应急情况；②应急响应时间；③应急解决方案。 二、评审标准 1、完整性：方案必须全面，对评审内容中的各项要求有详细描述； 2、可实施性：切合本项目实际情况，提出步骤清晰、合理的方案； 3、针对性：方案能够紧扣项目实际情况，内容科学合理。 三、赋分标准（满分9分） 每个评审项满分3分，每完全满足一个评审标准得1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售后服务方案：包含①售后服务内容；②售后服务方案及承诺；③售后服务响应时间及解决问题时间；④售后服务团队）。 二、评审标准 1、完整性：方案必须全面，对评审内容中的各项要求有详细描述； 2、可实施性：切合本项目实际情况，提出步骤清晰、合理的方案； 3、针对性：方案能够紧扣项目实际情况，内容科学合理。 三、赋分标准（满分12分） 每个评审项满分3分，每完全满足一个评审标准得1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2023年1月1日起至今，供应商承担的类似项目业绩。（提供合同复印件含清单或中标（成交）通知书复印件），每提供1份业绩得3.5分，最高得7分；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 投标报价得分=（评标基准价/投标评审价）×价格权值×100 。 投标单位的报价明显低于正常报价的，评标委员会可要求投标单位在规定的期限内提供相关证明材料；投标单位不能证明其报价合理的，可视为无效投标。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商务技术部分.docx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