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版本号：HHGJZC2026-CS35920260416001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2026年长安区病媒生物消杀服务项目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HHGJZC2026-CS359</w:t>
      </w:r>
      <w:r>
        <w:br/>
      </w:r>
      <w:r>
        <w:br/>
      </w:r>
      <w:r>
        <w:br/>
      </w:r>
    </w:p>
    <w:p>
      <w:pPr>
        <w:pStyle w:val="null3"/>
        <w:jc w:val="center"/>
        <w:outlineLvl w:val="2"/>
      </w:pPr>
      <w:r>
        <w:rPr>
          <w:rFonts w:ascii="仿宋_GB2312" w:hAnsi="仿宋_GB2312" w:cs="仿宋_GB2312" w:eastAsia="仿宋_GB2312"/>
          <w:sz w:val="28"/>
          <w:b/>
        </w:rPr>
        <w:t>西安市长安区卫生健康局</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西安市长安区卫生健康局</w:t>
      </w:r>
      <w:r>
        <w:rPr>
          <w:rFonts w:ascii="仿宋_GB2312" w:hAnsi="仿宋_GB2312" w:cs="仿宋_GB2312" w:eastAsia="仿宋_GB2312"/>
        </w:rPr>
        <w:t>委托，拟对</w:t>
      </w:r>
      <w:r>
        <w:rPr>
          <w:rFonts w:ascii="仿宋_GB2312" w:hAnsi="仿宋_GB2312" w:cs="仿宋_GB2312" w:eastAsia="仿宋_GB2312"/>
        </w:rPr>
        <w:t>2026年长安区病媒生物消杀服务项目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HHGJZC2026-CS359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2026年长安区病媒生物消杀服务项目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2026年长安区病媒生物消杀服务项目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采购包1（2026年长安区病媒生物消杀服务项目）：属于专门面向中小企业采购。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西安市长安区西长安街新669号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029-85867311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成交供应商在领取成交通知书的同时，须向采购代理机构一次性支付招标代理服务费。 户名：陕西华海国际项目管理有限公司西安分公司 开户行：中国建设银行股份有限公司西安凤城四路支行 账号：61050190580000002095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西安市长安区卫生健康局</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参照《病媒生物密度控制水平》（GB/T 27770-2011）执行，蚊蝇鼠蟑密度达到《西安市病媒生物防制标准》（B级及以上）</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2026年长安区病媒生物消杀服务项目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为加强长安区建城区及部分辖区公共外环境病媒生物的管控与防制，做到服务区内病媒防制全覆盖，同时结合巩固国家卫生城市复审工作的需要，并为进一步完善病媒生物防制工作的长效管理措施，有效控制流行性出血热的发生，将由</w:t>
            </w:r>
            <w:r>
              <w:rPr>
                <w:rFonts w:ascii="仿宋_GB2312" w:hAnsi="仿宋_GB2312" w:cs="仿宋_GB2312" w:eastAsia="仿宋_GB2312"/>
                <w:sz w:val="21"/>
              </w:rPr>
              <w:t>P</w:t>
            </w:r>
            <w:r>
              <w:rPr>
                <w:rFonts w:ascii="仿宋_GB2312" w:hAnsi="仿宋_GB2312" w:cs="仿宋_GB2312" w:eastAsia="仿宋_GB2312"/>
                <w:sz w:val="21"/>
              </w:rPr>
              <w:t>CO</w:t>
            </w:r>
            <w:r>
              <w:rPr>
                <w:rFonts w:ascii="仿宋_GB2312" w:hAnsi="仿宋_GB2312" w:cs="仿宋_GB2312" w:eastAsia="仿宋_GB2312"/>
                <w:sz w:val="21"/>
              </w:rPr>
              <w:t>消杀公司对我区建城区及部分辖区公共外环境进行病媒生物防制。现结合区内实际情况，提出以下相关技术要求。</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二、防制思路</w:t>
            </w:r>
          </w:p>
          <w:p>
            <w:pPr>
              <w:pStyle w:val="null3"/>
            </w:pPr>
            <w:r>
              <w:rPr>
                <w:rFonts w:ascii="仿宋_GB2312" w:hAnsi="仿宋_GB2312" w:cs="仿宋_GB2312" w:eastAsia="仿宋_GB2312"/>
                <w:sz w:val="21"/>
              </w:rPr>
              <w:t>坚持以</w:t>
            </w:r>
            <w:r>
              <w:rPr>
                <w:rFonts w:ascii="仿宋_GB2312" w:hAnsi="仿宋_GB2312" w:cs="仿宋_GB2312" w:eastAsia="仿宋_GB2312"/>
                <w:sz w:val="21"/>
              </w:rPr>
              <w:t>“环境治理为主，药物杀灭为辅”的综合防制方针，采取物理方法、化学方法、治理环境等措施对该区域进行消杀和预防性处理，把主要病媒生物密度控制在国家规定的范围之内。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三、防制范围及重点</w:t>
            </w:r>
          </w:p>
          <w:p>
            <w:pPr>
              <w:pStyle w:val="null3"/>
              <w:ind w:firstLine="420"/>
              <w:jc w:val="left"/>
            </w:pPr>
            <w:r>
              <w:rPr>
                <w:rFonts w:ascii="仿宋_GB2312" w:hAnsi="仿宋_GB2312" w:cs="仿宋_GB2312" w:eastAsia="仿宋_GB2312"/>
                <w:sz w:val="21"/>
              </w:rPr>
              <w:t>（一）防制范围：长安区建城区及部分辖区公共外环境（北起西部大道、南至南横线和</w:t>
            </w:r>
            <w:r>
              <w:rPr>
                <w:rFonts w:ascii="仿宋_GB2312" w:hAnsi="仿宋_GB2312" w:cs="仿宋_GB2312" w:eastAsia="仿宋_GB2312"/>
                <w:sz w:val="21"/>
              </w:rPr>
              <w:t>318县道，东起长安街沿线、西至210国道沿线）的病媒生物（蚊、蝇、鼠、蟑螂）防制；出血热发病区域专项灭鼠；督导检查；灭前灭后的密度监测；全区密度水平评估。</w:t>
            </w:r>
          </w:p>
          <w:p>
            <w:pPr>
              <w:pStyle w:val="null3"/>
            </w:pPr>
            <w:r>
              <w:rPr>
                <w:rFonts w:ascii="仿宋_GB2312" w:hAnsi="仿宋_GB2312" w:cs="仿宋_GB2312" w:eastAsia="仿宋_GB2312"/>
                <w:sz w:val="21"/>
              </w:rPr>
              <w:t>（二）防制重点：对长安区辖区域的公共区域及公共场所（市政道路、公共绿化带、广场、公园、各类水体、下水井、公共洗手间、公共垃圾桶、无主管理区域等）进行蚊、蝇、鼠、蟑螂的全面防制及出血热发病区域专项灭鼠工作。</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left"/>
            </w:pPr>
            <w:r>
              <w:rPr>
                <w:rFonts w:ascii="仿宋_GB2312" w:hAnsi="仿宋_GB2312" w:cs="仿宋_GB2312" w:eastAsia="仿宋_GB2312"/>
                <w:sz w:val="21"/>
              </w:rPr>
              <w:t>四、服务要求</w:t>
            </w:r>
          </w:p>
          <w:p>
            <w:pPr>
              <w:pStyle w:val="null3"/>
              <w:ind w:firstLine="420"/>
              <w:jc w:val="left"/>
            </w:pPr>
            <w:r>
              <w:rPr>
                <w:rFonts w:ascii="仿宋_GB2312" w:hAnsi="仿宋_GB2312" w:cs="仿宋_GB2312" w:eastAsia="仿宋_GB2312"/>
                <w:sz w:val="21"/>
              </w:rPr>
              <w:t>1、降低病媒生物密度：蚊、蝇、鼠、蟑螂防制密度达到国家卫生城市（《病媒生物密度控制水平》GB/T 27770-27773标准）规定的B级及以上标准。病媒生物孳生地治理率达98%以上，治理合格率达98%以上。</w:t>
            </w:r>
          </w:p>
          <w:p>
            <w:pPr>
              <w:pStyle w:val="null3"/>
              <w:ind w:firstLine="420"/>
              <w:jc w:val="left"/>
            </w:pPr>
            <w:r>
              <w:rPr>
                <w:rFonts w:ascii="仿宋_GB2312" w:hAnsi="仿宋_GB2312" w:cs="仿宋_GB2312" w:eastAsia="仿宋_GB2312"/>
                <w:sz w:val="21"/>
              </w:rPr>
              <w:t>2、服务方每月25日前将下一个月的服务作业计划安排表（含虫害治理点位、方案、地点、具体服务人员、联系电话、使用药品名称和数量等）报采购人管理部门，供采购人审核确认；每月的作业计划内容，可能会因为现场检查结果和采购方近期实际情况进行调整，调整后的内容应经采购方审核确认；凡采购人审核不通过的作业计划安排表，服务方及时按要求进行修改，并提交采购人审核确认，且于开展服务工作时间提前1个工作日向采购方确认本次服务时间和内容。</w:t>
            </w:r>
          </w:p>
          <w:p>
            <w:pPr>
              <w:pStyle w:val="null3"/>
              <w:ind w:firstLine="420"/>
              <w:jc w:val="left"/>
            </w:pPr>
            <w:r>
              <w:rPr>
                <w:rFonts w:ascii="仿宋_GB2312" w:hAnsi="仿宋_GB2312" w:cs="仿宋_GB2312" w:eastAsia="仿宋_GB2312"/>
                <w:sz w:val="21"/>
              </w:rPr>
              <w:t>3、服务方提供的服务人数和服务时间根据采购方工作需要和安排进行调整，一般情况下每次服务不低于10人，每次服务时间不低于8小时；服务方接到采购方的异常情况或其他有关通知时，通常在接到通知当天进行处理，特殊情况或紧急情况应在2小时内进行处理。</w:t>
            </w:r>
          </w:p>
          <w:p>
            <w:pPr>
              <w:pStyle w:val="null3"/>
              <w:ind w:firstLine="420"/>
              <w:jc w:val="left"/>
            </w:pPr>
            <w:r>
              <w:rPr>
                <w:rFonts w:ascii="仿宋_GB2312" w:hAnsi="仿宋_GB2312" w:cs="仿宋_GB2312" w:eastAsia="仿宋_GB2312"/>
                <w:sz w:val="21"/>
              </w:rPr>
              <w:t>4、服务方每次服务作业完毕填写服务工作记录单（该记录单由采购方和服务方双方共同制定），作为当次履行服务的凭证，并请采购方有关人员签字确认（包含所服务区域管理人员、部门负责人及其他一线工作人员等有关人员的签字确认）；对投放的药物、器械设置保护设施，保证虫害防制效果；及时清理已经灭杀的虫害尸体和粪便并做好消毒保洁，避免污染环境。</w:t>
            </w:r>
          </w:p>
          <w:p>
            <w:pPr>
              <w:pStyle w:val="null3"/>
              <w:ind w:firstLine="420"/>
              <w:jc w:val="left"/>
            </w:pPr>
            <w:r>
              <w:rPr>
                <w:rFonts w:ascii="仿宋_GB2312" w:hAnsi="仿宋_GB2312" w:cs="仿宋_GB2312" w:eastAsia="仿宋_GB2312"/>
                <w:sz w:val="21"/>
              </w:rPr>
              <w:t>5、消杀用药概述：</w:t>
            </w:r>
          </w:p>
          <w:p>
            <w:pPr>
              <w:pStyle w:val="null3"/>
              <w:ind w:firstLine="420"/>
              <w:jc w:val="left"/>
            </w:pPr>
            <w:r>
              <w:rPr>
                <w:rFonts w:ascii="仿宋_GB2312" w:hAnsi="仿宋_GB2312" w:cs="仿宋_GB2312" w:eastAsia="仿宋_GB2312"/>
                <w:sz w:val="21"/>
              </w:rPr>
              <w:t>灭蚊蝇、蟑螂：为了安全保障，选用高效低毒的</w:t>
            </w:r>
            <w:r>
              <w:rPr>
                <w:rFonts w:ascii="仿宋_GB2312" w:hAnsi="仿宋_GB2312" w:cs="仿宋_GB2312" w:eastAsia="仿宋_GB2312"/>
                <w:sz w:val="21"/>
              </w:rPr>
              <w:t>10％氟氯氰菊酯水乳剂、15%氯氰菊酯·残杀威乳油、5%高效氟氯氰菊酯悬浮剂及15%顺氯·四氟苯可湿性粉剂具有一定滞留和触杀作用的菊酯类杀虫剂。</w:t>
            </w:r>
          </w:p>
          <w:p>
            <w:pPr>
              <w:pStyle w:val="null3"/>
              <w:ind w:firstLine="420"/>
              <w:jc w:val="left"/>
            </w:pPr>
            <w:r>
              <w:rPr>
                <w:rFonts w:ascii="仿宋_GB2312" w:hAnsi="仿宋_GB2312" w:cs="仿宋_GB2312" w:eastAsia="仿宋_GB2312"/>
                <w:sz w:val="21"/>
              </w:rPr>
              <w:t>灭孑孓：水体撒施</w:t>
            </w:r>
            <w:r>
              <w:rPr>
                <w:rFonts w:ascii="仿宋_GB2312" w:hAnsi="仿宋_GB2312" w:cs="仿宋_GB2312" w:eastAsia="仿宋_GB2312"/>
                <w:sz w:val="21"/>
              </w:rPr>
              <w:t>5%吡丙醚·倍硫杀虫颗粒剂（对环境水体及鱼类生物无任何危害）灭杀蚊虫孑孓。</w:t>
            </w:r>
          </w:p>
          <w:p>
            <w:pPr>
              <w:pStyle w:val="null3"/>
              <w:ind w:firstLine="420"/>
              <w:jc w:val="left"/>
            </w:pPr>
            <w:r>
              <w:rPr>
                <w:rFonts w:ascii="仿宋_GB2312" w:hAnsi="仿宋_GB2312" w:cs="仿宋_GB2312" w:eastAsia="仿宋_GB2312"/>
                <w:sz w:val="21"/>
              </w:rPr>
              <w:t>灭鼠：严禁使用国家禁止使用的灭鼠剂。为保证安全有效地开展药物灭鼠，选用</w:t>
            </w:r>
            <w:r>
              <w:rPr>
                <w:rFonts w:ascii="仿宋_GB2312" w:hAnsi="仿宋_GB2312" w:cs="仿宋_GB2312" w:eastAsia="仿宋_GB2312"/>
                <w:sz w:val="21"/>
              </w:rPr>
              <w:t>0.005%氟鼠灵饵剂、0.005%溴敌隆毒饵杀鼠剂（为避免抗药性交替使用）。</w:t>
            </w:r>
          </w:p>
          <w:p>
            <w:pPr>
              <w:pStyle w:val="null3"/>
              <w:ind w:firstLine="420"/>
              <w:jc w:val="left"/>
            </w:pPr>
            <w:r>
              <w:rPr>
                <w:rFonts w:ascii="仿宋_GB2312" w:hAnsi="仿宋_GB2312" w:cs="仿宋_GB2312" w:eastAsia="仿宋_GB2312"/>
                <w:sz w:val="21"/>
              </w:rPr>
              <w:t>6、防护设施的排查与上报：</w:t>
            </w:r>
          </w:p>
          <w:p>
            <w:pPr>
              <w:pStyle w:val="null3"/>
            </w:pPr>
            <w:r>
              <w:rPr>
                <w:rFonts w:ascii="仿宋_GB2312" w:hAnsi="仿宋_GB2312" w:cs="仿宋_GB2312" w:eastAsia="仿宋_GB2312"/>
                <w:sz w:val="21"/>
              </w:rPr>
              <w:t>进入施工现场后在查找孳生地的同时，对所有区域进行逐一检查，查出问题准确记录位置与存在问题，检查结束后第一时间整理上报给采购方，由采购方统一组织人员到现场督导相关部门按照防护基础设施标准进行健全。</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left"/>
            </w:pPr>
            <w:r>
              <w:rPr>
                <w:rFonts w:ascii="仿宋_GB2312" w:hAnsi="仿宋_GB2312" w:cs="仿宋_GB2312" w:eastAsia="仿宋_GB2312"/>
                <w:sz w:val="21"/>
              </w:rPr>
              <w:t>五、防治质量标准</w:t>
            </w:r>
          </w:p>
          <w:p>
            <w:pPr>
              <w:pStyle w:val="null3"/>
            </w:pPr>
            <w:r>
              <w:rPr>
                <w:rFonts w:ascii="仿宋_GB2312" w:hAnsi="仿宋_GB2312" w:cs="仿宋_GB2312" w:eastAsia="仿宋_GB2312"/>
                <w:sz w:val="21"/>
              </w:rPr>
              <w:t>蚊、蝇、鼠、蟑螂防制密度达到国家卫生城市（《病媒生物密度控制水平》</w:t>
            </w:r>
            <w:r>
              <w:rPr>
                <w:rFonts w:ascii="仿宋_GB2312" w:hAnsi="仿宋_GB2312" w:cs="仿宋_GB2312" w:eastAsia="仿宋_GB2312"/>
                <w:sz w:val="21"/>
              </w:rPr>
              <w:t>GB/T 27770-27773标准）规定的B级及以上标准。病媒生物孳生地治理率达98%以上，治理合格率达98%以上。</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六、消杀要求</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2026年</w:t>
            </w:r>
            <w:r>
              <w:rPr>
                <w:rFonts w:ascii="仿宋_GB2312" w:hAnsi="仿宋_GB2312" w:cs="仿宋_GB2312" w:eastAsia="仿宋_GB2312"/>
                <w:sz w:val="21"/>
              </w:rPr>
              <w:t>9月</w:t>
            </w:r>
            <w:r>
              <w:rPr>
                <w:rFonts w:ascii="仿宋_GB2312" w:hAnsi="仿宋_GB2312" w:cs="仿宋_GB2312" w:eastAsia="仿宋_GB2312"/>
                <w:sz w:val="21"/>
              </w:rPr>
              <w:t>、</w:t>
            </w:r>
            <w:r>
              <w:rPr>
                <w:rFonts w:ascii="仿宋_GB2312" w:hAnsi="仿宋_GB2312" w:cs="仿宋_GB2312" w:eastAsia="仿宋_GB2312"/>
                <w:sz w:val="21"/>
              </w:rPr>
              <w:t>2027年1月</w:t>
            </w:r>
            <w:r>
              <w:rPr>
                <w:rFonts w:ascii="仿宋_GB2312" w:hAnsi="仿宋_GB2312" w:cs="仿宋_GB2312" w:eastAsia="仿宋_GB2312"/>
                <w:sz w:val="21"/>
              </w:rPr>
              <w:t>以全区农村、城乡结合地为重点，组织开展</w:t>
            </w:r>
            <w:r>
              <w:rPr>
                <w:rFonts w:ascii="仿宋_GB2312" w:hAnsi="仿宋_GB2312" w:cs="仿宋_GB2312" w:eastAsia="仿宋_GB2312"/>
                <w:sz w:val="21"/>
              </w:rPr>
              <w:t>3轮次、每次7天的集中灭鼠活动，</w:t>
            </w:r>
            <w:r>
              <w:rPr>
                <w:rFonts w:ascii="仿宋_GB2312" w:hAnsi="仿宋_GB2312" w:cs="仿宋_GB2312" w:eastAsia="仿宋_GB2312"/>
                <w:sz w:val="21"/>
              </w:rPr>
              <w:t>结束</w:t>
            </w:r>
            <w:r>
              <w:rPr>
                <w:rFonts w:ascii="仿宋_GB2312" w:hAnsi="仿宋_GB2312" w:cs="仿宋_GB2312" w:eastAsia="仿宋_GB2312"/>
                <w:sz w:val="21"/>
              </w:rPr>
              <w:t>后进行效果评估。</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5-8月份对建城区开展每月1次，每次7天的蚊、蝇、鼠、蟑全面病媒生物防制工作，巩固国家卫生城市成果。</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10-12月对全区出血热发病街村的公共区域集中开展3轮次、每次7天的专项灭鼠活动。</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2027年</w:t>
            </w:r>
            <w:r>
              <w:rPr>
                <w:rFonts w:ascii="仿宋_GB2312" w:hAnsi="仿宋_GB2312" w:cs="仿宋_GB2312" w:eastAsia="仿宋_GB2312"/>
                <w:sz w:val="21"/>
              </w:rPr>
              <w:t>2-4</w:t>
            </w:r>
            <w:r>
              <w:rPr>
                <w:rFonts w:ascii="仿宋_GB2312" w:hAnsi="仿宋_GB2312" w:cs="仿宋_GB2312" w:eastAsia="仿宋_GB2312"/>
                <w:sz w:val="21"/>
              </w:rPr>
              <w:t>月对建城区开展每月一次、每次</w:t>
            </w:r>
            <w:r>
              <w:rPr>
                <w:rFonts w:ascii="仿宋_GB2312" w:hAnsi="仿宋_GB2312" w:cs="仿宋_GB2312" w:eastAsia="仿宋_GB2312"/>
                <w:sz w:val="21"/>
              </w:rPr>
              <w:t>7天的蚊、蝇、鼠、蟑全面病媒生物防制工作。</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服务期内开展病媒生物密度水平评估工作，并提供评估报告。</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服务期内配合甲方完成督导检查工作。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操作人员须持证上岗，消杀区域提前公告避让提示;每次服务不低于10人，每次服务时间不低于8小时。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按照项目需求配备履行项目所需的设施设备。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①环保要求：所有药剂禁止使用国家禁用药物。优先采购低毒、可降解药剂，废弃包装需由供应商回收处理；②售后服务：质保期2年，提供7×24小时应急响应。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自合同签订之日起一年（具体以双方签订的起止日期为准）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参照《病媒生物密度控制水平》（GB/T 27770-2011）执行，蚊蝇鼠蟑密度达到《西安市病媒生物防制标准》（B级及以上）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项目履约至后期（2027年4月份）验收合格后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①违约责任：（一）按《民法典》中的相关条款执行。（二）未按合同要求提供服务或服务质量不能满足本次磋商要求，甲方会同监督机构、采购代理机构有权终止合同和对乙方违约行为进行追究，同时按政府采购法的有关规定进行相应的处罚。②解决争议的方法：本合同在履行过程中发生的争议，由甲、乙双方当事人协商解决，协商不成的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3.4.2关于异常低价的处理：根据《关于推动解决政府采购异常低价问题的通知》（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3.4.3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资格证明文件 分项报价表 中小企业声明函 残疾人福利性单位声明函 服务方案 标的清单 陕西省政府采购供应商拒绝政府采购领域商业贿赂承诺书 技术和商务偏离表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资格证明文件 分项报价表 中小企业声明函 残疾人福利性单位声明函 服务方案 标的清单 陕西省政府采购供应商拒绝政府采购领域商业贿赂承诺书 技术和商务偏离表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资格证明文件 分项报价表 中小企业声明函 残疾人福利性单位声明函 服务方案 标的清单 陕西省政府采购供应商拒绝政府采购领域商业贿赂承诺书 技术和商务偏离表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评审内容：根据各供应商提供的病媒生物防控消杀服务方案①环境分析②实施方案③质控方案④防控消毒工作方案⑤技术支持⑥创新、管理及制度各分项实施方案。 评审标准：方案各部分内容全面详细、阐述条理清晰详尽、符合本项目采购需求得24分；评审内容每缺一项扣4分；评审内容有缺陷（缺陷是指：内容粗略、逻辑混乱、描述过于简单、与项目特点不匹配、凭空编造、逻辑漏洞、出现常识性错误、存在不适用项目实际情况的情形或只有标题没有实质性内容等）的每项扣2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项目重点难点分析及解决方案</w:t>
            </w:r>
          </w:p>
        </w:tc>
        <w:tc>
          <w:tcPr>
            <w:tcW w:type="dxa" w:w="2492"/>
          </w:tcPr>
          <w:p>
            <w:pPr>
              <w:pStyle w:val="null3"/>
            </w:pPr>
            <w:r>
              <w:rPr>
                <w:rFonts w:ascii="仿宋_GB2312" w:hAnsi="仿宋_GB2312" w:cs="仿宋_GB2312" w:eastAsia="仿宋_GB2312"/>
              </w:rPr>
              <w:t>评审内容：①本项目实施面临的重点、难点进行分析②对本项目重点、难点的解决方案。 评审标准:方案各部分内容全面详细、阐述条理清晰详尽、符合本项目采购需求得6分；评审内容每缺一项扣3分；评审内容有缺陷（缺陷是指：内容粗略、逻辑混乱、描述过于简单、与项目特点不匹配、凭空编造、逻辑漏洞、出现常识性错误、存在不适用项目实际情况的情形或只有标题没有实质性内容等）的每项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评审内容：根据各供应商提供的①质量保证措施②防治质量标准（包括灭蚊标准、灭蝇标准、灭蟑螂标准、灭鼠标准等需达到采购内容要求） 评审标准：方案各部分内容全面详细、阐述条理清晰详尽、符合本项目采购需求得6分；评审内容每缺一项扣3分；评审内容有缺陷（缺陷是指：内容粗略、逻辑混乱、描述过于简单、与项目特点不匹配、凭空编造、逻辑漏洞、出现常识性错误、存在不适用项目实际情况的情形或只有标题没有实质性内容等）的每项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团队人员配备：（1）人员结构及专业配置规模适合、结构合理，与防制工作的内容和要求相适应，完全满足采购需求，得8分；（2）人员结构及专业配置基本适合、结构合理，与防制工作的内容和要求适应，得6分； （3）人员结构及专业配置规模不合适、结构不合理，与防制工作的内容和要求不适应，稍有欠缺，得4分； （4）人员结构及专业配置规模不合适、结构不合理，与防制工作的内容和要求不适应，无法满足采购需求，得2分； 未提供不得分。 2.人员培训：提供近一年内的人员定期培训记录（附培训签到表、照片）或承诺每月开展内部培训，得2分；不提供得0分。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设施设备配备</w:t>
            </w:r>
          </w:p>
        </w:tc>
        <w:tc>
          <w:tcPr>
            <w:tcW w:type="dxa" w:w="2492"/>
          </w:tcPr>
          <w:p>
            <w:pPr>
              <w:pStyle w:val="null3"/>
            </w:pPr>
            <w:r>
              <w:rPr>
                <w:rFonts w:ascii="仿宋_GB2312" w:hAnsi="仿宋_GB2312" w:cs="仿宋_GB2312" w:eastAsia="仿宋_GB2312"/>
              </w:rPr>
              <w:t>提供的作业车辆、机械设备配备及使用状况（包含名称、型号、状况、适用环境等） 1、设备先进并完整提供车辆证明材料的、完全满足本项目的使用要求，得6分； 2、设备较先进并提供车辆证明材料，满足本项目的使用要求得4分； 3、设备一般，提供车辆证明材料，基本满足本项目的使用要求，得2分； 4、设备老旧，未提供车辆证明材料，无法满足本项目使用要求，不得分。 注：设备需符合国家强制性安全认证（如3C认证），车辆提供行驶证复印件或租赁合同为准。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药品管理</w:t>
            </w:r>
          </w:p>
        </w:tc>
        <w:tc>
          <w:tcPr>
            <w:tcW w:type="dxa" w:w="2492"/>
          </w:tcPr>
          <w:p>
            <w:pPr>
              <w:pStyle w:val="null3"/>
            </w:pPr>
            <w:r>
              <w:rPr>
                <w:rFonts w:ascii="仿宋_GB2312" w:hAnsi="仿宋_GB2312" w:cs="仿宋_GB2312" w:eastAsia="仿宋_GB2312"/>
              </w:rPr>
              <w:t>1.提供的药品品质、性能、安全性、影响性： （1）药品选用针对性强、准确、环保、安全，符合性好，得6分； （2）药品选用针对性较强、安全及符合性较好，满足环保安全要求，得4分； （3）药品选用针对性一般、安全及符合性一般，基本满足环保安全要求，得2分； （4）药品选用针对性较差、安全及符合性差，无法满足环保安全要求或无此内容，不得分。 注（药品需提供农药登记证、质检报告、MSDS（化学品安全说明书））。 2.提供药品安全管理制度及废弃物（含过期药品、包装、虫害尸体）处置方案，得2分；缺任一项不得分。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评审内容：①工作计划安排②工作进度保障。 评审标准:方案各部分内容全面详细、阐述条理清晰详尽、符合本项目采购需求得6分；评审内容每缺一项扣3分；评审内容有缺陷（缺陷是指：内容粗略、逻辑混乱、描述过于简单、与项目特点不匹配、凭空编造、逻辑漏洞、出现常识性错误、存在不适用项目实际情况的情形或只有标题没有实质性内容等）的每项扣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评审内容：①应急安全作业保障措施②突发事件应急措施（防治区内出现突发病媒传染病疫情或重大病媒生物入侵事件，按采购人的要求，启动积极预案，迅速组织力量（人、药、器械到位）全力投入工作确保监测和消杀工作质量）。 评审标准：方案各部分内容全面详细、阐述条理清晰详尽、符合本项目采购需求得6分；评审内容每缺一项扣3分；评审内容有缺陷（缺陷是指：内容粗略、逻辑混乱、描述过于简单、与项目特点不匹配、凭空编造、逻辑漏洞、出现常识性错误、存在不适用项目实际情况的情形或只有标题没有实质性内容等）的每项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评审内容：①服务标准②服务流程③服务内容④响应时间。 评审标准：方案各部分内容全面详细、阐述条理清晰详尽、符合本项目采购需求得8分；评审内容每缺一项扣2分；评审内容有缺陷（缺陷是指：内容粗略、逻辑混乱、描述过于简单、与项目特点不匹配、凭空编造、逻辑漏洞、出现常识性错误、存在不适用项目实际情况的情形或只有标题没有实质性内容等）的每项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