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BD247">
      <w:pPr>
        <w:pStyle w:val="8"/>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采购人（以下简称甲方）：</w:t>
      </w:r>
    </w:p>
    <w:p w14:paraId="3BC313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供应商（以下简称乙方）：</w:t>
      </w:r>
    </w:p>
    <w:p w14:paraId="26A375F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根据《中华人民共和国民法典》、《中华人民共和国政府采购法》及其它有关法律、行政法规，为明确双方在施工过程中的权利、义务，经双方协商自愿签订本合同。</w:t>
      </w:r>
    </w:p>
    <w:p w14:paraId="03656800">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一、合同组成</w:t>
      </w:r>
    </w:p>
    <w:p w14:paraId="507AE6D3">
      <w:pPr>
        <w:autoSpaceDE w:val="0"/>
        <w:autoSpaceDN w:val="0"/>
        <w:adjustRightInd w:val="0"/>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下述文件是构成本合同不可分割的部分</w:t>
      </w:r>
      <w:r>
        <w:rPr>
          <w:rFonts w:hint="eastAsia" w:ascii="仿宋" w:hAnsi="仿宋" w:eastAsia="仿宋" w:cs="仿宋"/>
          <w:color w:val="auto"/>
          <w:sz w:val="24"/>
          <w:szCs w:val="24"/>
          <w:highlight w:val="none"/>
        </w:rPr>
        <w:t>:</w:t>
      </w:r>
    </w:p>
    <w:p w14:paraId="248083C8">
      <w:pPr>
        <w:autoSpaceDE w:val="0"/>
        <w:autoSpaceDN w:val="0"/>
        <w:adjustRightInd w:val="0"/>
        <w:spacing w:line="360" w:lineRule="auto"/>
        <w:ind w:left="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本合同条款及其所有附件。</w:t>
      </w:r>
    </w:p>
    <w:p w14:paraId="2716922C">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甲方的磋商文件及澄清文件。</w:t>
      </w:r>
    </w:p>
    <w:p w14:paraId="2293B053">
      <w:pPr>
        <w:autoSpaceDE w:val="0"/>
        <w:autoSpaceDN w:val="0"/>
        <w:adjustRightInd w:val="0"/>
        <w:spacing w:line="360" w:lineRule="auto"/>
        <w:ind w:firstLine="48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乙方的磋商响应文件及质疑解答文件。</w:t>
      </w:r>
    </w:p>
    <w:p w14:paraId="1E8CC854">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成交通知书。</w:t>
      </w:r>
    </w:p>
    <w:p w14:paraId="1891687E">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法定代表人授权书。</w:t>
      </w:r>
    </w:p>
    <w:p w14:paraId="5CB554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（6）双方与合同有关的往来信函、传真经双方法定代表人或其授权代表签字并加盖单位公章确认后视为本合同的组成部分。</w:t>
      </w:r>
    </w:p>
    <w:p w14:paraId="632015EC">
      <w:pPr>
        <w:autoSpaceDE w:val="0"/>
        <w:autoSpaceDN w:val="0"/>
        <w:adjustRightInd w:val="0"/>
        <w:spacing w:line="360" w:lineRule="auto"/>
        <w:ind w:firstLine="48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（7）经双方法定代表人或其授权代表签字并加盖单位公章确认的补充协议。</w:t>
      </w:r>
    </w:p>
    <w:p w14:paraId="4192A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仿宋" w:hAnsi="仿宋" w:eastAsia="仿宋" w:cs="仿宋"/>
          <w:color w:val="auto"/>
          <w:sz w:val="24"/>
          <w:szCs w:val="24"/>
          <w:highlight w:val="none"/>
        </w:rPr>
        <w:t>如果合同附件之间有矛盾之处，以有利于甲方的附件内容为准。</w:t>
      </w:r>
    </w:p>
    <w:p w14:paraId="586A534E">
      <w:pPr>
        <w:overflowPunct w:val="0"/>
        <w:spacing w:after="120" w:afterLines="50" w:line="360" w:lineRule="auto"/>
        <w:ind w:firstLine="48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81F1194">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二、项目概况</w:t>
      </w:r>
    </w:p>
    <w:p w14:paraId="6DF2133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1.服务内容：</w:t>
      </w:r>
      <w:r>
        <w:rPr>
          <w:rFonts w:hint="eastAsia" w:ascii="仿宋" w:hAnsi="仿宋" w:eastAsia="仿宋" w:cs="仿宋"/>
          <w:bCs/>
          <w:color w:val="auto"/>
          <w:sz w:val="24"/>
          <w:szCs w:val="24"/>
          <w:highlight w:val="none"/>
          <w:lang w:eastAsia="zh-CN"/>
        </w:rPr>
        <w:t>2026年长安区病媒生物消杀服务项目</w:t>
      </w:r>
    </w:p>
    <w:p w14:paraId="4F347E16">
      <w:pPr>
        <w:pStyle w:val="2"/>
        <w:spacing w:line="360" w:lineRule="auto"/>
        <w:ind w:firstLine="480" w:firstLineChars="200"/>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服务</w:t>
      </w:r>
      <w:r>
        <w:rPr>
          <w:rFonts w:hint="eastAsia" w:ascii="仿宋" w:hAnsi="仿宋" w:eastAsia="仿宋" w:cs="仿宋"/>
          <w:color w:val="auto"/>
          <w:sz w:val="24"/>
          <w:szCs w:val="24"/>
          <w:highlight w:val="none"/>
        </w:rPr>
        <w:t>期</w:t>
      </w:r>
      <w:r>
        <w:rPr>
          <w:rFonts w:hint="eastAsia" w:ascii="仿宋" w:hAnsi="仿宋" w:eastAsia="仿宋" w:cs="仿宋"/>
          <w:bCs/>
          <w:color w:val="auto"/>
          <w:kern w:val="2"/>
          <w:sz w:val="24"/>
          <w:szCs w:val="24"/>
          <w:highlight w:val="none"/>
          <w:lang w:val="en-US" w:eastAsia="zh-CN" w:bidi="ar-SA"/>
        </w:rPr>
        <w:t>：自    年    月    日至    年    月    日</w:t>
      </w:r>
    </w:p>
    <w:p w14:paraId="14F5C55C">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服务地点：</w:t>
      </w:r>
      <w:r>
        <w:rPr>
          <w:rFonts w:hint="eastAsia" w:ascii="仿宋" w:hAnsi="仿宋" w:eastAsia="仿宋" w:cs="仿宋"/>
          <w:color w:val="auto"/>
          <w:sz w:val="24"/>
          <w:szCs w:val="24"/>
          <w:highlight w:val="none"/>
          <w:lang w:val="en-US" w:eastAsia="zh-CN"/>
        </w:rPr>
        <w:t>采购人指定地点</w:t>
      </w:r>
    </w:p>
    <w:p w14:paraId="3E20CDD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质量要求：</w:t>
      </w:r>
      <w:r>
        <w:rPr>
          <w:rFonts w:hint="eastAsia" w:ascii="仿宋" w:hAnsi="仿宋" w:eastAsia="仿宋" w:cs="仿宋"/>
          <w:sz w:val="24"/>
          <w:szCs w:val="24"/>
          <w:highlight w:val="none"/>
          <w:lang w:val="en-US" w:eastAsia="zh-CN"/>
        </w:rPr>
        <w:t>病媒生物防制密度必须达到国家卫生城市规定的B级及以上标准</w:t>
      </w:r>
      <w:r>
        <w:rPr>
          <w:rFonts w:hint="eastAsia" w:ascii="仿宋" w:hAnsi="仿宋" w:eastAsia="仿宋" w:cs="仿宋"/>
          <w:color w:val="auto"/>
          <w:sz w:val="24"/>
          <w:szCs w:val="24"/>
          <w:highlight w:val="none"/>
        </w:rPr>
        <w:t>。</w:t>
      </w:r>
    </w:p>
    <w:p w14:paraId="0AAE703F">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bCs/>
          <w:color w:val="auto"/>
          <w:sz w:val="24"/>
          <w:szCs w:val="24"/>
          <w:highlight w:val="none"/>
        </w:rPr>
        <w:t>合同价款及付款比例</w:t>
      </w:r>
    </w:p>
    <w:p w14:paraId="15F67AA7">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rPr>
        <w:t>1.合同价款：</w:t>
      </w:r>
      <w:r>
        <w:rPr>
          <w:rFonts w:hint="eastAsia" w:ascii="仿宋" w:hAnsi="仿宋" w:eastAsia="仿宋" w:cs="仿宋"/>
          <w:color w:val="auto"/>
          <w:sz w:val="24"/>
          <w:szCs w:val="24"/>
          <w:highlight w:val="none"/>
        </w:rPr>
        <w:t>合同为固定</w:t>
      </w:r>
      <w:r>
        <w:rPr>
          <w:rFonts w:hint="eastAsia" w:ascii="仿宋" w:hAnsi="仿宋" w:eastAsia="仿宋" w:cs="仿宋"/>
          <w:color w:val="auto"/>
          <w:sz w:val="24"/>
          <w:szCs w:val="24"/>
          <w:highlight w:val="none"/>
          <w:lang w:val="en-US" w:eastAsia="zh-CN"/>
        </w:rPr>
        <w:t>总</w:t>
      </w:r>
      <w:r>
        <w:rPr>
          <w:rFonts w:hint="eastAsia" w:ascii="仿宋" w:hAnsi="仿宋" w:eastAsia="仿宋" w:cs="仿宋"/>
          <w:color w:val="auto"/>
          <w:sz w:val="24"/>
          <w:szCs w:val="24"/>
          <w:highlight w:val="none"/>
        </w:rPr>
        <w:t>价合同</w:t>
      </w:r>
      <w:r>
        <w:rPr>
          <w:rFonts w:hint="eastAsia" w:ascii="仿宋" w:hAnsi="仿宋" w:eastAsia="仿宋" w:cs="仿宋"/>
          <w:color w:val="auto"/>
          <w:sz w:val="24"/>
          <w:szCs w:val="24"/>
          <w:highlight w:val="none"/>
          <w:lang w:eastAsia="zh-CN"/>
        </w:rPr>
        <w:t>。</w:t>
      </w:r>
    </w:p>
    <w:p w14:paraId="0D500BA9">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8D9B8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付款方式：</w:t>
      </w:r>
    </w:p>
    <w:p w14:paraId="3B7133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2.1预付款支付条款：</w:t>
      </w:r>
    </w:p>
    <w:p w14:paraId="750CD9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（1）本合同设置预付款：</w:t>
      </w:r>
    </w:p>
    <w:p w14:paraId="79F359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（2）预付款金额：</w:t>
      </w:r>
      <w:r>
        <w:rPr>
          <w:rFonts w:hint="eastAsia" w:ascii="仿宋" w:hAnsi="仿宋" w:eastAsia="仿宋" w:cs="仿宋"/>
          <w:sz w:val="24"/>
          <w:szCs w:val="24"/>
          <w:highlight w:val="none"/>
        </w:rPr>
        <w:t>合同签订后预付</w:t>
      </w:r>
      <w:r>
        <w:rPr>
          <w:rFonts w:hint="eastAsia" w:ascii="仿宋" w:hAnsi="仿宋" w:eastAsia="仿宋" w:cs="仿宋"/>
          <w:sz w:val="24"/>
          <w:szCs w:val="24"/>
          <w:highlight w:val="none"/>
          <w:lang w:val="en-US" w:eastAsia="zh-CN"/>
        </w:rPr>
        <w:t>合同总价款的8</w:t>
      </w:r>
      <w:r>
        <w:rPr>
          <w:rFonts w:hint="eastAsia" w:ascii="仿宋" w:hAnsi="仿宋" w:eastAsia="仿宋" w:cs="仿宋"/>
          <w:sz w:val="24"/>
          <w:szCs w:val="24"/>
          <w:highlight w:val="none"/>
        </w:rPr>
        <w:t>0%</w:t>
      </w:r>
      <w:r>
        <w:rPr>
          <w:rFonts w:hint="eastAsia" w:ascii="仿宋" w:hAnsi="仿宋" w:eastAsia="仿宋" w:cs="仿宋"/>
          <w:sz w:val="24"/>
          <w:szCs w:val="24"/>
          <w:highlight w:val="none"/>
          <w:lang w:val="en-US" w:eastAsia="zh-CN"/>
        </w:rPr>
        <w:t>；</w:t>
      </w:r>
    </w:p>
    <w:p w14:paraId="5B050A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（3）预付款支付条件：合同签订后1个月内；</w:t>
      </w:r>
    </w:p>
    <w:p w14:paraId="564CBE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其他：本项目预付款是根据政府采购相关政策规定要求，甲方为帮助乙方解决项目前期启动资金困难，保证乙方更有条件覆行合同的保障性支援性资金。乙方应保证该资金用于项目前期各项工作费用，不得挪作他用，若因此项目进展受到影响，乙方承担由此引起的所有责任。</w:t>
      </w:r>
    </w:p>
    <w:p w14:paraId="3F441CAA">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2.2剩余款项支付条款：</w:t>
      </w:r>
    </w:p>
    <w:p w14:paraId="6C409F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i w:val="0"/>
          <w:iCs w:val="0"/>
          <w:caps w:val="0"/>
          <w:color w:val="000000" w:themeColor="text1"/>
          <w:spacing w:val="0"/>
          <w:sz w:val="24"/>
          <w:szCs w:val="24"/>
          <w:highlight w:val="none"/>
          <w:shd w:val="clear" w:fill="FFFFFF"/>
          <w:lang w:val="en-US" w:eastAsia="zh-CN"/>
          <w14:textFill>
            <w14:solidFill>
              <w14:schemeClr w14:val="tx1"/>
            </w14:solidFill>
          </w14:textFill>
        </w:rPr>
        <w:t>目履约至后期（2027年4月份）验收</w:t>
      </w:r>
      <w:r>
        <w:rPr>
          <w:rFonts w:hint="eastAsia" w:ascii="仿宋" w:hAnsi="仿宋" w:eastAsia="仿宋" w:cs="仿宋"/>
          <w:i w:val="0"/>
          <w:iCs w:val="0"/>
          <w:caps w:val="0"/>
          <w:color w:val="000000" w:themeColor="text1"/>
          <w:spacing w:val="0"/>
          <w:sz w:val="24"/>
          <w:szCs w:val="24"/>
          <w:highlight w:val="none"/>
          <w:shd w:val="clear" w:fill="FFFFFF"/>
          <w14:textFill>
            <w14:solidFill>
              <w14:schemeClr w14:val="tx1"/>
            </w14:solidFill>
          </w14:textFill>
        </w:rPr>
        <w:t>合格</w:t>
      </w:r>
      <w:r>
        <w:rPr>
          <w:rFonts w:hint="eastAsia" w:ascii="仿宋" w:hAnsi="仿宋" w:eastAsia="仿宋" w:cs="仿宋"/>
          <w:i w:val="0"/>
          <w:iCs w:val="0"/>
          <w:caps w:val="0"/>
          <w:color w:val="000000" w:themeColor="text1"/>
          <w:spacing w:val="0"/>
          <w:sz w:val="24"/>
          <w:szCs w:val="24"/>
          <w:highlight w:val="none"/>
          <w:shd w:val="clear" w:fill="FFFFFF"/>
          <w:lang w:val="en-US" w:eastAsia="zh-CN"/>
          <w14:textFill>
            <w14:solidFill>
              <w14:schemeClr w14:val="tx1"/>
            </w14:solidFill>
          </w14:textFill>
        </w:rPr>
        <w:t>后</w:t>
      </w:r>
      <w:r>
        <w:rPr>
          <w:rFonts w:hint="eastAsia" w:ascii="仿宋" w:hAnsi="仿宋" w:eastAsia="仿宋" w:cs="仿宋"/>
          <w:i w:val="0"/>
          <w:iCs w:val="0"/>
          <w:caps w:val="0"/>
          <w:color w:val="000000" w:themeColor="text1"/>
          <w:spacing w:val="0"/>
          <w:sz w:val="24"/>
          <w:szCs w:val="24"/>
          <w:highlight w:val="none"/>
          <w:shd w:val="clear" w:fill="FFFFFF"/>
          <w14:textFill>
            <w14:solidFill>
              <w14:schemeClr w14:val="tx1"/>
            </w14:solidFill>
          </w14:textFill>
        </w:rPr>
        <w:t>，达到付款条件起30日，支付合同总金额的</w:t>
      </w:r>
      <w:r>
        <w:rPr>
          <w:rFonts w:hint="eastAsia" w:ascii="仿宋" w:hAnsi="仿宋" w:eastAsia="仿宋" w:cs="仿宋"/>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仿宋" w:hAnsi="仿宋" w:eastAsia="仿宋" w:cs="仿宋"/>
          <w:i w:val="0"/>
          <w:iCs w:val="0"/>
          <w:caps w:val="0"/>
          <w:color w:val="000000" w:themeColor="text1"/>
          <w:spacing w:val="0"/>
          <w:sz w:val="24"/>
          <w:szCs w:val="24"/>
          <w:highlight w:val="none"/>
          <w:shd w:val="clear" w:fill="FFFFFF"/>
          <w14:textFill>
            <w14:solidFill>
              <w14:schemeClr w14:val="tx1"/>
            </w14:solidFill>
          </w14:textFill>
        </w:rPr>
        <w:t>0</w:t>
      </w:r>
      <w:r>
        <w:rPr>
          <w:rFonts w:hint="eastAsia" w:ascii="仿宋" w:hAnsi="仿宋" w:eastAsia="仿宋" w:cs="仿宋"/>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仿宋" w:hAnsi="仿宋" w:eastAsia="仿宋" w:cs="仿宋"/>
          <w:i w:val="0"/>
          <w:iCs w:val="0"/>
          <w:caps w:val="0"/>
          <w:color w:val="000000" w:themeColor="text1"/>
          <w:spacing w:val="0"/>
          <w:sz w:val="24"/>
          <w:szCs w:val="24"/>
          <w:highlight w:val="none"/>
          <w:shd w:val="clear" w:fill="FFFFFF"/>
          <w14:textFill>
            <w14:solidFill>
              <w14:schemeClr w14:val="tx1"/>
            </w14:solidFill>
          </w14:textFill>
        </w:rPr>
        <w:t>0%。</w:t>
      </w:r>
    </w:p>
    <w:p w14:paraId="47598EF8">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sz w:val="24"/>
          <w:szCs w:val="24"/>
          <w:highlight w:val="none"/>
          <w:lang w:val="en-US" w:eastAsia="zh-CN"/>
        </w:rPr>
        <w:t>注</w:t>
      </w:r>
      <w:r>
        <w:rPr>
          <w:rFonts w:hint="eastAsia" w:ascii="仿宋" w:hAnsi="仿宋" w:eastAsia="仿宋" w:cs="仿宋"/>
          <w:bCs/>
          <w:color w:val="auto"/>
          <w:sz w:val="24"/>
          <w:szCs w:val="24"/>
          <w:highlight w:val="none"/>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23FD7BAB">
      <w:pPr>
        <w:pageBreakBefore w:val="0"/>
        <w:widowControl/>
        <w:tabs>
          <w:tab w:val="left" w:pos="426"/>
        </w:tabs>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3.乙方开户银行指定账户为：</w:t>
      </w:r>
    </w:p>
    <w:p w14:paraId="075E5999">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收款人：</w:t>
      </w:r>
    </w:p>
    <w:p w14:paraId="2498F01F">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552D3DA6">
      <w:pPr>
        <w:widowControl/>
        <w:tabs>
          <w:tab w:val="left" w:pos="426"/>
        </w:tabs>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2DB7EE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4.甲方付款前，乙方应向甲方开具正式等额发票，否则甲方有权延迟履行付款义务。</w:t>
      </w:r>
    </w:p>
    <w:p w14:paraId="5143962C">
      <w:pPr>
        <w:spacing w:line="360" w:lineRule="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四、项目负责人</w:t>
      </w:r>
    </w:p>
    <w:p w14:paraId="59EF0DB6">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乙方</w:t>
      </w:r>
      <w:r>
        <w:rPr>
          <w:rFonts w:hint="eastAsia" w:ascii="仿宋" w:hAnsi="仿宋" w:eastAsia="仿宋" w:cs="仿宋"/>
          <w:bCs/>
          <w:color w:val="auto"/>
          <w:sz w:val="24"/>
          <w:szCs w:val="24"/>
          <w:highlight w:val="none"/>
          <w:lang w:val="en-US" w:eastAsia="zh-CN"/>
        </w:rPr>
        <w:t>委</w:t>
      </w:r>
      <w:r>
        <w:rPr>
          <w:rFonts w:hint="eastAsia" w:ascii="仿宋" w:hAnsi="仿宋" w:eastAsia="仿宋" w:cs="仿宋"/>
          <w:bCs/>
          <w:color w:val="auto"/>
          <w:sz w:val="24"/>
          <w:szCs w:val="24"/>
          <w:highlight w:val="none"/>
        </w:rPr>
        <w:t>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为本项目负责人，联系电话：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30508652">
      <w:pPr>
        <w:pStyle w:val="3"/>
        <w:spacing w:before="120" w:after="120" w:line="360" w:lineRule="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五、甲方的主要责任和权利</w:t>
      </w:r>
    </w:p>
    <w:p w14:paraId="71E69CD3">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甲方有权享有乙方按照上述约定提供的服务。</w:t>
      </w:r>
    </w:p>
    <w:p w14:paraId="3C124CF8">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41969C9">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甲方有权根据服务要求和标准考评乙方服务质量，如乙方提供的服务考评不合格或不符合约定的，甲方有权按照一定比例减少支付服务费用， 具体减付比例结合乙方提供服务未达到约定的范围，严重程度、给甲方造成的损失情况等确定。</w:t>
      </w:r>
    </w:p>
    <w:p w14:paraId="520D5BFB">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除本合同约定的服务费用外，乙方不得向甲方及其甲方人员收取其他任何费用，如甲方发现乙方有此类行为，甲方有权要求乙方清退所收费用， 退还利息并支付违约金；</w:t>
      </w:r>
    </w:p>
    <w:p w14:paraId="2CCDE76B">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在服务实施过程中，甲方应为乙方提供必要的工作便利与指导，配合乙方履行职责。</w:t>
      </w:r>
    </w:p>
    <w:p w14:paraId="745EA356">
      <w:pPr>
        <w:spacing w:before="120"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甲方不得将本合同的内容向甲乙双方以外的、与签订和履行本合同无关的任何第三方透露，不得泄露乙方的商业秘密（包括本合同及其附件和合同签订前的各项方案） 。</w:t>
      </w:r>
    </w:p>
    <w:p w14:paraId="35A50A95">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六、乙方的主要责任和权利</w:t>
      </w:r>
    </w:p>
    <w:p w14:paraId="740ACBD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1.乙方必须具有履行本合同书所需的技能，必须按照相关的职业准则完成其全部职责。</w:t>
      </w:r>
    </w:p>
    <w:p w14:paraId="13EEE94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2.乙方应根据本合同的约定提交相关文件、资料。</w:t>
      </w:r>
    </w:p>
    <w:p w14:paraId="3DB6E5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.解答甲方提出的与项目有关的询问，接受甲方监督和检查。</w:t>
      </w:r>
    </w:p>
    <w:p w14:paraId="178F66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.乙方应根据本合同的约定提供服务并提交工作成果，确保</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质量。</w:t>
      </w:r>
    </w:p>
    <w:p w14:paraId="3A8FD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.乙方人员服务期中发生任何安全问题均与甲方无关。</w:t>
      </w:r>
    </w:p>
    <w:p w14:paraId="5985EF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6.乙方对于甲方提出的整改意见，应积极配合，确保满足甲方整改要求。</w:t>
      </w:r>
    </w:p>
    <w:p w14:paraId="4259D17D">
      <w:pPr>
        <w:pStyle w:val="9"/>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七、乙方开展工作的内容及要求</w:t>
      </w:r>
    </w:p>
    <w:p w14:paraId="64F012FC">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default" w:ascii="仿宋" w:hAnsi="仿宋" w:eastAsia="仿宋" w:cs="仿宋"/>
          <w:color w:val="auto"/>
          <w:sz w:val="24"/>
          <w:szCs w:val="24"/>
          <w:highlight w:val="none"/>
          <w:lang w:val="en-US" w:eastAsia="zh-CN"/>
        </w:rPr>
        <w:t>项目概况</w:t>
      </w:r>
    </w:p>
    <w:p w14:paraId="01B0A301">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为加强长安区建城区及部分辖区公共外环境病媒生物的管控与防制，做到服务区内病媒防制全覆盖，同时结合巩固国家卫生城市复审工作的需要，并为进一步完善病媒生物防制工作的长效管理措施，有效控制流行性出血热的发生，将由</w:t>
      </w:r>
      <w:r>
        <w:rPr>
          <w:rFonts w:hint="eastAsia" w:ascii="仿宋" w:hAnsi="仿宋" w:eastAsia="仿宋" w:cs="仿宋"/>
          <w:color w:val="auto"/>
          <w:sz w:val="24"/>
          <w:szCs w:val="24"/>
          <w:highlight w:val="none"/>
          <w:lang w:val="en-US" w:eastAsia="zh-CN"/>
        </w:rPr>
        <w:t>PCO</w:t>
      </w:r>
      <w:r>
        <w:rPr>
          <w:rFonts w:hint="default" w:ascii="仿宋" w:hAnsi="仿宋" w:eastAsia="仿宋" w:cs="仿宋"/>
          <w:color w:val="auto"/>
          <w:sz w:val="24"/>
          <w:szCs w:val="24"/>
          <w:highlight w:val="none"/>
          <w:lang w:val="en-US" w:eastAsia="zh-CN"/>
        </w:rPr>
        <w:t>消杀公司对我区建城区及部分辖区公共外环境进行病媒生物防制。现结合区内实际情况，提出以下相关技术要求</w:t>
      </w:r>
    </w:p>
    <w:p w14:paraId="41BA31E1">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w:t>
      </w:r>
      <w:r>
        <w:rPr>
          <w:rFonts w:hint="default" w:ascii="仿宋" w:hAnsi="仿宋" w:eastAsia="仿宋" w:cs="仿宋"/>
          <w:color w:val="auto"/>
          <w:sz w:val="24"/>
          <w:szCs w:val="24"/>
          <w:highlight w:val="none"/>
          <w:lang w:val="en-US" w:eastAsia="zh-CN"/>
        </w:rPr>
        <w:t>防制思路</w:t>
      </w:r>
    </w:p>
    <w:p w14:paraId="3B8BF339">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坚持以“环境治理为主，药物杀灭为辅”的综合防制方针，采取物理方法、化学方法、治理环境等措施对该区域进行消杀和预防性处理，把主要病媒生物密度控制在国家规定的范围之内。</w:t>
      </w:r>
    </w:p>
    <w:p w14:paraId="2DD8E8C0">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w:t>
      </w:r>
      <w:r>
        <w:rPr>
          <w:rFonts w:hint="default" w:ascii="仿宋" w:hAnsi="仿宋" w:eastAsia="仿宋" w:cs="仿宋"/>
          <w:color w:val="auto"/>
          <w:sz w:val="24"/>
          <w:szCs w:val="24"/>
          <w:highlight w:val="none"/>
          <w:lang w:val="en-US" w:eastAsia="zh-CN"/>
        </w:rPr>
        <w:t>防制范围及重点</w:t>
      </w:r>
    </w:p>
    <w:p w14:paraId="49518102">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default" w:ascii="仿宋" w:hAnsi="仿宋" w:eastAsia="仿宋" w:cs="仿宋"/>
          <w:color w:val="auto"/>
          <w:sz w:val="24"/>
          <w:szCs w:val="24"/>
          <w:highlight w:val="none"/>
          <w:lang w:val="en-US" w:eastAsia="zh-CN"/>
        </w:rPr>
        <w:t>防制范围：长安区建城区及部分辖区公共外环境（北起西部大道、南至南横线和318县道，东起长安街沿线、西至210国道沿线）的病媒生物（蚊、蝇、鼠、蟑螂）防制；出血热发病区域专项灭鼠；督导检查；灭前灭后的密度监测；全区密度水平评估。</w:t>
      </w:r>
    </w:p>
    <w:p w14:paraId="71B9A6BB">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default" w:ascii="仿宋" w:hAnsi="仿宋" w:eastAsia="仿宋" w:cs="仿宋"/>
          <w:color w:val="auto"/>
          <w:sz w:val="24"/>
          <w:szCs w:val="24"/>
          <w:highlight w:val="none"/>
          <w:lang w:val="en-US" w:eastAsia="zh-CN"/>
        </w:rPr>
        <w:t>防制重点：对长安区辖区域的公共区域及公共场所（市政道路、公共绿化带、广场、公园、各类水体、下水井、公共洗手间、公共垃圾桶、无主管理区域等）进行蚊、蝇、鼠、蟑螂的全面防制及出血热发病区域专项灭鼠工作。</w:t>
      </w:r>
    </w:p>
    <w:p w14:paraId="5A6B159C">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w:t>
      </w:r>
      <w:r>
        <w:rPr>
          <w:rFonts w:hint="default" w:ascii="仿宋" w:hAnsi="仿宋" w:eastAsia="仿宋" w:cs="仿宋"/>
          <w:color w:val="auto"/>
          <w:sz w:val="24"/>
          <w:szCs w:val="24"/>
          <w:highlight w:val="none"/>
          <w:lang w:val="en-US" w:eastAsia="zh-CN"/>
        </w:rPr>
        <w:t>服务要求</w:t>
      </w:r>
    </w:p>
    <w:p w14:paraId="0AEAC062">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1、降低病媒生物密度：蚊、蝇、鼠、蟑螂防制密度达到国家卫生城市（《病媒生物密度控制水平》GB/T 27770-27773标准）规定的B级及以上标准。病媒生物孳生地治理率达98%以上，治理合格率达98%以上。</w:t>
      </w:r>
    </w:p>
    <w:p w14:paraId="649317B7">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服务方每月25日前将下一个月的服务作业计划安排表（含虫害治理点位、方案、地点、具体服务人员、联系电话、使用药品名称和数量等）报采购人管理部门，供采购人审核确认；每月的作业计划内容，可能会因为现场检查结果和采购方近期实际情况进行调整，调整后的内容应经采购方审核确认；凡采购人审核不通过的作业计划安排表，服务方及时按要求进行修改，并提交采购人审核确认，且于开展服务工作时间提前1个工作日向采购方确认本次服务时间和内容。</w:t>
      </w:r>
    </w:p>
    <w:p w14:paraId="0A42752A">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服务方提供的服务人数和服务时间根据采购方工作需要和安排进行调整，一般情况下每次服务不低于10人，每次服务时间不低于8小时；服务方接到采购方的异常情况或其他有关通知时，通常在接到通知当天进行处理，特殊情况或紧急情况应在2小时内进行处理。</w:t>
      </w:r>
    </w:p>
    <w:p w14:paraId="54AB4F09">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服务方每次服务作业完毕填写服务工作记录单（该记录单由采购方和服务方双方共同制定），作为当次履行服务的凭证，并请采购方有关人员签字确认（包含所服务区域管理人员、部门负责人及其他一线工作人员等有关人员的签字确认）；对投放的药物、器械设置保护设施，保证虫害防制效果；及时清理已经灭杀的虫害尸体和粪便并做好消毒保洁，避免污染环境。</w:t>
      </w:r>
    </w:p>
    <w:p w14:paraId="69248B20">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5、消杀用药概述：</w:t>
      </w:r>
    </w:p>
    <w:p w14:paraId="66B0782E">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灭蚊蝇、蟑螂：为了安全保障，选用高效低毒的10％氟氯氰菊酯水乳剂、15%氯氰菊酯·残杀威乳油、5%高效氟氯氰菊酯悬浮剂及15%顺氯·四氟苯可湿性粉剂具有一定滞留和触杀作用的菊酯类杀虫剂。</w:t>
      </w:r>
    </w:p>
    <w:p w14:paraId="2126C9C0">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灭孑孓：水体撒施5%吡丙醚·倍硫杀虫颗粒剂（对环境水体及鱼类生物无任何危害）灭杀蚊虫孑孓。</w:t>
      </w:r>
    </w:p>
    <w:p w14:paraId="61CCC37E">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灭鼠：严禁使用国家禁止使用的灭鼠剂。为保证安全有效地开展药物灭鼠，选用0.005%氟鼠灵饵剂、0.005%溴敌隆毒饵杀鼠剂（为避免抗药性交替使用）。</w:t>
      </w:r>
    </w:p>
    <w:p w14:paraId="39130DA1">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6、防护设施的排查与上报：</w:t>
      </w:r>
    </w:p>
    <w:p w14:paraId="11AEFF57">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进入施工现场后在查找孳生地的同时，对所有区域进行逐一检查，查出问题准确记录位置与存在问题，检查结束后第一时间整理上报给采购方，由采购方统一组织人员到现场督导相关部门按照防护基础设施标准进行健全。</w:t>
      </w:r>
    </w:p>
    <w:p w14:paraId="2765CFB6">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w:t>
      </w:r>
      <w:r>
        <w:rPr>
          <w:rFonts w:hint="default" w:ascii="仿宋" w:hAnsi="仿宋" w:eastAsia="仿宋" w:cs="仿宋"/>
          <w:color w:val="auto"/>
          <w:sz w:val="24"/>
          <w:szCs w:val="24"/>
          <w:highlight w:val="none"/>
          <w:lang w:val="en-US" w:eastAsia="zh-CN"/>
        </w:rPr>
        <w:t>防治质量标准</w:t>
      </w:r>
    </w:p>
    <w:p w14:paraId="583222BC">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蚊、蝇、鼠、蟑螂防制密度达到国家卫生城市（《病媒生物密度控制水平》GB/T 27770-27773标准）规定的B级及以上标准。病媒生物孳生地治理率达98%以上，治理合格率达98%以上。</w:t>
      </w:r>
    </w:p>
    <w:p w14:paraId="4FA71385">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w:t>
      </w:r>
      <w:r>
        <w:rPr>
          <w:rFonts w:hint="default" w:ascii="仿宋" w:hAnsi="仿宋" w:eastAsia="仿宋" w:cs="仿宋"/>
          <w:color w:val="auto"/>
          <w:sz w:val="24"/>
          <w:szCs w:val="24"/>
          <w:highlight w:val="none"/>
          <w:lang w:val="en-US" w:eastAsia="zh-CN"/>
        </w:rPr>
        <w:t>消杀要求</w:t>
      </w:r>
    </w:p>
    <w:p w14:paraId="0351E452">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2026年9月、2027年1月以全区农村、城乡结合地为重点，组织开展3轮次、每次7天的集中灭鼠活动，结束后进行效果评估。</w:t>
      </w:r>
    </w:p>
    <w:p w14:paraId="311793C4">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5-8月份对建城区开展每月1次，每次7天的蚊、蝇、鼠、蟑全面病媒生物防制工作，巩固国家卫生城市成果。</w:t>
      </w:r>
    </w:p>
    <w:p w14:paraId="22C81F6F">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10-12月对全区出血热发病街村的公共区域集中开展3轮次、每次7天的专项灭鼠活动。</w:t>
      </w:r>
    </w:p>
    <w:p w14:paraId="70CCE191">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2027年2-4月对建城区开展每月一次、每次7天的蚊、蝇、鼠、蟑全面病媒生物防制工作。</w:t>
      </w:r>
    </w:p>
    <w:p w14:paraId="3A422C42">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服务期内开展病媒生物密度水平评估工作，并提供评估报告。</w:t>
      </w:r>
    </w:p>
    <w:p w14:paraId="02822347">
      <w:pPr>
        <w:spacing w:line="360" w:lineRule="auto"/>
        <w:ind w:firstLine="480" w:firstLineChars="200"/>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en-US" w:eastAsia="zh-CN"/>
        </w:rPr>
        <w:t>、</w:t>
      </w:r>
      <w:r>
        <w:rPr>
          <w:rFonts w:hint="default" w:ascii="仿宋" w:hAnsi="仿宋" w:eastAsia="仿宋" w:cs="仿宋"/>
          <w:color w:val="auto"/>
          <w:sz w:val="24"/>
          <w:szCs w:val="24"/>
          <w:highlight w:val="none"/>
          <w:lang w:val="en-US" w:eastAsia="zh-CN"/>
        </w:rPr>
        <w:t>服务期内配合甲方完成督导检查工作。</w:t>
      </w:r>
    </w:p>
    <w:p w14:paraId="7D30EF94">
      <w:pPr>
        <w:pStyle w:val="9"/>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lang w:val="zh-CN" w:eastAsia="zh-CN"/>
        </w:rPr>
        <w:t>知识产权</w:t>
      </w:r>
    </w:p>
    <w:p w14:paraId="1B586605">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D4490A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52289002">
      <w:pPr>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21462B12">
      <w:pPr>
        <w:pStyle w:val="9"/>
        <w:tabs>
          <w:tab w:val="left" w:pos="1134"/>
          <w:tab w:val="left" w:pos="1418"/>
        </w:tabs>
        <w:adjustRightInd w:val="0"/>
        <w:spacing w:before="120" w:after="120"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bCs/>
          <w:color w:val="auto"/>
          <w:kern w:val="2"/>
          <w:sz w:val="24"/>
          <w:szCs w:val="24"/>
          <w:highlight w:val="none"/>
          <w:lang w:val="en-US" w:eastAsia="zh-CN" w:bidi="ar-SA"/>
        </w:rPr>
        <w:t>验收</w:t>
      </w:r>
    </w:p>
    <w:p w14:paraId="5E3138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验收时间：2027年4月份。</w:t>
      </w:r>
    </w:p>
    <w:p w14:paraId="3F5CC8C4">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2"/>
          <w:sz w:val="24"/>
          <w:szCs w:val="24"/>
          <w:highlight w:val="none"/>
          <w:lang w:val="en-US" w:eastAsia="zh-CN" w:bidi="ar-SA"/>
        </w:rPr>
        <w:t>验收合格条件：符合国家标准和技术规格书及合同要求，符合竞争性磋商文件、成交供应商的磋商文件、澄清文件和成交通知书的要求等,乙方应严格按照上述及采购人要求实施项目服务，甲方有权对服务质量进行评估，若服务评估结果不合格，</w:t>
      </w:r>
      <w:r>
        <w:rPr>
          <w:rFonts w:hint="eastAsia" w:ascii="仿宋" w:hAnsi="仿宋" w:eastAsia="仿宋" w:cs="仿宋"/>
          <w:color w:val="auto"/>
          <w:kern w:val="0"/>
          <w:sz w:val="24"/>
          <w:szCs w:val="24"/>
          <w:highlight w:val="none"/>
          <w:lang w:eastAsia="zh-CN"/>
        </w:rPr>
        <w:t>乙方应负责无偿予以重测或采取补救措施，以达到质量要求。若返工后还无法通过验收，甲方有权单方解除合同，并追回所付项目款。</w:t>
      </w:r>
    </w:p>
    <w:p w14:paraId="5C188381">
      <w:pPr>
        <w:pStyle w:val="9"/>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lang w:val="zh-CN" w:eastAsia="zh-CN"/>
        </w:rPr>
        <w:t>、保密</w:t>
      </w:r>
    </w:p>
    <w:p w14:paraId="02A0A2A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1.在本合同的履行期内，乙方获得与本项目相关的信息（包括获得的资料及成果等），应当采取适当有效的方式保护，不得未经授权使用、传播或公开。</w:t>
      </w:r>
    </w:p>
    <w:p w14:paraId="08F1430A">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95CFD0C">
      <w:pPr>
        <w:pStyle w:val="10"/>
        <w:spacing w:before="120" w:after="120" w:line="360" w:lineRule="auto"/>
        <w:ind w:left="0" w:leftChars="0"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bCs/>
          <w:color w:val="auto"/>
          <w:sz w:val="24"/>
          <w:szCs w:val="24"/>
          <w:highlight w:val="none"/>
        </w:rPr>
        <w:t>、不可抗力</w:t>
      </w:r>
    </w:p>
    <w:p w14:paraId="68046649">
      <w:pPr>
        <w:pStyle w:val="10"/>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78D46F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2.遭受不可抗力一方应在不可抗力事故发生后尽快以书面形式通知另一方；并在事故发生后</w:t>
      </w:r>
      <w:r>
        <w:rPr>
          <w:rFonts w:hint="eastAsia" w:ascii="仿宋" w:hAnsi="仿宋" w:eastAsia="仿宋" w:cs="仿宋"/>
          <w:color w:val="auto"/>
          <w:sz w:val="24"/>
          <w:szCs w:val="24"/>
          <w:highlight w:val="none"/>
          <w:u w:val="single"/>
        </w:rPr>
        <w:t>十（10）</w:t>
      </w:r>
      <w:r>
        <w:rPr>
          <w:rFonts w:hint="eastAsia" w:ascii="仿宋" w:hAnsi="仿宋" w:eastAsia="仿宋" w:cs="仿宋"/>
          <w:color w:val="auto"/>
          <w:sz w:val="24"/>
          <w:szCs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4"/>
          <w:szCs w:val="24"/>
          <w:highlight w:val="none"/>
          <w:u w:val="single"/>
        </w:rPr>
        <w:t>二十（20）</w:t>
      </w:r>
      <w:r>
        <w:rPr>
          <w:rFonts w:hint="eastAsia" w:ascii="仿宋" w:hAnsi="仿宋" w:eastAsia="仿宋" w:cs="仿宋"/>
          <w:color w:val="auto"/>
          <w:sz w:val="24"/>
          <w:szCs w:val="24"/>
          <w:highlight w:val="none"/>
        </w:rPr>
        <w:t>个日历日以上，双方应通过友好协商在合理的时间内达成进一步履行合同或终止合同的协议。</w:t>
      </w:r>
    </w:p>
    <w:p w14:paraId="17994DF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十二</w:t>
      </w:r>
      <w:r>
        <w:rPr>
          <w:rFonts w:hint="eastAsia" w:ascii="仿宋" w:hAnsi="仿宋" w:eastAsia="仿宋" w:cs="仿宋"/>
          <w:b/>
          <w:bCs/>
          <w:color w:val="auto"/>
          <w:sz w:val="24"/>
          <w:szCs w:val="24"/>
          <w:highlight w:val="none"/>
        </w:rPr>
        <w:t>、税费</w:t>
      </w:r>
    </w:p>
    <w:p w14:paraId="09E312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1.中国政府根据现行税法对乙方征收的与本合同有关的一切税费均由乙方负担。</w:t>
      </w:r>
    </w:p>
    <w:p w14:paraId="047AD8D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2.在中国境外发生的与本合同执行有关的一切税费均由乙方负担。</w:t>
      </w:r>
    </w:p>
    <w:p w14:paraId="1BFBAD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3.中国政府依据现行税法对甲方征收的与本合同有关的一切税费均由甲方负担。</w:t>
      </w:r>
    </w:p>
    <w:p w14:paraId="55F25AD2">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、破产终止合同</w:t>
      </w:r>
    </w:p>
    <w:p w14:paraId="02BABA2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当乙方破产或无供货（或提供服务）能力时，甲方可在任何时候以书面形式通知乙方单方解除合同；并且该终止合同不损害或不影响甲方已采取或将采取补救措施的权利。</w:t>
      </w:r>
    </w:p>
    <w:p w14:paraId="1D41E8C4">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、转让</w:t>
      </w:r>
    </w:p>
    <w:p w14:paraId="7758C7BF">
      <w:pPr>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未经甲方事先书面同意，乙方不得部分转让或全部转让其应履行的合同义务。乙方擅自转让自身合同义务，甲方有权单方解除合同，并要求乙方赔偿因此产生的一切损失。</w:t>
      </w:r>
    </w:p>
    <w:p w14:paraId="11368A7B">
      <w:pPr>
        <w:spacing w:before="120" w:after="120"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w:t>
      </w: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lang w:val="zh-CN"/>
        </w:rPr>
        <w:t>、违约责任</w:t>
      </w:r>
    </w:p>
    <w:p w14:paraId="13AC8CAB">
      <w:pPr>
        <w:pStyle w:val="9"/>
        <w:widowControl w:val="0"/>
        <w:tabs>
          <w:tab w:val="left" w:pos="1134"/>
          <w:tab w:val="left" w:pos="1418"/>
        </w:tabs>
        <w:adjustRightInd w:val="0"/>
        <w:spacing w:line="360" w:lineRule="auto"/>
        <w:ind w:lef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1.按《中华人民共和国民法典》中的相关条款执行。</w:t>
      </w:r>
    </w:p>
    <w:p w14:paraId="3D84C704">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2.合同签</w:t>
      </w:r>
      <w:r>
        <w:rPr>
          <w:rFonts w:hint="eastAsia" w:ascii="仿宋" w:hAnsi="仿宋" w:eastAsia="仿宋" w:cs="仿宋"/>
          <w:color w:val="auto"/>
          <w:kern w:val="0"/>
          <w:sz w:val="24"/>
          <w:szCs w:val="24"/>
          <w:highlight w:val="none"/>
          <w:lang w:eastAsia="zh-CN"/>
        </w:rPr>
        <w:t>订后，如乙方擅自中途停止或解除合同，乙方应向甲方双倍返还定金。没有约定定金的，乙方向甲方赔偿防制服务价款。</w:t>
      </w:r>
    </w:p>
    <w:p w14:paraId="3B07634B">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消杀服务实施过程中，乙方未按谈判响应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895D6E6">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乙方有责任按甲方要求提交病媒生物消杀服务的进展情况资料。如乙方未能按规定的服务周期完成消杀，每延误一天，应付逾期违约金人民币</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eastAsia="zh-CN"/>
        </w:rPr>
        <w:t>（但由于受天气等不可抗力的自然因素影响，则工期顺延），逾期 10 天以上的，甲方除有权终止履行合同外，乙方应承担因延期造成的损失。同时，甲方有权根据乙方所承担服务的质量和进度是否符合要求而对服务的内容进行调整。</w:t>
      </w:r>
    </w:p>
    <w:p w14:paraId="34FCA018">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向甲方提供防制服务质量成果。由于返工造成逾期完成服务的，按延误服务周期偿付逾期违约金。</w:t>
      </w:r>
    </w:p>
    <w:p w14:paraId="11C5F282">
      <w:pPr>
        <w:spacing w:line="360" w:lineRule="auto"/>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乙方不得将本项目的任何部分转包或分包给其他任何单位和个人。若擅自转包或分包本合同标的，甲方有权解除合同，并可要求乙方偿付预算工程费 30%的违约金，同时追究其法律责任。</w:t>
      </w:r>
    </w:p>
    <w:p w14:paraId="07097CB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、合同争议和解决办法</w:t>
      </w:r>
    </w:p>
    <w:p w14:paraId="4AA7E7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4638F249">
      <w:pPr>
        <w:spacing w:before="120" w:after="120"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、其他事项</w:t>
      </w:r>
    </w:p>
    <w:p w14:paraId="5046454B">
      <w:pPr>
        <w:spacing w:line="360" w:lineRule="auto"/>
        <w:ind w:firstLine="480" w:firstLineChars="200"/>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b w:val="0"/>
          <w:bCs w:val="0"/>
          <w:color w:val="auto"/>
          <w:kern w:val="0"/>
          <w:sz w:val="24"/>
          <w:szCs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12A115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color w:val="auto"/>
          <w:sz w:val="24"/>
          <w:szCs w:val="24"/>
          <w:highlight w:val="none"/>
        </w:rPr>
        <w:t>未尽事宜，双方协商解决。在本合同履行过程中将双方达成的书面补充协议是本合同不可分割的组成部分，与本合同具有同等效力。</w:t>
      </w:r>
    </w:p>
    <w:p w14:paraId="2E84969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lang w:val="en-US" w:eastAsia="zh-CN"/>
        </w:rPr>
        <w:t>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份</w:t>
      </w:r>
      <w:r>
        <w:rPr>
          <w:rFonts w:hint="eastAsia" w:ascii="仿宋" w:hAnsi="仿宋" w:eastAsia="仿宋" w:cs="仿宋"/>
          <w:color w:val="auto"/>
          <w:sz w:val="24"/>
          <w:szCs w:val="24"/>
          <w:highlight w:val="none"/>
        </w:rPr>
        <w:t>，在双方代表签字盖章后生效，甲方执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6FBEC5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.本合同自双方签字盖章之日起生效，合同执行完毕自动失效（合同的服务承诺长期有效）。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正文完）</w:t>
      </w:r>
    </w:p>
    <w:p w14:paraId="2EF6D27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以下为签署页</w:t>
      </w:r>
    </w:p>
    <w:p w14:paraId="2A8E27B4">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tbl>
      <w:tblPr>
        <w:tblStyle w:val="6"/>
        <w:tblpPr w:leftFromText="180" w:rightFromText="180" w:vertAnchor="text" w:horzAnchor="page" w:tblpX="1221" w:tblpY="1176"/>
        <w:tblOverlap w:val="never"/>
        <w:tblW w:w="0" w:type="auto"/>
        <w:tblInd w:w="0" w:type="dxa"/>
        <w:tblLayout w:type="fixed"/>
        <w:tblCellMar>
          <w:top w:w="0" w:type="dxa"/>
          <w:left w:w="108" w:type="dxa"/>
          <w:bottom w:w="0" w:type="dxa"/>
          <w:right w:w="108" w:type="dxa"/>
        </w:tblCellMar>
      </w:tblPr>
      <w:tblGrid>
        <w:gridCol w:w="4201"/>
        <w:gridCol w:w="4202"/>
      </w:tblGrid>
      <w:tr w14:paraId="7D9AC08F">
        <w:tblPrEx>
          <w:tblCellMar>
            <w:top w:w="0" w:type="dxa"/>
            <w:left w:w="108" w:type="dxa"/>
            <w:bottom w:w="0" w:type="dxa"/>
            <w:right w:w="108" w:type="dxa"/>
          </w:tblCellMar>
        </w:tblPrEx>
        <w:trPr>
          <w:trHeight w:val="484" w:hRule="exact"/>
        </w:trPr>
        <w:tc>
          <w:tcPr>
            <w:tcW w:w="4201" w:type="dxa"/>
            <w:noWrap w:val="0"/>
            <w:vAlign w:val="center"/>
          </w:tcPr>
          <w:p w14:paraId="6A0884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4202" w:type="dxa"/>
            <w:noWrap w:val="0"/>
            <w:vAlign w:val="center"/>
          </w:tcPr>
          <w:p w14:paraId="3689425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208E0512">
        <w:tblPrEx>
          <w:tblCellMar>
            <w:top w:w="0" w:type="dxa"/>
            <w:left w:w="108" w:type="dxa"/>
            <w:bottom w:w="0" w:type="dxa"/>
            <w:right w:w="108" w:type="dxa"/>
          </w:tblCellMar>
        </w:tblPrEx>
        <w:trPr>
          <w:trHeight w:val="467" w:hRule="exact"/>
        </w:trPr>
        <w:tc>
          <w:tcPr>
            <w:tcW w:w="4201" w:type="dxa"/>
            <w:noWrap w:val="0"/>
            <w:vAlign w:val="center"/>
          </w:tcPr>
          <w:p w14:paraId="502A54B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0"/>
            <w:vAlign w:val="center"/>
          </w:tcPr>
          <w:p w14:paraId="0484BCD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0F761AB">
        <w:tblPrEx>
          <w:tblCellMar>
            <w:top w:w="0" w:type="dxa"/>
            <w:left w:w="108" w:type="dxa"/>
            <w:bottom w:w="0" w:type="dxa"/>
            <w:right w:w="108" w:type="dxa"/>
          </w:tblCellMar>
        </w:tblPrEx>
        <w:trPr>
          <w:trHeight w:val="501" w:hRule="exact"/>
        </w:trPr>
        <w:tc>
          <w:tcPr>
            <w:tcW w:w="4201" w:type="dxa"/>
            <w:noWrap w:val="0"/>
            <w:vAlign w:val="center"/>
          </w:tcPr>
          <w:p w14:paraId="2368245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202" w:type="dxa"/>
            <w:noWrap w:val="0"/>
            <w:vAlign w:val="center"/>
          </w:tcPr>
          <w:p w14:paraId="1BB54A3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32EE2695">
        <w:tblPrEx>
          <w:tblCellMar>
            <w:top w:w="0" w:type="dxa"/>
            <w:left w:w="108" w:type="dxa"/>
            <w:bottom w:w="0" w:type="dxa"/>
            <w:right w:w="108" w:type="dxa"/>
          </w:tblCellMar>
        </w:tblPrEx>
        <w:trPr>
          <w:trHeight w:val="450" w:hRule="exact"/>
        </w:trPr>
        <w:tc>
          <w:tcPr>
            <w:tcW w:w="4201" w:type="dxa"/>
            <w:noWrap w:val="0"/>
            <w:vAlign w:val="center"/>
          </w:tcPr>
          <w:p w14:paraId="0EDA618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0"/>
            <w:vAlign w:val="center"/>
          </w:tcPr>
          <w:p w14:paraId="3F82368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28C39844">
        <w:tblPrEx>
          <w:tblCellMar>
            <w:top w:w="0" w:type="dxa"/>
            <w:left w:w="108" w:type="dxa"/>
            <w:bottom w:w="0" w:type="dxa"/>
            <w:right w:w="108" w:type="dxa"/>
          </w:tblCellMar>
        </w:tblPrEx>
        <w:trPr>
          <w:trHeight w:val="533" w:hRule="exact"/>
        </w:trPr>
        <w:tc>
          <w:tcPr>
            <w:tcW w:w="4201" w:type="dxa"/>
            <w:noWrap w:val="0"/>
            <w:vAlign w:val="center"/>
          </w:tcPr>
          <w:p w14:paraId="4055C8F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4202" w:type="dxa"/>
            <w:noWrap w:val="0"/>
            <w:vAlign w:val="center"/>
          </w:tcPr>
          <w:p w14:paraId="4E8495E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706915D9">
        <w:tblPrEx>
          <w:tblCellMar>
            <w:top w:w="0" w:type="dxa"/>
            <w:left w:w="108" w:type="dxa"/>
            <w:bottom w:w="0" w:type="dxa"/>
            <w:right w:w="108" w:type="dxa"/>
          </w:tblCellMar>
        </w:tblPrEx>
        <w:trPr>
          <w:trHeight w:val="533" w:hRule="exact"/>
        </w:trPr>
        <w:tc>
          <w:tcPr>
            <w:tcW w:w="4201" w:type="dxa"/>
            <w:noWrap w:val="0"/>
            <w:vAlign w:val="center"/>
          </w:tcPr>
          <w:p w14:paraId="3823481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4202" w:type="dxa"/>
            <w:noWrap w:val="0"/>
            <w:vAlign w:val="center"/>
          </w:tcPr>
          <w:p w14:paraId="667243F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r>
      <w:tr w14:paraId="55B21E00">
        <w:tblPrEx>
          <w:tblCellMar>
            <w:top w:w="0" w:type="dxa"/>
            <w:left w:w="108" w:type="dxa"/>
            <w:bottom w:w="0" w:type="dxa"/>
            <w:right w:w="108" w:type="dxa"/>
          </w:tblCellMar>
        </w:tblPrEx>
        <w:trPr>
          <w:trHeight w:val="500" w:hRule="exact"/>
        </w:trPr>
        <w:tc>
          <w:tcPr>
            <w:tcW w:w="4201" w:type="dxa"/>
            <w:noWrap w:val="0"/>
            <w:vAlign w:val="center"/>
          </w:tcPr>
          <w:p w14:paraId="234C079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0"/>
            <w:vAlign w:val="center"/>
          </w:tcPr>
          <w:p w14:paraId="46F8ACA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A2B6229">
        <w:tblPrEx>
          <w:tblCellMar>
            <w:top w:w="0" w:type="dxa"/>
            <w:left w:w="108" w:type="dxa"/>
            <w:bottom w:w="0" w:type="dxa"/>
            <w:right w:w="108" w:type="dxa"/>
          </w:tblCellMar>
        </w:tblPrEx>
        <w:trPr>
          <w:trHeight w:val="467" w:hRule="exact"/>
        </w:trPr>
        <w:tc>
          <w:tcPr>
            <w:tcW w:w="4201" w:type="dxa"/>
            <w:noWrap w:val="0"/>
            <w:vAlign w:val="center"/>
          </w:tcPr>
          <w:p w14:paraId="03154EF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0"/>
            <w:vAlign w:val="center"/>
          </w:tcPr>
          <w:p w14:paraId="29F19082">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381CB564">
        <w:tblPrEx>
          <w:tblCellMar>
            <w:top w:w="0" w:type="dxa"/>
            <w:left w:w="108" w:type="dxa"/>
            <w:bottom w:w="0" w:type="dxa"/>
            <w:right w:w="108" w:type="dxa"/>
          </w:tblCellMar>
        </w:tblPrEx>
        <w:trPr>
          <w:trHeight w:val="567" w:hRule="exact"/>
        </w:trPr>
        <w:tc>
          <w:tcPr>
            <w:tcW w:w="4201" w:type="dxa"/>
            <w:noWrap w:val="0"/>
            <w:vAlign w:val="center"/>
          </w:tcPr>
          <w:p w14:paraId="3A1EF96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0"/>
            <w:vAlign w:val="center"/>
          </w:tcPr>
          <w:p w14:paraId="753CE72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2D50775">
        <w:tblPrEx>
          <w:tblCellMar>
            <w:top w:w="0" w:type="dxa"/>
            <w:left w:w="108" w:type="dxa"/>
            <w:bottom w:w="0" w:type="dxa"/>
            <w:right w:w="108" w:type="dxa"/>
          </w:tblCellMar>
        </w:tblPrEx>
        <w:trPr>
          <w:trHeight w:val="567" w:hRule="exact"/>
        </w:trPr>
        <w:tc>
          <w:tcPr>
            <w:tcW w:w="4201" w:type="dxa"/>
            <w:noWrap w:val="0"/>
            <w:vAlign w:val="center"/>
          </w:tcPr>
          <w:p w14:paraId="7B9A348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0"/>
            <w:vAlign w:val="center"/>
          </w:tcPr>
          <w:p w14:paraId="46346A3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01D97FA9">
      <w:pPr>
        <w:spacing w:line="360" w:lineRule="auto"/>
        <w:rPr>
          <w:rFonts w:hint="eastAsia" w:ascii="仿宋" w:hAnsi="仿宋" w:eastAsia="仿宋" w:cs="仿宋"/>
          <w:sz w:val="20"/>
          <w:szCs w:val="20"/>
          <w:highlight w:val="none"/>
        </w:rPr>
      </w:pPr>
    </w:p>
    <w:p w14:paraId="2C957CA8">
      <w:bookmarkStart w:id="0" w:name="_GoBack"/>
      <w:bookmarkEnd w:id="0"/>
    </w:p>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169D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561B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7561B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C83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 w:type="paragraph" w:styleId="9">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0">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2026-04-16T07:04:01Z</dcterms:created>
  <dc:creator>Administrator</dc:creator>
  <cp:lastModifiedBy>doit</cp:lastModifiedBy>
  <dcterms:modified xsi:type="dcterms:W3CDTF">2026-04-16T07:04:31Z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eyJoZGlkIjoiNGNlODcxMmNiYzg2MmRhMTc1ODk3ZjFmN2Q5MTBmZTMiLCJ1c2VySWQiOiI1NDQyNTk1OTUifQ==</vt:lpwstr>
  </property>
  <property fmtid="{D5CDD505-2E9C-101B-9397-08002B2CF9AE}" pid="4" name="ICV">
    <vt:lpwstr>381529F17F84478DB3CF874D4C6196A5_12</vt:lpwstr>
  </property>
</Properties>
</file>