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版本号：JC2026-CG0501(12)20260420001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2025年滈河S107上游水毁修复工程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JC2026-CG0501(12)</w:t>
      </w:r>
      <w:r>
        <w:br/>
      </w:r>
      <w:r>
        <w:br/>
      </w:r>
      <w:r>
        <w:br/>
      </w:r>
    </w:p>
    <w:p>
      <w:pPr>
        <w:pStyle w:val="null3"/>
        <w:jc w:val="center"/>
        <w:outlineLvl w:val="2"/>
      </w:pPr>
      <w:r>
        <w:rPr>
          <w:rFonts w:ascii="仿宋_GB2312" w:hAnsi="仿宋_GB2312" w:cs="仿宋_GB2312" w:eastAsia="仿宋_GB2312"/>
          <w:sz w:val="28"/>
          <w:b/>
        </w:rPr>
        <w:t>西安市长安区河道管理中心</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西安市长安区河道管理中心</w:t>
      </w:r>
      <w:r>
        <w:rPr>
          <w:rFonts w:ascii="仿宋_GB2312" w:hAnsi="仿宋_GB2312" w:cs="仿宋_GB2312" w:eastAsia="仿宋_GB2312"/>
        </w:rPr>
        <w:t>委托，拟对</w:t>
      </w:r>
      <w:r>
        <w:rPr>
          <w:rFonts w:ascii="仿宋_GB2312" w:hAnsi="仿宋_GB2312" w:cs="仿宋_GB2312" w:eastAsia="仿宋_GB2312"/>
        </w:rPr>
        <w:t>2025年滈河S107上游水毁修复工程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2025年滈河S107上游水毁修复工程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工程规模为新建滈河S107桥上游400m处跌坎下游消能设施1处及修复加固跌坎下游两岸基础各一处，主要建设内容为：在滈河S107桥上游跌坎后新建35.26m长消能防冲设施，在跌坎及消力池左侧拆除并新建17.5m长C25埋石砼挡墙，在海漫左侧范围内及右岸全段新建共42.5m长C25砼护基墙（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采购包1（2025年滈河S107上游水毁修复工程）：属于专门面向中小企业采购。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8、供应商资质：供应商须具备水利水电工程施工总承包三级及以上资质，且具备建设行政主管部门颁发的安全生产许可证；</w:t>
      </w:r>
    </w:p>
    <w:p>
      <w:pPr>
        <w:pStyle w:val="null3"/>
      </w:pPr>
      <w:r>
        <w:rPr>
          <w:rFonts w:ascii="仿宋_GB2312" w:hAnsi="仿宋_GB2312" w:cs="仿宋_GB2312" w:eastAsia="仿宋_GB2312"/>
        </w:rPr>
        <w:t>9、拟派项目经理：拟派项目经理须具备水利水电工程专业二级及以上注册建造师证书及水行政主管部门颁发的安全生产考核合格证书，在本单位注册且无在建工程（提供无在建项目承诺书）；</w:t>
      </w:r>
    </w:p>
    <w:p>
      <w:pPr>
        <w:pStyle w:val="null3"/>
      </w:pPr>
      <w:r>
        <w:rPr>
          <w:rFonts w:ascii="仿宋_GB2312" w:hAnsi="仿宋_GB2312" w:cs="仿宋_GB2312" w:eastAsia="仿宋_GB2312"/>
        </w:rPr>
        <w:t>10、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11、非联合体磋商：本项目不接受联合体磋商。单位负责人为同一人或者存在直接控股、管理关系的不同单位不得同时参加。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西安市长安区河道管理中心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西安市长安区建材街与润安路十字东北角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贾少楠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029-85291983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采购包1：868,949.00元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足额向采购代理机构支付，成交供应商向采购人提供发票凭据，予以报销该费用；2.收费依据：以成交价作为基数，按照原《国家计委关于印发&lt;招标代理服务收费管理暂行办法&gt;的通知》（计价格[2002]1980号）和《国家发展改革委办公厅关于招标代理服务收费有关问题的通知》（发改价格[2003]857号）文件的通知标准收取。3.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西安市长安区河道管理中心</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西安市长安区河道管理中心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西安市长安区河道管理中心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一、工程质量须达到国家现行施工验收规范“合格”标准。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868,949.00</w:t>
      </w:r>
    </w:p>
    <w:p>
      <w:pPr>
        <w:pStyle w:val="null3"/>
      </w:pPr>
      <w:r>
        <w:rPr>
          <w:rFonts w:ascii="仿宋_GB2312" w:hAnsi="仿宋_GB2312" w:cs="仿宋_GB2312" w:eastAsia="仿宋_GB2312"/>
        </w:rPr>
        <w:t>采购包最高限价（元）: 868,949.00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2025年滈河S107上游水毁修复工程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868,949.00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标的名称：2025年滈河S107上游水毁修复工程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ind w:firstLine="200"/>
              <w:jc w:val="both"/>
            </w:pPr>
            <w:r>
              <w:rPr>
                <w:rFonts w:ascii="仿宋_GB2312" w:hAnsi="仿宋_GB2312" w:cs="仿宋_GB2312" w:eastAsia="仿宋_GB2312"/>
                <w:sz w:val="18"/>
              </w:rPr>
              <w:t>本项目工程规模为新建滈河S107桥上游400m处跌坎下游消能设施1处及修复加固跌坎下游两岸基础各一处，主要建设内容为：在滈河S107桥上游跌坎后新建35.26m长消能防冲设施，在跌坎及消力池左侧拆除并新建17.5m长C25埋石砼挡墙，在海漫左侧范围内及右岸全段新建共42.5m长C25砼护基墙。（具体详见工程量清单及图纸所含全部内容）。</w:t>
            </w:r>
          </w:p>
          <w:p>
            <w:pPr>
              <w:pStyle w:val="null3"/>
              <w:jc w:val="both"/>
            </w:pPr>
            <w:r>
              <w:rPr>
                <w:rFonts w:ascii="仿宋_GB2312" w:hAnsi="仿宋_GB2312" w:cs="仿宋_GB2312" w:eastAsia="仿宋_GB2312"/>
                <w:sz w:val="18"/>
              </w:rPr>
              <w:t>二、工程量清单编制依据</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2025年滈河S107上游水毁修复工程</w:t>
            </w:r>
            <w:r>
              <w:rPr>
                <w:rFonts w:ascii="仿宋_GB2312" w:hAnsi="仿宋_GB2312" w:cs="仿宋_GB2312" w:eastAsia="仿宋_GB2312"/>
                <w:sz w:val="18"/>
              </w:rPr>
              <w:t>实施方案</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2025年滈河S107上游水毁修复工程</w:t>
            </w:r>
            <w:r>
              <w:rPr>
                <w:rFonts w:ascii="仿宋_GB2312" w:hAnsi="仿宋_GB2312" w:cs="仿宋_GB2312" w:eastAsia="仿宋_GB2312"/>
                <w:sz w:val="18"/>
              </w:rPr>
              <w:t>图纸及概算书》；</w:t>
            </w:r>
          </w:p>
          <w:p>
            <w:pPr>
              <w:pStyle w:val="null3"/>
              <w:jc w:val="both"/>
            </w:pPr>
            <w:r>
              <w:rPr>
                <w:rFonts w:ascii="仿宋_GB2312" w:hAnsi="仿宋_GB2312" w:cs="仿宋_GB2312" w:eastAsia="仿宋_GB2312"/>
                <w:sz w:val="18"/>
              </w:rPr>
              <w:t>2、清单编制依据《水利工程工程量清单计价规范》（GB50501-2007）及其配套文件中工程量计算办法；</w:t>
            </w:r>
          </w:p>
          <w:p>
            <w:pPr>
              <w:pStyle w:val="null3"/>
              <w:jc w:val="both"/>
            </w:pPr>
            <w:r>
              <w:rPr>
                <w:rFonts w:ascii="仿宋_GB2312" w:hAnsi="仿宋_GB2312" w:cs="仿宋_GB2312" w:eastAsia="仿宋_GB2312"/>
                <w:sz w:val="18"/>
              </w:rPr>
              <w:t>3、依据正常的施工组织设计及施工方法；</w:t>
            </w:r>
          </w:p>
          <w:p>
            <w:pPr>
              <w:pStyle w:val="null3"/>
              <w:jc w:val="both"/>
            </w:pPr>
            <w:r>
              <w:rPr>
                <w:rFonts w:ascii="仿宋_GB2312" w:hAnsi="仿宋_GB2312" w:cs="仿宋_GB2312" w:eastAsia="仿宋_GB2312"/>
                <w:sz w:val="18"/>
              </w:rPr>
              <w:t>4、施工图设计中采用的相关施工规范及验收规范。</w:t>
            </w:r>
          </w:p>
          <w:p>
            <w:pPr>
              <w:pStyle w:val="null3"/>
              <w:jc w:val="both"/>
            </w:pPr>
            <w:r>
              <w:rPr>
                <w:rFonts w:ascii="仿宋_GB2312" w:hAnsi="仿宋_GB2312" w:cs="仿宋_GB2312" w:eastAsia="仿宋_GB2312"/>
                <w:sz w:val="18"/>
              </w:rPr>
              <w:t>三、其他说明</w:t>
            </w:r>
          </w:p>
          <w:p>
            <w:pPr>
              <w:pStyle w:val="null3"/>
            </w:pPr>
            <w:r>
              <w:rPr>
                <w:rFonts w:ascii="仿宋_GB2312" w:hAnsi="仿宋_GB2312" w:cs="仿宋_GB2312" w:eastAsia="仿宋_GB2312"/>
                <w:sz w:val="18"/>
              </w:rPr>
              <w:t>1、</w:t>
            </w:r>
            <w:r>
              <w:rPr>
                <w:rFonts w:ascii="仿宋_GB2312" w:hAnsi="仿宋_GB2312" w:cs="仿宋_GB2312" w:eastAsia="仿宋_GB2312"/>
                <w:sz w:val="18"/>
              </w:rPr>
              <w:t>混凝土采用商品混凝土</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本工程采用天宇</w:t>
            </w:r>
            <w:r>
              <w:rPr>
                <w:rFonts w:ascii="仿宋_GB2312" w:hAnsi="仿宋_GB2312" w:cs="仿宋_GB2312" w:eastAsia="仿宋_GB2312"/>
                <w:sz w:val="18"/>
              </w:rPr>
              <w:t>e算水利水电工程造价软件（版本号V1.2.2（202509-4））编制</w:t>
            </w:r>
            <w:r>
              <w:rPr>
                <w:rFonts w:ascii="仿宋_GB2312" w:hAnsi="仿宋_GB2312" w:cs="仿宋_GB2312" w:eastAsia="仿宋_GB2312"/>
                <w:sz w:val="18"/>
              </w:rPr>
              <w:t>；</w:t>
            </w:r>
          </w:p>
          <w:p>
            <w:pPr>
              <w:pStyle w:val="null3"/>
            </w:pPr>
            <w:r>
              <w:rPr>
                <w:rFonts w:ascii="仿宋_GB2312" w:hAnsi="仿宋_GB2312" w:cs="仿宋_GB2312" w:eastAsia="仿宋_GB2312"/>
                <w:sz w:val="18"/>
              </w:rPr>
              <w:t>3、施工安全生产专项投资= (建安工程投资+机电设备及安装工程投资+金属结构设备及安装工程投资-设备费+施工导流工程投资+施工交通工程投资）*（1+其他施工临时工程费率）*2.5%</w:t>
            </w:r>
            <w:r>
              <w:rPr>
                <w:rFonts w:ascii="仿宋_GB2312" w:hAnsi="仿宋_GB2312" w:cs="仿宋_GB2312" w:eastAsia="仿宋_GB2312"/>
                <w:sz w:val="18"/>
              </w:rPr>
              <w:t>；</w:t>
            </w:r>
          </w:p>
          <w:p>
            <w:pPr>
              <w:pStyle w:val="null3"/>
            </w:pPr>
            <w:r>
              <w:rPr>
                <w:rFonts w:ascii="仿宋_GB2312" w:hAnsi="仿宋_GB2312" w:cs="仿宋_GB2312" w:eastAsia="仿宋_GB2312"/>
                <w:sz w:val="18"/>
              </w:rPr>
              <w:t>4</w:t>
            </w:r>
            <w:r>
              <w:rPr>
                <w:rFonts w:ascii="仿宋_GB2312" w:hAnsi="仿宋_GB2312" w:cs="仿宋_GB2312" w:eastAsia="仿宋_GB2312"/>
                <w:sz w:val="18"/>
              </w:rPr>
              <w:t>、其他施工临时工程投资</w:t>
            </w:r>
            <w:r>
              <w:rPr>
                <w:rFonts w:ascii="仿宋_GB2312" w:hAnsi="仿宋_GB2312" w:cs="仿宋_GB2312" w:eastAsia="仿宋_GB2312"/>
                <w:sz w:val="18"/>
              </w:rPr>
              <w:t>= (建安工程投资+机电设备及安装工程投资+金属结构设备及安装工程投资-设备费+施工导流工程投资+施工交通工程投资+施工专项工程投资+施工供电工程投资+施工房屋建筑工程投资)*其他施工临时工程费率(</w:t>
            </w: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p>
          <w:p>
            <w:pPr>
              <w:pStyle w:val="null3"/>
            </w:pPr>
            <w:r>
              <w:rPr>
                <w:rFonts w:ascii="仿宋_GB2312" w:hAnsi="仿宋_GB2312" w:cs="仿宋_GB2312" w:eastAsia="仿宋_GB2312"/>
                <w:sz w:val="18"/>
              </w:rPr>
              <w:t>5、工程保险费=（建安工程+机电设备及安装工程+临时工程）*</w:t>
            </w:r>
            <w:r>
              <w:rPr>
                <w:rFonts w:ascii="仿宋_GB2312" w:hAnsi="仿宋_GB2312" w:cs="仿宋_GB2312" w:eastAsia="仿宋_GB2312"/>
                <w:sz w:val="18"/>
              </w:rPr>
              <w:t>0.5%</w:t>
            </w:r>
            <w:r>
              <w:rPr>
                <w:rFonts w:ascii="仿宋_GB2312" w:hAnsi="仿宋_GB2312" w:cs="仿宋_GB2312" w:eastAsia="仿宋_GB2312"/>
                <w:sz w:val="18"/>
              </w:rPr>
              <w:t>；</w:t>
            </w:r>
          </w:p>
          <w:p>
            <w:pPr>
              <w:pStyle w:val="null3"/>
            </w:pPr>
            <w:r>
              <w:rPr>
                <w:rFonts w:ascii="仿宋_GB2312" w:hAnsi="仿宋_GB2312" w:cs="仿宋_GB2312" w:eastAsia="仿宋_GB2312"/>
                <w:sz w:val="18"/>
              </w:rPr>
              <w:t>6</w:t>
            </w:r>
            <w:r>
              <w:rPr>
                <w:rFonts w:ascii="仿宋_GB2312" w:hAnsi="仿宋_GB2312" w:cs="仿宋_GB2312" w:eastAsia="仿宋_GB2312"/>
                <w:sz w:val="18"/>
              </w:rPr>
              <w:t>、暂列金</w:t>
            </w:r>
            <w:r>
              <w:rPr>
                <w:rFonts w:ascii="仿宋_GB2312" w:hAnsi="仿宋_GB2312" w:cs="仿宋_GB2312" w:eastAsia="仿宋_GB2312"/>
                <w:sz w:val="18"/>
              </w:rPr>
              <w:t>=（建安工程+机电设备及安装工程+临时工程+工程保险费）*</w:t>
            </w:r>
            <w:r>
              <w:rPr>
                <w:rFonts w:ascii="仿宋_GB2312" w:hAnsi="仿宋_GB2312" w:cs="仿宋_GB2312" w:eastAsia="仿宋_GB2312"/>
                <w:sz w:val="18"/>
              </w:rPr>
              <w:t>6%</w:t>
            </w:r>
            <w:r>
              <w:rPr>
                <w:rFonts w:ascii="仿宋_GB2312" w:hAnsi="仿宋_GB2312" w:cs="仿宋_GB2312" w:eastAsia="仿宋_GB2312"/>
                <w:sz w:val="18"/>
              </w:rPr>
              <w:t>.</w:t>
            </w:r>
          </w:p>
          <w:p>
            <w:pPr>
              <w:pStyle w:val="null3"/>
            </w:pPr>
            <w:r>
              <w:rPr>
                <w:rFonts w:ascii="仿宋_GB2312" w:hAnsi="仿宋_GB2312" w:cs="仿宋_GB2312" w:eastAsia="仿宋_GB2312"/>
                <w:sz w:val="18"/>
              </w:rPr>
              <w:t>四、</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1、工期：自合同签订之日起</w:t>
            </w:r>
            <w:r>
              <w:rPr>
                <w:rFonts w:ascii="仿宋_GB2312" w:hAnsi="仿宋_GB2312" w:cs="仿宋_GB2312" w:eastAsia="仿宋_GB2312"/>
                <w:sz w:val="18"/>
              </w:rPr>
              <w:t>90</w:t>
            </w:r>
            <w:r>
              <w:rPr>
                <w:rFonts w:ascii="仿宋_GB2312" w:hAnsi="仿宋_GB2312" w:cs="仿宋_GB2312" w:eastAsia="仿宋_GB2312"/>
                <w:sz w:val="18"/>
              </w:rPr>
              <w:t>日历天。</w:t>
            </w:r>
          </w:p>
          <w:p>
            <w:pPr>
              <w:pStyle w:val="null3"/>
              <w:jc w:val="both"/>
            </w:pPr>
            <w:r>
              <w:rPr>
                <w:rFonts w:ascii="仿宋_GB2312" w:hAnsi="仿宋_GB2312" w:cs="仿宋_GB2312" w:eastAsia="仿宋_GB2312"/>
                <w:sz w:val="18"/>
              </w:rPr>
              <w:t>2、施工地点：西安市长安区</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4、缺陷责任期（工程质量保修期）：通过合同工程验收之日起12个月。</w:t>
            </w:r>
          </w:p>
          <w:p>
            <w:pPr>
              <w:pStyle w:val="null3"/>
              <w:jc w:val="both"/>
            </w:pPr>
            <w:r>
              <w:rPr>
                <w:rFonts w:ascii="仿宋_GB2312" w:hAnsi="仿宋_GB2312" w:cs="仿宋_GB2312" w:eastAsia="仿宋_GB2312"/>
                <w:sz w:val="18"/>
              </w:rPr>
              <w:t>5、付款方式：（1）根据工程进度，支付至合同价款的80%时暂停支付，项目完工后，承包人提供结算资料，由发包人向审计部门报送竣工决算资料进行决算审计，审计结束后，发包人按照决算审定价，支付剩余款项；（2）每期付款时供应商提供等额发票申请款项。</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供应商须具备水利水电工程施工总承包三级及以上资质，且具备建设行政主管部门颁发的安全生产许可证；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报价函 合同条款响应表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已标价工程量清单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针对本项目有切实可行的①人员事故应急预案；②突发暴雨、大风、大雾等特殊天气的应急预案。以上方案针对性强，能保障项目顺利实施，根据各供应商的内容进行评审，每小项计1-2分，未提供得0分。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供应商2023年1月1日以来承接过类似项目业绩（以合同签订时间为准)。每提供一项业绩得2分，最高得6分。须提供合同复印件或扫描件并加盖公章，未提供不计分。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