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9C43D2">
      <w:pPr>
        <w:pStyle w:val="3"/>
        <w:rPr>
          <w:rFonts w:hint="eastAsia" w:ascii="宋体" w:hAnsi="宋体" w:cs="宋体"/>
          <w:color w:val="auto"/>
          <w:szCs w:val="21"/>
          <w:highlight w:val="none"/>
        </w:rPr>
      </w:pPr>
    </w:p>
    <w:p w14:paraId="018686DA">
      <w:pPr>
        <w:rPr>
          <w:rFonts w:hint="eastAsia"/>
        </w:rPr>
      </w:pPr>
    </w:p>
    <w:p w14:paraId="55AD714A">
      <w:pPr>
        <w:pStyle w:val="11"/>
        <w:spacing w:line="360" w:lineRule="auto"/>
        <w:jc w:val="center"/>
        <w:outlineLvl w:val="1"/>
        <w:rPr>
          <w:rFonts w:hint="eastAsia" w:ascii="宋体" w:hAnsi="宋体" w:eastAsia="宋体" w:cs="宋体"/>
          <w:b/>
          <w:sz w:val="36"/>
          <w:lang w:val="en-US" w:eastAsia="zh-CN"/>
        </w:rPr>
      </w:pPr>
      <w:r>
        <w:rPr>
          <w:rFonts w:hint="eastAsia" w:ascii="宋体" w:hAnsi="宋体" w:cs="宋体"/>
          <w:b/>
          <w:sz w:val="36"/>
          <w:lang w:val="en-US" w:eastAsia="zh-CN"/>
        </w:rPr>
        <w:t>2025年滈河S107上游水毁修复工程</w:t>
      </w:r>
    </w:p>
    <w:p w14:paraId="777756ED">
      <w:pPr>
        <w:pStyle w:val="11"/>
        <w:spacing w:line="360" w:lineRule="auto"/>
        <w:jc w:val="center"/>
        <w:outlineLvl w:val="1"/>
        <w:rPr>
          <w:rFonts w:hint="eastAsia" w:ascii="宋体" w:hAnsi="宋体" w:eastAsia="宋体" w:cs="宋体"/>
          <w:b/>
          <w:sz w:val="36"/>
          <w:lang w:val="en-US" w:eastAsia="zh-CN"/>
        </w:rPr>
      </w:pPr>
    </w:p>
    <w:p w14:paraId="2A3FC207">
      <w:pPr>
        <w:pStyle w:val="11"/>
        <w:spacing w:line="360" w:lineRule="auto"/>
        <w:jc w:val="center"/>
        <w:outlineLvl w:val="1"/>
        <w:rPr>
          <w:rFonts w:hint="eastAsia" w:ascii="宋体" w:hAnsi="宋体" w:eastAsia="宋体" w:cs="宋体"/>
          <w:b/>
          <w:sz w:val="36"/>
          <w:lang w:val="en-US" w:eastAsia="zh-CN"/>
        </w:rPr>
      </w:pPr>
    </w:p>
    <w:p w14:paraId="66629A7C">
      <w:pPr>
        <w:pStyle w:val="11"/>
        <w:spacing w:line="360" w:lineRule="auto"/>
        <w:jc w:val="center"/>
        <w:outlineLvl w:val="1"/>
        <w:rPr>
          <w:rFonts w:hint="eastAsia" w:ascii="宋体" w:hAnsi="宋体" w:eastAsia="宋体" w:cs="宋体"/>
          <w:b/>
          <w:sz w:val="36"/>
          <w:lang w:val="en-US" w:eastAsia="zh-CN"/>
        </w:rPr>
      </w:pPr>
    </w:p>
    <w:p w14:paraId="29F49D32">
      <w:pPr>
        <w:pStyle w:val="11"/>
        <w:spacing w:line="360" w:lineRule="auto"/>
        <w:jc w:val="center"/>
        <w:outlineLvl w:val="1"/>
        <w:rPr>
          <w:rFonts w:hint="eastAsia" w:ascii="宋体" w:hAnsi="宋体" w:eastAsia="宋体" w:cs="宋体"/>
          <w:b/>
          <w:sz w:val="36"/>
          <w:lang w:val="en-US" w:eastAsia="zh-CN"/>
        </w:rPr>
      </w:pPr>
    </w:p>
    <w:p w14:paraId="6E08778F">
      <w:pPr>
        <w:pStyle w:val="11"/>
        <w:spacing w:line="360" w:lineRule="auto"/>
        <w:jc w:val="center"/>
        <w:outlineLvl w:val="1"/>
        <w:rPr>
          <w:rFonts w:hint="eastAsia" w:ascii="宋体" w:hAnsi="宋体" w:eastAsia="宋体" w:cs="宋体"/>
          <w:b/>
          <w:sz w:val="36"/>
          <w:lang w:val="en-US" w:eastAsia="zh-CN"/>
        </w:rPr>
      </w:pPr>
    </w:p>
    <w:p w14:paraId="4134C45C">
      <w:pPr>
        <w:pStyle w:val="11"/>
        <w:spacing w:line="360" w:lineRule="auto"/>
        <w:jc w:val="center"/>
        <w:outlineLvl w:val="1"/>
        <w:rPr>
          <w:rFonts w:hint="eastAsia" w:ascii="宋体" w:hAnsi="宋体" w:eastAsia="宋体" w:cs="宋体"/>
          <w:b/>
          <w:sz w:val="36"/>
          <w:lang w:val="en-US" w:eastAsia="zh-CN"/>
        </w:rPr>
      </w:pPr>
    </w:p>
    <w:p w14:paraId="650BB721">
      <w:pPr>
        <w:pStyle w:val="11"/>
        <w:spacing w:line="360" w:lineRule="auto"/>
        <w:jc w:val="center"/>
        <w:outlineLvl w:val="1"/>
        <w:rPr>
          <w:rFonts w:hint="default" w:ascii="宋体" w:hAnsi="宋体" w:eastAsia="宋体" w:cs="宋体"/>
          <w:b/>
          <w:sz w:val="72"/>
          <w:szCs w:val="72"/>
          <w:lang w:val="en-US"/>
        </w:rPr>
      </w:pPr>
      <w:r>
        <w:rPr>
          <w:rFonts w:hint="eastAsia" w:ascii="宋体" w:hAnsi="宋体" w:eastAsia="宋体" w:cs="宋体"/>
          <w:b/>
          <w:sz w:val="72"/>
          <w:szCs w:val="72"/>
          <w:lang w:val="en-US" w:eastAsia="zh-CN"/>
        </w:rPr>
        <w:t>施工合同</w:t>
      </w:r>
    </w:p>
    <w:p w14:paraId="3690201C">
      <w:pPr>
        <w:pStyle w:val="11"/>
        <w:spacing w:line="360" w:lineRule="auto"/>
        <w:jc w:val="center"/>
        <w:outlineLvl w:val="1"/>
        <w:rPr>
          <w:rFonts w:hint="eastAsia" w:ascii="宋体" w:hAnsi="宋体" w:eastAsia="宋体" w:cs="宋体"/>
          <w:b/>
          <w:sz w:val="36"/>
        </w:rPr>
      </w:pPr>
    </w:p>
    <w:p w14:paraId="6B56E7BF">
      <w:pPr>
        <w:pStyle w:val="11"/>
        <w:spacing w:line="360" w:lineRule="auto"/>
        <w:jc w:val="center"/>
        <w:outlineLvl w:val="1"/>
        <w:rPr>
          <w:rFonts w:hint="eastAsia" w:ascii="宋体" w:hAnsi="宋体" w:eastAsia="宋体" w:cs="宋体"/>
          <w:b/>
          <w:sz w:val="36"/>
        </w:rPr>
      </w:pPr>
    </w:p>
    <w:p w14:paraId="02DCFAC3">
      <w:pPr>
        <w:pStyle w:val="11"/>
        <w:spacing w:line="360" w:lineRule="auto"/>
        <w:jc w:val="center"/>
        <w:outlineLvl w:val="1"/>
        <w:rPr>
          <w:rFonts w:hint="eastAsia" w:ascii="宋体" w:hAnsi="宋体" w:eastAsia="宋体" w:cs="宋体"/>
          <w:b/>
          <w:sz w:val="36"/>
        </w:rPr>
      </w:pPr>
    </w:p>
    <w:p w14:paraId="799B9470">
      <w:pPr>
        <w:pStyle w:val="11"/>
        <w:spacing w:line="360" w:lineRule="auto"/>
        <w:jc w:val="center"/>
        <w:outlineLvl w:val="1"/>
        <w:rPr>
          <w:rFonts w:hint="eastAsia" w:ascii="宋体" w:hAnsi="宋体" w:eastAsia="宋体" w:cs="宋体"/>
          <w:b/>
          <w:sz w:val="36"/>
        </w:rPr>
      </w:pPr>
    </w:p>
    <w:p w14:paraId="7E3342C6">
      <w:pPr>
        <w:pStyle w:val="11"/>
        <w:spacing w:line="360" w:lineRule="auto"/>
        <w:jc w:val="center"/>
        <w:outlineLvl w:val="1"/>
        <w:rPr>
          <w:rFonts w:hint="eastAsia" w:ascii="宋体" w:hAnsi="宋体" w:eastAsia="宋体" w:cs="宋体"/>
          <w:b/>
          <w:sz w:val="36"/>
        </w:rPr>
      </w:pPr>
    </w:p>
    <w:p w14:paraId="16A6B6DC">
      <w:pPr>
        <w:pStyle w:val="11"/>
        <w:spacing w:line="360" w:lineRule="auto"/>
        <w:jc w:val="center"/>
        <w:outlineLvl w:val="1"/>
        <w:rPr>
          <w:rFonts w:hint="eastAsia" w:ascii="宋体" w:hAnsi="宋体" w:eastAsia="宋体" w:cs="宋体"/>
          <w:b/>
          <w:sz w:val="36"/>
        </w:rPr>
      </w:pPr>
    </w:p>
    <w:p w14:paraId="36F51862">
      <w:pPr>
        <w:pStyle w:val="11"/>
        <w:spacing w:line="360" w:lineRule="auto"/>
        <w:jc w:val="center"/>
        <w:outlineLvl w:val="1"/>
        <w:rPr>
          <w:rFonts w:hint="eastAsia" w:ascii="宋体" w:hAnsi="宋体" w:eastAsia="宋体" w:cs="宋体"/>
          <w:b/>
          <w:sz w:val="36"/>
        </w:rPr>
      </w:pPr>
    </w:p>
    <w:p w14:paraId="2076E11A">
      <w:pPr>
        <w:pStyle w:val="11"/>
        <w:spacing w:line="360" w:lineRule="auto"/>
        <w:jc w:val="center"/>
        <w:outlineLvl w:val="1"/>
        <w:rPr>
          <w:rFonts w:hint="eastAsia" w:ascii="宋体" w:hAnsi="宋体" w:eastAsia="宋体" w:cs="宋体"/>
          <w:b/>
          <w:sz w:val="36"/>
        </w:rPr>
      </w:pPr>
    </w:p>
    <w:p w14:paraId="28795D6C">
      <w:pPr>
        <w:pStyle w:val="11"/>
        <w:spacing w:line="600" w:lineRule="auto"/>
        <w:ind w:firstLine="1606" w:firstLineChars="500"/>
        <w:jc w:val="both"/>
        <w:outlineLvl w:val="1"/>
        <w:rPr>
          <w:rFonts w:hint="eastAsia" w:ascii="宋体" w:hAnsi="宋体" w:eastAsia="宋体" w:cs="宋体"/>
          <w:b/>
          <w:sz w:val="32"/>
          <w:szCs w:val="32"/>
          <w:u w:val="single"/>
          <w:lang w:val="en-US" w:eastAsia="zh-CN"/>
        </w:rPr>
      </w:pPr>
      <w:r>
        <w:rPr>
          <w:rFonts w:hint="eastAsia" w:ascii="宋体" w:hAnsi="宋体" w:eastAsia="宋体" w:cs="宋体"/>
          <w:b/>
          <w:sz w:val="32"/>
          <w:szCs w:val="32"/>
          <w:lang w:val="en-US" w:eastAsia="zh-CN"/>
        </w:rPr>
        <w:t>发包人：</w:t>
      </w:r>
      <w:r>
        <w:rPr>
          <w:rFonts w:hint="eastAsia" w:ascii="宋体" w:hAnsi="宋体" w:eastAsia="宋体" w:cs="宋体"/>
          <w:b/>
          <w:sz w:val="32"/>
          <w:szCs w:val="32"/>
          <w:u w:val="single"/>
          <w:lang w:val="en-US" w:eastAsia="zh-CN"/>
        </w:rPr>
        <w:t>西安市长安区河道管理中心</w:t>
      </w:r>
    </w:p>
    <w:p w14:paraId="58A7A3AD">
      <w:pPr>
        <w:autoSpaceDE w:val="0"/>
        <w:autoSpaceDN w:val="0"/>
        <w:spacing w:line="600" w:lineRule="auto"/>
        <w:ind w:firstLine="1606" w:firstLineChars="500"/>
        <w:jc w:val="left"/>
        <w:rPr>
          <w:rFonts w:hint="default" w:ascii="宋体" w:hAnsi="宋体" w:eastAsia="宋体" w:cs="宋体"/>
          <w:b/>
          <w:sz w:val="32"/>
          <w:szCs w:val="32"/>
          <w:u w:val="single"/>
          <w:lang w:val="en-US" w:eastAsia="zh-CN"/>
        </w:rPr>
      </w:pPr>
      <w:r>
        <w:rPr>
          <w:rFonts w:hint="eastAsia" w:ascii="宋体" w:hAnsi="宋体" w:eastAsia="宋体" w:cs="宋体"/>
          <w:b/>
          <w:sz w:val="32"/>
          <w:szCs w:val="32"/>
          <w:lang w:val="en-US" w:eastAsia="zh-CN"/>
        </w:rPr>
        <w:t>承包人：</w:t>
      </w:r>
      <w:r>
        <w:rPr>
          <w:rFonts w:hint="eastAsia" w:ascii="宋体" w:hAnsi="宋体"/>
          <w:sz w:val="32"/>
          <w:szCs w:val="32"/>
          <w:highlight w:val="none"/>
          <w:u w:val="single"/>
          <w:lang w:val="en-US" w:eastAsia="zh-CN"/>
        </w:rPr>
        <w:t xml:space="preserve">                        </w:t>
      </w:r>
    </w:p>
    <w:p w14:paraId="62A34DFB">
      <w:pPr>
        <w:pStyle w:val="11"/>
        <w:spacing w:line="600" w:lineRule="auto"/>
        <w:ind w:firstLine="1606" w:firstLineChars="500"/>
        <w:jc w:val="both"/>
        <w:outlineLvl w:val="1"/>
        <w:rPr>
          <w:rFonts w:hint="default" w:ascii="宋体" w:hAnsi="宋体" w:eastAsia="宋体" w:cs="宋体"/>
          <w:b/>
          <w:sz w:val="32"/>
          <w:szCs w:val="32"/>
          <w:lang w:val="en-US" w:eastAsia="zh-CN"/>
        </w:rPr>
      </w:pPr>
      <w:r>
        <w:rPr>
          <w:rFonts w:hint="eastAsia" w:ascii="宋体" w:hAnsi="宋体" w:eastAsia="宋体" w:cs="宋体"/>
          <w:b/>
          <w:sz w:val="32"/>
          <w:szCs w:val="32"/>
          <w:lang w:val="en-US" w:eastAsia="zh-CN"/>
        </w:rPr>
        <w:t>签订日期：</w:t>
      </w:r>
      <w:r>
        <w:rPr>
          <w:rFonts w:hint="eastAsia" w:ascii="宋体" w:hAnsi="宋体"/>
          <w:sz w:val="32"/>
          <w:szCs w:val="32"/>
          <w:highlight w:val="none"/>
          <w:u w:val="single"/>
          <w:lang w:val="en-US" w:eastAsia="zh-CN"/>
        </w:rPr>
        <w:t xml:space="preserve">                      </w:t>
      </w:r>
    </w:p>
    <w:p w14:paraId="094CEDCA">
      <w:pPr>
        <w:pStyle w:val="6"/>
        <w:shd w:val="clear" w:color="auto" w:fill="FFFFFF"/>
        <w:spacing w:before="156" w:beforeLines="50" w:line="360" w:lineRule="auto"/>
        <w:jc w:val="center"/>
        <w:rPr>
          <w:rFonts w:hAnsi="宋体"/>
          <w:b/>
          <w:bCs/>
          <w:highlight w:val="none"/>
        </w:rPr>
      </w:pPr>
      <w:r>
        <w:rPr>
          <w:rFonts w:hint="eastAsia" w:hAnsi="宋体"/>
          <w:b/>
          <w:bCs/>
          <w:highlight w:val="none"/>
          <w:lang w:val="en-US" w:eastAsia="zh-CN"/>
        </w:rPr>
        <w:br w:type="page"/>
      </w:r>
      <w:r>
        <w:rPr>
          <w:rFonts w:hint="eastAsia" w:hAnsi="宋体"/>
          <w:b/>
          <w:bCs/>
          <w:sz w:val="28"/>
          <w:szCs w:val="28"/>
          <w:highlight w:val="none"/>
          <w:lang w:val="en-US" w:eastAsia="zh-CN"/>
        </w:rPr>
        <w:t xml:space="preserve">第一部分  </w:t>
      </w:r>
      <w:r>
        <w:rPr>
          <w:rFonts w:hint="eastAsia" w:hAnsi="宋体"/>
          <w:b/>
          <w:bCs/>
          <w:sz w:val="28"/>
          <w:szCs w:val="28"/>
          <w:highlight w:val="none"/>
        </w:rPr>
        <w:t>合同协议书</w:t>
      </w:r>
    </w:p>
    <w:p w14:paraId="18943471">
      <w:pPr>
        <w:autoSpaceDE w:val="0"/>
        <w:autoSpaceDN w:val="0"/>
        <w:spacing w:line="36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 xml:space="preserve">(发包人名称，以下简称“发包人”)为实施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(项目名称)，已接受</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(承包人名称，以下简称“承包人”)对该项目</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(项目名称)施工的投标</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确定其为中标人。</w:t>
      </w:r>
      <w:r>
        <w:rPr>
          <w:rFonts w:hint="eastAsia" w:ascii="宋体" w:hAnsi="宋体" w:eastAsia="宋体" w:cs="宋体"/>
          <w:sz w:val="21"/>
          <w:szCs w:val="21"/>
          <w:highlight w:val="none"/>
        </w:rPr>
        <w:t>发包人和承包人共同达成如下协议。</w:t>
      </w:r>
    </w:p>
    <w:p w14:paraId="27852C71">
      <w:pPr>
        <w:autoSpaceDE w:val="0"/>
        <w:autoSpaceDN w:val="0"/>
        <w:spacing w:line="360" w:lineRule="auto"/>
        <w:ind w:left="239" w:leftChars="114" w:firstLine="210" w:firstLineChars="100"/>
        <w:jc w:val="left"/>
        <w:rPr>
          <w:rFonts w:hint="eastAsia" w:ascii="宋体" w:hAnsi="宋体" w:eastAsia="宋体" w:cs="宋体"/>
          <w:sz w:val="21"/>
          <w:szCs w:val="21"/>
          <w:highlight w:val="none"/>
          <w:u w:val="single"/>
          <w:lang w:val="en-US" w:eastAsia="zh-CN"/>
        </w:rPr>
      </w:pPr>
      <w:r>
        <w:rPr>
          <w:rFonts w:hint="eastAsia" w:ascii="宋体" w:hAnsi="宋体" w:eastAsia="宋体" w:cs="宋体"/>
          <w:sz w:val="21"/>
          <w:szCs w:val="21"/>
          <w:highlight w:val="none"/>
        </w:rPr>
        <w:t>1、</w:t>
      </w:r>
      <w:r>
        <w:rPr>
          <w:rFonts w:hint="eastAsia" w:ascii="宋体" w:hAnsi="宋体" w:eastAsia="宋体" w:cs="宋体"/>
          <w:sz w:val="21"/>
          <w:szCs w:val="21"/>
          <w:highlight w:val="none"/>
          <w:lang w:val="en-US" w:eastAsia="zh-CN"/>
        </w:rPr>
        <w:t>项目概况：</w:t>
      </w:r>
      <w:r>
        <w:rPr>
          <w:rFonts w:hint="eastAsia" w:ascii="宋体" w:hAnsi="宋体" w:eastAsia="宋体" w:cs="宋体"/>
          <w:sz w:val="21"/>
          <w:szCs w:val="21"/>
          <w:highlight w:val="none"/>
          <w:u w:val="single"/>
          <w:lang w:val="en-US" w:eastAsia="zh-CN"/>
        </w:rPr>
        <w:t xml:space="preserve">                          </w:t>
      </w:r>
    </w:p>
    <w:p w14:paraId="75CF33A6">
      <w:pPr>
        <w:autoSpaceDE w:val="0"/>
        <w:autoSpaceDN w:val="0"/>
        <w:spacing w:line="36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2、下列文件应视为构成合同文件的组成部分：</w:t>
      </w:r>
    </w:p>
    <w:p w14:paraId="13C57491">
      <w:pPr>
        <w:autoSpaceDE w:val="0"/>
        <w:autoSpaceDN w:val="0"/>
        <w:spacing w:line="36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(1)本协议书及合同</w:t>
      </w:r>
      <w:r>
        <w:rPr>
          <w:rFonts w:hint="eastAsia" w:ascii="宋体" w:hAnsi="宋体" w:eastAsia="宋体" w:cs="宋体"/>
          <w:sz w:val="21"/>
          <w:szCs w:val="21"/>
          <w:highlight w:val="none"/>
          <w:lang w:val="en-US" w:eastAsia="zh-CN"/>
        </w:rPr>
        <w:t>相关</w:t>
      </w:r>
      <w:r>
        <w:rPr>
          <w:rFonts w:hint="eastAsia" w:ascii="宋体" w:hAnsi="宋体" w:eastAsia="宋体" w:cs="宋体"/>
          <w:sz w:val="21"/>
          <w:szCs w:val="21"/>
          <w:highlight w:val="none"/>
        </w:rPr>
        <w:t>附件(含评标期间和合同谈判过程中的澄清文件和补充资料)；</w:t>
      </w:r>
    </w:p>
    <w:p w14:paraId="641BB4BC">
      <w:pPr>
        <w:autoSpaceDE w:val="0"/>
        <w:autoSpaceDN w:val="0"/>
        <w:spacing w:line="36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(2)</w:t>
      </w:r>
      <w:r>
        <w:rPr>
          <w:rFonts w:hint="eastAsia" w:ascii="宋体" w:hAnsi="宋体" w:eastAsia="宋体" w:cs="宋体"/>
          <w:sz w:val="21"/>
          <w:szCs w:val="21"/>
          <w:highlight w:val="none"/>
          <w:lang w:val="en-US" w:eastAsia="zh-CN"/>
        </w:rPr>
        <w:t>成交</w:t>
      </w:r>
      <w:r>
        <w:rPr>
          <w:rFonts w:hint="eastAsia" w:ascii="宋体" w:hAnsi="宋体" w:eastAsia="宋体" w:cs="宋体"/>
          <w:sz w:val="21"/>
          <w:szCs w:val="21"/>
          <w:highlight w:val="none"/>
        </w:rPr>
        <w:t>通知书；</w:t>
      </w:r>
    </w:p>
    <w:p w14:paraId="01C1204E">
      <w:pPr>
        <w:autoSpaceDE w:val="0"/>
        <w:autoSpaceDN w:val="0"/>
        <w:spacing w:line="36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(3)投标函及</w:t>
      </w:r>
      <w:r>
        <w:rPr>
          <w:rFonts w:hint="eastAsia" w:ascii="宋体" w:hAnsi="宋体" w:eastAsia="宋体" w:cs="宋体"/>
          <w:sz w:val="21"/>
          <w:szCs w:val="21"/>
          <w:highlight w:val="none"/>
          <w:lang w:val="en-US" w:eastAsia="zh-CN"/>
        </w:rPr>
        <w:t>投标函附录</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如有</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w:t>
      </w:r>
    </w:p>
    <w:p w14:paraId="5CB96A7E">
      <w:pPr>
        <w:autoSpaceDE w:val="0"/>
        <w:autoSpaceDN w:val="0"/>
        <w:spacing w:line="36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(4)专用合同条款；</w:t>
      </w:r>
    </w:p>
    <w:p w14:paraId="15076B62">
      <w:pPr>
        <w:autoSpaceDE w:val="0"/>
        <w:autoSpaceDN w:val="0"/>
        <w:spacing w:line="36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5</w:t>
      </w:r>
      <w:r>
        <w:rPr>
          <w:rFonts w:hint="eastAsia" w:ascii="宋体" w:hAnsi="宋体" w:eastAsia="宋体" w:cs="宋体"/>
          <w:sz w:val="21"/>
          <w:szCs w:val="21"/>
          <w:highlight w:val="none"/>
        </w:rPr>
        <w:t>)通用合同条款；</w:t>
      </w:r>
    </w:p>
    <w:p w14:paraId="7507F09F">
      <w:pPr>
        <w:autoSpaceDE w:val="0"/>
        <w:autoSpaceDN w:val="0"/>
        <w:spacing w:line="360" w:lineRule="auto"/>
        <w:ind w:firstLine="420" w:firstLineChars="200"/>
        <w:jc w:val="left"/>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6</w:t>
      </w: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技术标准和要求（合同技术条款）</w:t>
      </w:r>
      <w:r>
        <w:rPr>
          <w:rFonts w:hint="eastAsia" w:ascii="宋体" w:hAnsi="宋体" w:eastAsia="宋体" w:cs="宋体"/>
          <w:sz w:val="21"/>
          <w:szCs w:val="21"/>
          <w:highlight w:val="none"/>
          <w:lang w:eastAsia="zh-CN"/>
        </w:rPr>
        <w:t>；</w:t>
      </w:r>
    </w:p>
    <w:p w14:paraId="761135E3">
      <w:pPr>
        <w:autoSpaceDE w:val="0"/>
        <w:autoSpaceDN w:val="0"/>
        <w:spacing w:line="36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7</w:t>
      </w:r>
      <w:r>
        <w:rPr>
          <w:rFonts w:hint="eastAsia" w:ascii="宋体" w:hAnsi="宋体" w:eastAsia="宋体" w:cs="宋体"/>
          <w:sz w:val="21"/>
          <w:szCs w:val="21"/>
          <w:highlight w:val="none"/>
        </w:rPr>
        <w:t>)图纸；</w:t>
      </w:r>
    </w:p>
    <w:p w14:paraId="5CEEDE5B">
      <w:pPr>
        <w:autoSpaceDE w:val="0"/>
        <w:autoSpaceDN w:val="0"/>
        <w:spacing w:line="36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8</w:t>
      </w:r>
      <w:r>
        <w:rPr>
          <w:rFonts w:hint="eastAsia" w:ascii="宋体" w:hAnsi="宋体" w:eastAsia="宋体" w:cs="宋体"/>
          <w:sz w:val="21"/>
          <w:szCs w:val="21"/>
          <w:highlight w:val="none"/>
        </w:rPr>
        <w:t>)已标价工程量清单；</w:t>
      </w:r>
    </w:p>
    <w:p w14:paraId="2ABD4226">
      <w:pPr>
        <w:autoSpaceDE w:val="0"/>
        <w:autoSpaceDN w:val="0"/>
        <w:spacing w:line="36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9</w:t>
      </w:r>
      <w:r>
        <w:rPr>
          <w:rFonts w:hint="eastAsia" w:ascii="宋体" w:hAnsi="宋体" w:eastAsia="宋体" w:cs="宋体"/>
          <w:sz w:val="21"/>
          <w:szCs w:val="21"/>
          <w:highlight w:val="none"/>
        </w:rPr>
        <w:t>)其他合同文件。</w:t>
      </w:r>
    </w:p>
    <w:p w14:paraId="4C9855A5">
      <w:pPr>
        <w:autoSpaceDE w:val="0"/>
        <w:autoSpaceDN w:val="0"/>
        <w:spacing w:line="36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上述文件互相补充和解释。如</w:t>
      </w:r>
      <w:r>
        <w:rPr>
          <w:rFonts w:hint="eastAsia" w:ascii="宋体" w:hAnsi="宋体" w:eastAsia="宋体" w:cs="宋体"/>
          <w:sz w:val="21"/>
          <w:szCs w:val="21"/>
          <w:highlight w:val="none"/>
          <w:lang w:val="en-US" w:eastAsia="zh-CN"/>
        </w:rPr>
        <w:t>有不明确</w:t>
      </w:r>
      <w:r>
        <w:rPr>
          <w:rFonts w:hint="eastAsia" w:ascii="宋体" w:hAnsi="宋体" w:eastAsia="宋体" w:cs="宋体"/>
          <w:sz w:val="21"/>
          <w:szCs w:val="21"/>
          <w:highlight w:val="none"/>
        </w:rPr>
        <w:t>或不一致之处，以</w:t>
      </w:r>
      <w:r>
        <w:rPr>
          <w:rFonts w:hint="eastAsia" w:ascii="宋体" w:hAnsi="宋体" w:eastAsia="宋体" w:cs="宋体"/>
          <w:sz w:val="21"/>
          <w:szCs w:val="21"/>
          <w:highlight w:val="none"/>
          <w:lang w:val="en-US" w:eastAsia="zh-CN"/>
        </w:rPr>
        <w:t>合同约定次序</w:t>
      </w:r>
      <w:r>
        <w:rPr>
          <w:rFonts w:hint="eastAsia" w:ascii="宋体" w:hAnsi="宋体" w:eastAsia="宋体" w:cs="宋体"/>
          <w:sz w:val="21"/>
          <w:szCs w:val="21"/>
          <w:highlight w:val="none"/>
        </w:rPr>
        <w:t>在先者为准。</w:t>
      </w:r>
    </w:p>
    <w:p w14:paraId="1AF1B994">
      <w:pPr>
        <w:autoSpaceDE w:val="0"/>
        <w:autoSpaceDN w:val="0"/>
        <w:spacing w:line="360" w:lineRule="auto"/>
        <w:ind w:left="359" w:leftChars="171" w:firstLine="105" w:firstLineChars="50"/>
        <w:jc w:val="left"/>
        <w:rPr>
          <w:rFonts w:hint="eastAsia" w:ascii="宋体" w:hAnsi="宋体" w:eastAsia="宋体" w:cs="宋体"/>
          <w:sz w:val="21"/>
          <w:szCs w:val="21"/>
          <w:highlight w:val="none"/>
          <w:u w:val="single"/>
          <w:lang w:val="en-US" w:eastAsia="zh-CN"/>
        </w:rPr>
      </w:pPr>
      <w:r>
        <w:rPr>
          <w:rFonts w:hint="eastAsia" w:ascii="宋体" w:hAnsi="宋体" w:eastAsia="宋体" w:cs="宋体"/>
          <w:sz w:val="21"/>
          <w:szCs w:val="21"/>
          <w:highlight w:val="none"/>
        </w:rPr>
        <w:t>3、签约合同价：人民币(大写)</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rPr>
        <w:t>元(￥</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none"/>
          <w:lang w:val="en-US" w:eastAsia="zh-CN"/>
        </w:rPr>
        <w:t>元</w:t>
      </w: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本合同价款采用</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color w:val="auto"/>
          <w:sz w:val="21"/>
          <w:szCs w:val="21"/>
          <w:highlight w:val="none"/>
          <w:u w:val="single"/>
          <w:lang w:val="en-US" w:eastAsia="zh-CN"/>
        </w:rPr>
        <w:t>固定综合单价</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none"/>
          <w:lang w:val="en-US" w:eastAsia="zh-CN"/>
        </w:rPr>
        <w:t>方式确定。</w:t>
      </w:r>
    </w:p>
    <w:p w14:paraId="288EAEDF">
      <w:pPr>
        <w:autoSpaceDE w:val="0"/>
        <w:autoSpaceDN w:val="0"/>
        <w:spacing w:line="36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4、承包人项目经理：</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14:paraId="1B9F40A3">
      <w:pPr>
        <w:autoSpaceDE w:val="0"/>
        <w:autoSpaceDN w:val="0"/>
        <w:spacing w:line="360" w:lineRule="auto"/>
        <w:ind w:firstLine="420" w:firstLineChars="200"/>
        <w:jc w:val="left"/>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5、工程质量符合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标准。</w:t>
      </w:r>
    </w:p>
    <w:p w14:paraId="50F3116B">
      <w:pPr>
        <w:autoSpaceDE w:val="0"/>
        <w:autoSpaceDN w:val="0"/>
        <w:spacing w:line="36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6、承包人承诺按合同约定承担工程的实施、完成及缺陷修复。</w:t>
      </w:r>
    </w:p>
    <w:p w14:paraId="174F5A7C">
      <w:pPr>
        <w:autoSpaceDE w:val="0"/>
        <w:autoSpaceDN w:val="0"/>
        <w:spacing w:line="36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7、发包人承诺按合同约定的条件、时间和方式向承包人支付合同价款。</w:t>
      </w:r>
    </w:p>
    <w:p w14:paraId="67990BF8">
      <w:pPr>
        <w:autoSpaceDE w:val="0"/>
        <w:autoSpaceDN w:val="0"/>
        <w:spacing w:line="36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8、承包人应按照监理人指示开工，工期为</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日历天。</w:t>
      </w:r>
    </w:p>
    <w:p w14:paraId="0DD8BACB">
      <w:pPr>
        <w:autoSpaceDE w:val="0"/>
        <w:autoSpaceDN w:val="0"/>
        <w:spacing w:line="36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9、本协议书正本</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份、副本</w:t>
      </w:r>
      <w:r>
        <w:rPr>
          <w:rFonts w:hint="eastAsia" w:ascii="宋体" w:hAnsi="宋体" w:eastAsia="宋体" w:cs="宋体"/>
          <w:b/>
          <w:bCs/>
          <w:sz w:val="21"/>
          <w:szCs w:val="21"/>
          <w:highlight w:val="none"/>
          <w:u w:val="single"/>
        </w:rPr>
        <w:t xml:space="preserve">     </w:t>
      </w:r>
      <w:r>
        <w:rPr>
          <w:rFonts w:hint="eastAsia" w:ascii="宋体" w:hAnsi="宋体" w:eastAsia="宋体" w:cs="宋体"/>
          <w:sz w:val="21"/>
          <w:szCs w:val="21"/>
          <w:highlight w:val="none"/>
        </w:rPr>
        <w:t>份,合同双方各执正本</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份,副本</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份,当正本与副本的内容不一致时,以正本为准。</w:t>
      </w:r>
    </w:p>
    <w:p w14:paraId="2BFAA547">
      <w:pPr>
        <w:autoSpaceDE w:val="0"/>
        <w:autoSpaceDN w:val="0"/>
        <w:spacing w:line="36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10、合同未尽事宜，双方另行签订补充协议。补充协议是合同组成部分。</w:t>
      </w:r>
    </w:p>
    <w:p w14:paraId="597C1E65">
      <w:pPr>
        <w:autoSpaceDE w:val="0"/>
        <w:autoSpaceDN w:val="0"/>
        <w:spacing w:line="36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br w:type="page"/>
      </w:r>
    </w:p>
    <w:tbl>
      <w:tblPr>
        <w:tblStyle w:val="9"/>
        <w:tblW w:w="0" w:type="auto"/>
        <w:tblInd w:w="0" w:type="dxa"/>
        <w:tblLayout w:type="fixed"/>
        <w:tblCellMar>
          <w:top w:w="0" w:type="dxa"/>
          <w:left w:w="108" w:type="dxa"/>
          <w:bottom w:w="0" w:type="dxa"/>
          <w:right w:w="108" w:type="dxa"/>
        </w:tblCellMar>
      </w:tblPr>
      <w:tblGrid>
        <w:gridCol w:w="4758"/>
        <w:gridCol w:w="4803"/>
      </w:tblGrid>
      <w:tr w14:paraId="1E6BC3A9">
        <w:tblPrEx>
          <w:tblCellMar>
            <w:top w:w="0" w:type="dxa"/>
            <w:left w:w="108" w:type="dxa"/>
            <w:bottom w:w="0" w:type="dxa"/>
            <w:right w:w="108" w:type="dxa"/>
          </w:tblCellMar>
        </w:tblPrEx>
        <w:trPr>
          <w:trHeight w:val="648" w:hRule="atLeast"/>
        </w:trPr>
        <w:tc>
          <w:tcPr>
            <w:tcW w:w="4758" w:type="dxa"/>
            <w:noWrap w:val="0"/>
            <w:vAlign w:val="center"/>
          </w:tcPr>
          <w:p w14:paraId="38CCC364">
            <w:pPr>
              <w:tabs>
                <w:tab w:val="left" w:pos="5760"/>
              </w:tabs>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发  包  人：</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(盖单位章)</w:t>
            </w:r>
          </w:p>
        </w:tc>
        <w:tc>
          <w:tcPr>
            <w:tcW w:w="4803" w:type="dxa"/>
            <w:noWrap w:val="0"/>
            <w:vAlign w:val="center"/>
          </w:tcPr>
          <w:p w14:paraId="6CF2C134">
            <w:pPr>
              <w:tabs>
                <w:tab w:val="left" w:pos="5760"/>
              </w:tabs>
              <w:spacing w:line="360" w:lineRule="auto"/>
              <w:ind w:left="840" w:hanging="735" w:hangingChars="350"/>
              <w:rPr>
                <w:rFonts w:hint="eastAsia" w:ascii="宋体" w:hAnsi="宋体" w:eastAsia="宋体" w:cs="宋体"/>
                <w:sz w:val="21"/>
                <w:szCs w:val="21"/>
                <w:highlight w:val="none"/>
              </w:rPr>
            </w:pPr>
            <w:r>
              <w:rPr>
                <w:rFonts w:hint="eastAsia" w:ascii="宋体" w:hAnsi="宋体" w:eastAsia="宋体" w:cs="宋体"/>
                <w:sz w:val="21"/>
                <w:szCs w:val="21"/>
                <w:highlight w:val="none"/>
              </w:rPr>
              <w:t>承  包  人：</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(盖单位章)</w:t>
            </w:r>
          </w:p>
        </w:tc>
      </w:tr>
      <w:tr w14:paraId="237535E1">
        <w:tblPrEx>
          <w:tblCellMar>
            <w:top w:w="0" w:type="dxa"/>
            <w:left w:w="108" w:type="dxa"/>
            <w:bottom w:w="0" w:type="dxa"/>
            <w:right w:w="108" w:type="dxa"/>
          </w:tblCellMar>
        </w:tblPrEx>
        <w:trPr>
          <w:trHeight w:val="648" w:hRule="atLeast"/>
        </w:trPr>
        <w:tc>
          <w:tcPr>
            <w:tcW w:w="4758" w:type="dxa"/>
            <w:noWrap w:val="0"/>
            <w:vAlign w:val="center"/>
          </w:tcPr>
          <w:p w14:paraId="45FCA540">
            <w:pPr>
              <w:tabs>
                <w:tab w:val="left" w:pos="5760"/>
              </w:tabs>
              <w:spacing w:line="360" w:lineRule="auto"/>
              <w:ind w:left="840" w:hanging="735" w:hangingChars="35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法定代表人或其委托代理人：</w:t>
            </w:r>
            <w:r>
              <w:rPr>
                <w:rFonts w:hint="eastAsia" w:ascii="宋体" w:hAnsi="宋体" w:eastAsia="宋体" w:cs="宋体"/>
                <w:sz w:val="21"/>
                <w:szCs w:val="21"/>
                <w:highlight w:val="none"/>
                <w:u w:val="single"/>
              </w:rPr>
              <w:t xml:space="preserve"> （签字）                           </w:t>
            </w:r>
          </w:p>
        </w:tc>
        <w:tc>
          <w:tcPr>
            <w:tcW w:w="4803" w:type="dxa"/>
            <w:noWrap w:val="0"/>
            <w:vAlign w:val="center"/>
          </w:tcPr>
          <w:p w14:paraId="436374BB">
            <w:pPr>
              <w:tabs>
                <w:tab w:val="left" w:pos="5760"/>
              </w:tabs>
              <w:spacing w:line="360" w:lineRule="auto"/>
              <w:ind w:left="840" w:hanging="735" w:hangingChars="350"/>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法定代表人或其委托代理人：</w:t>
            </w:r>
            <w:r>
              <w:rPr>
                <w:rFonts w:hint="eastAsia" w:ascii="宋体" w:hAnsi="宋体" w:eastAsia="宋体" w:cs="宋体"/>
                <w:sz w:val="21"/>
                <w:szCs w:val="21"/>
                <w:highlight w:val="none"/>
                <w:u w:val="single"/>
              </w:rPr>
              <w:t xml:space="preserve"> （签字）</w:t>
            </w:r>
          </w:p>
        </w:tc>
      </w:tr>
      <w:tr w14:paraId="2BFDD30E">
        <w:tblPrEx>
          <w:tblCellMar>
            <w:top w:w="0" w:type="dxa"/>
            <w:left w:w="108" w:type="dxa"/>
            <w:bottom w:w="0" w:type="dxa"/>
            <w:right w:w="108" w:type="dxa"/>
          </w:tblCellMar>
        </w:tblPrEx>
        <w:trPr>
          <w:trHeight w:val="648" w:hRule="atLeast"/>
        </w:trPr>
        <w:tc>
          <w:tcPr>
            <w:tcW w:w="4758" w:type="dxa"/>
            <w:noWrap w:val="0"/>
            <w:vAlign w:val="center"/>
          </w:tcPr>
          <w:p w14:paraId="1E1DE2D1">
            <w:pPr>
              <w:tabs>
                <w:tab w:val="left" w:pos="5760"/>
              </w:tabs>
              <w:spacing w:line="360" w:lineRule="auto"/>
              <w:ind w:left="840" w:hanging="735" w:hangingChars="350"/>
              <w:rPr>
                <w:rFonts w:hint="eastAsia" w:ascii="宋体" w:hAnsi="宋体" w:eastAsia="宋体" w:cs="宋体"/>
                <w:sz w:val="21"/>
                <w:szCs w:val="21"/>
                <w:highlight w:val="none"/>
              </w:rPr>
            </w:pPr>
          </w:p>
        </w:tc>
        <w:tc>
          <w:tcPr>
            <w:tcW w:w="4803" w:type="dxa"/>
            <w:noWrap w:val="0"/>
            <w:vAlign w:val="center"/>
          </w:tcPr>
          <w:p w14:paraId="537B4EFC">
            <w:pPr>
              <w:tabs>
                <w:tab w:val="left" w:pos="5760"/>
              </w:tabs>
              <w:spacing w:line="360" w:lineRule="auto"/>
              <w:ind w:left="840" w:hanging="735" w:hangingChars="350"/>
              <w:rPr>
                <w:rFonts w:hint="eastAsia" w:ascii="宋体" w:hAnsi="宋体" w:eastAsia="宋体" w:cs="宋体"/>
                <w:sz w:val="21"/>
                <w:szCs w:val="21"/>
                <w:highlight w:val="none"/>
              </w:rPr>
            </w:pPr>
          </w:p>
        </w:tc>
      </w:tr>
      <w:tr w14:paraId="068A850E">
        <w:tblPrEx>
          <w:tblCellMar>
            <w:top w:w="0" w:type="dxa"/>
            <w:left w:w="108" w:type="dxa"/>
            <w:bottom w:w="0" w:type="dxa"/>
            <w:right w:w="108" w:type="dxa"/>
          </w:tblCellMar>
        </w:tblPrEx>
        <w:trPr>
          <w:trHeight w:val="648" w:hRule="atLeast"/>
        </w:trPr>
        <w:tc>
          <w:tcPr>
            <w:tcW w:w="4758" w:type="dxa"/>
            <w:noWrap w:val="0"/>
            <w:vAlign w:val="center"/>
          </w:tcPr>
          <w:p w14:paraId="725ECE76">
            <w:pPr>
              <w:tabs>
                <w:tab w:val="left" w:pos="5760"/>
              </w:tabs>
              <w:spacing w:line="360" w:lineRule="auto"/>
              <w:ind w:left="840" w:hanging="735" w:hangingChars="350"/>
              <w:rPr>
                <w:rFonts w:hint="eastAsia" w:ascii="宋体" w:hAnsi="宋体" w:eastAsia="宋体" w:cs="宋体"/>
                <w:sz w:val="21"/>
                <w:szCs w:val="21"/>
                <w:highlight w:val="none"/>
              </w:rPr>
            </w:pP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日</w:t>
            </w:r>
          </w:p>
        </w:tc>
        <w:tc>
          <w:tcPr>
            <w:tcW w:w="4803" w:type="dxa"/>
            <w:noWrap w:val="0"/>
            <w:vAlign w:val="center"/>
          </w:tcPr>
          <w:p w14:paraId="6EB4B469">
            <w:pPr>
              <w:tabs>
                <w:tab w:val="left" w:pos="5760"/>
              </w:tabs>
              <w:spacing w:line="360" w:lineRule="auto"/>
              <w:ind w:left="840" w:hanging="735" w:hangingChars="350"/>
              <w:rPr>
                <w:rFonts w:hint="eastAsia" w:ascii="宋体" w:hAnsi="宋体" w:eastAsia="宋体" w:cs="宋体"/>
                <w:sz w:val="21"/>
                <w:szCs w:val="21"/>
                <w:highlight w:val="none"/>
              </w:rPr>
            </w:pP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日</w:t>
            </w:r>
          </w:p>
        </w:tc>
      </w:tr>
    </w:tbl>
    <w:p w14:paraId="23ADDAEE">
      <w:pPr>
        <w:spacing w:line="360" w:lineRule="auto"/>
        <w:rPr>
          <w:rFonts w:hAnsi="宋体"/>
          <w:highlight w:val="none"/>
        </w:rPr>
      </w:pPr>
    </w:p>
    <w:p w14:paraId="78FEE83F">
      <w:pPr>
        <w:spacing w:line="360" w:lineRule="auto"/>
        <w:rPr>
          <w:rFonts w:hAnsi="宋体"/>
          <w:highlight w:val="none"/>
        </w:rPr>
      </w:pPr>
    </w:p>
    <w:p w14:paraId="11D32154">
      <w:pPr>
        <w:rPr>
          <w:rFonts w:hAnsi="宋体"/>
          <w:highlight w:val="none"/>
        </w:rPr>
      </w:pPr>
    </w:p>
    <w:p w14:paraId="4D70A880">
      <w:pPr>
        <w:rPr>
          <w:rFonts w:hAnsi="宋体"/>
          <w:highlight w:val="none"/>
        </w:rPr>
      </w:pPr>
    </w:p>
    <w:p w14:paraId="7ECD4DB1">
      <w:pPr>
        <w:rPr>
          <w:rFonts w:hAnsi="宋体"/>
          <w:highlight w:val="none"/>
        </w:rPr>
      </w:pPr>
    </w:p>
    <w:p w14:paraId="1CD5D95B">
      <w:pPr>
        <w:rPr>
          <w:rFonts w:hAnsi="宋体"/>
          <w:highlight w:val="none"/>
        </w:rPr>
      </w:pPr>
    </w:p>
    <w:p w14:paraId="53321434">
      <w:pPr>
        <w:rPr>
          <w:rFonts w:hAnsi="宋体"/>
          <w:highlight w:val="none"/>
        </w:rPr>
      </w:pPr>
    </w:p>
    <w:p w14:paraId="7D9C7294">
      <w:pPr>
        <w:rPr>
          <w:rFonts w:hAnsi="宋体"/>
          <w:highlight w:val="none"/>
        </w:rPr>
      </w:pPr>
    </w:p>
    <w:p w14:paraId="58C236B3">
      <w:pPr>
        <w:rPr>
          <w:rFonts w:hAnsi="宋体"/>
          <w:highlight w:val="none"/>
        </w:rPr>
      </w:pPr>
    </w:p>
    <w:p w14:paraId="2D2A7DC2">
      <w:pPr>
        <w:rPr>
          <w:rFonts w:hAnsi="宋体"/>
          <w:highlight w:val="none"/>
        </w:rPr>
      </w:pPr>
    </w:p>
    <w:p w14:paraId="347C6B5A">
      <w:pPr>
        <w:rPr>
          <w:rFonts w:hAnsi="宋体"/>
          <w:highlight w:val="none"/>
        </w:rPr>
      </w:pPr>
    </w:p>
    <w:p w14:paraId="0F81709F">
      <w:pPr>
        <w:rPr>
          <w:rFonts w:hAnsi="宋体"/>
          <w:highlight w:val="none"/>
        </w:rPr>
      </w:pPr>
    </w:p>
    <w:p w14:paraId="27D67837">
      <w:pPr>
        <w:rPr>
          <w:rFonts w:hAnsi="宋体"/>
          <w:highlight w:val="none"/>
        </w:rPr>
      </w:pPr>
    </w:p>
    <w:p w14:paraId="70F37E57">
      <w:pPr>
        <w:rPr>
          <w:rFonts w:hAnsi="宋体"/>
          <w:highlight w:val="none"/>
        </w:rPr>
      </w:pPr>
    </w:p>
    <w:p w14:paraId="52919A13">
      <w:pPr>
        <w:rPr>
          <w:rFonts w:hAnsi="宋体"/>
          <w:highlight w:val="none"/>
        </w:rPr>
      </w:pPr>
    </w:p>
    <w:p w14:paraId="6CAB7442">
      <w:pPr>
        <w:rPr>
          <w:rFonts w:hAnsi="宋体"/>
          <w:highlight w:val="none"/>
        </w:rPr>
      </w:pPr>
    </w:p>
    <w:p w14:paraId="5021FE11">
      <w:pPr>
        <w:rPr>
          <w:rFonts w:hAnsi="宋体"/>
          <w:highlight w:val="none"/>
        </w:rPr>
      </w:pPr>
    </w:p>
    <w:p w14:paraId="6047DBB5">
      <w:pPr>
        <w:rPr>
          <w:rFonts w:hAnsi="宋体"/>
          <w:highlight w:val="none"/>
        </w:rPr>
      </w:pPr>
    </w:p>
    <w:p w14:paraId="4384FBE0">
      <w:pPr>
        <w:pStyle w:val="3"/>
        <w:rPr>
          <w:rFonts w:hAnsi="宋体"/>
          <w:highlight w:val="none"/>
        </w:rPr>
      </w:pPr>
    </w:p>
    <w:p w14:paraId="56FA3AAD">
      <w:pPr>
        <w:rPr>
          <w:rFonts w:hAnsi="宋体"/>
          <w:highlight w:val="none"/>
        </w:rPr>
      </w:pPr>
    </w:p>
    <w:p w14:paraId="0E42E039">
      <w:pPr>
        <w:pStyle w:val="3"/>
        <w:rPr>
          <w:rFonts w:hAnsi="宋体"/>
          <w:highlight w:val="none"/>
        </w:rPr>
      </w:pPr>
    </w:p>
    <w:p w14:paraId="79F73082">
      <w:pPr>
        <w:rPr>
          <w:rFonts w:hAnsi="宋体"/>
          <w:highlight w:val="none"/>
        </w:rPr>
      </w:pPr>
    </w:p>
    <w:p w14:paraId="6537E5B7">
      <w:pPr>
        <w:pStyle w:val="3"/>
        <w:rPr>
          <w:rFonts w:hAnsi="宋体"/>
          <w:highlight w:val="none"/>
        </w:rPr>
      </w:pPr>
    </w:p>
    <w:p w14:paraId="1734C3CA"/>
    <w:p w14:paraId="48A75DFA">
      <w:pPr>
        <w:rPr>
          <w:rFonts w:hAnsi="宋体"/>
          <w:highlight w:val="none"/>
        </w:rPr>
      </w:pPr>
    </w:p>
    <w:p w14:paraId="0723D7A5">
      <w:pPr>
        <w:rPr>
          <w:rFonts w:hAnsi="宋体"/>
          <w:highlight w:val="none"/>
        </w:rPr>
      </w:pPr>
    </w:p>
    <w:p w14:paraId="3F74CA70">
      <w:pPr>
        <w:rPr>
          <w:rFonts w:hAnsi="宋体"/>
          <w:highlight w:val="none"/>
        </w:rPr>
      </w:pPr>
    </w:p>
    <w:p w14:paraId="22105E11">
      <w:pPr>
        <w:rPr>
          <w:rFonts w:hAnsi="宋体"/>
          <w:highlight w:val="none"/>
        </w:rPr>
      </w:pPr>
    </w:p>
    <w:p w14:paraId="0314FD97">
      <w:pPr>
        <w:rPr>
          <w:rFonts w:hAnsi="宋体"/>
          <w:highlight w:val="none"/>
        </w:rPr>
      </w:pPr>
    </w:p>
    <w:p w14:paraId="247BB863">
      <w:pPr>
        <w:rPr>
          <w:rFonts w:hAnsi="宋体"/>
          <w:highlight w:val="none"/>
        </w:rPr>
      </w:pPr>
    </w:p>
    <w:p w14:paraId="675F0640">
      <w:pPr>
        <w:rPr>
          <w:rFonts w:hAnsi="宋体"/>
          <w:highlight w:val="none"/>
        </w:rPr>
      </w:pPr>
    </w:p>
    <w:p w14:paraId="0A61EE73">
      <w:pPr>
        <w:rPr>
          <w:rFonts w:hAnsi="宋体"/>
          <w:highlight w:val="none"/>
        </w:rPr>
      </w:pPr>
    </w:p>
    <w:p w14:paraId="2C057B6C">
      <w:pPr>
        <w:pStyle w:val="6"/>
        <w:pageBreakBefore w:val="0"/>
        <w:widowControl w:val="0"/>
        <w:shd w:val="clear" w:color="auto" w:fill="FFFFFF"/>
        <w:kinsoku/>
        <w:wordWrap/>
        <w:overflowPunct/>
        <w:topLinePunct w:val="0"/>
        <w:bidi w:val="0"/>
        <w:snapToGrid/>
        <w:spacing w:before="156" w:beforeLines="50" w:line="312" w:lineRule="auto"/>
        <w:jc w:val="center"/>
        <w:textAlignment w:val="auto"/>
        <w:rPr>
          <w:rFonts w:hint="eastAsia" w:ascii="Times New Roman" w:hAnsi="宋体" w:eastAsia="宋体" w:cs="Times New Roman"/>
          <w:b/>
          <w:bCs/>
          <w:sz w:val="28"/>
          <w:szCs w:val="28"/>
          <w:highlight w:val="none"/>
          <w:lang w:val="en-US" w:eastAsia="zh-CN"/>
        </w:rPr>
      </w:pPr>
      <w:r>
        <w:rPr>
          <w:rFonts w:hint="eastAsia" w:ascii="Times New Roman" w:hAnsi="宋体" w:eastAsia="宋体" w:cs="Times New Roman"/>
          <w:b/>
          <w:bCs/>
          <w:sz w:val="28"/>
          <w:szCs w:val="28"/>
          <w:highlight w:val="none"/>
          <w:lang w:val="en-US" w:eastAsia="zh-CN"/>
        </w:rPr>
        <w:t>第二部分 通用合同条款</w:t>
      </w:r>
    </w:p>
    <w:p w14:paraId="58DC9165">
      <w:pPr>
        <w:pStyle w:val="6"/>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1"/>
          <w:szCs w:val="21"/>
          <w:highlight w:val="none"/>
          <w:lang w:eastAsia="zh-CN"/>
        </w:rPr>
      </w:pPr>
      <w:bookmarkStart w:id="0" w:name="_Toc265408490"/>
      <w:r>
        <w:rPr>
          <w:rFonts w:hint="eastAsia" w:ascii="宋体" w:hAnsi="宋体" w:eastAsia="宋体" w:cs="宋体"/>
          <w:sz w:val="21"/>
          <w:szCs w:val="21"/>
          <w:highlight w:val="none"/>
        </w:rPr>
        <w:t>1  一般约定</w:t>
      </w:r>
      <w:bookmarkEnd w:id="0"/>
    </w:p>
    <w:p w14:paraId="0526A7EA">
      <w:pPr>
        <w:pStyle w:val="7"/>
        <w:keepNext/>
        <w:keepLines/>
        <w:pageBreakBefore w:val="0"/>
        <w:widowControl w:val="0"/>
        <w:numPr>
          <w:ilvl w:val="3"/>
          <w:numId w:val="0"/>
        </w:numPr>
        <w:kinsoku/>
        <w:wordWrap/>
        <w:overflowPunct/>
        <w:topLinePunct w:val="0"/>
        <w:autoSpaceDE/>
        <w:autoSpaceDN/>
        <w:bidi w:val="0"/>
        <w:adjustRightInd/>
        <w:snapToGrid/>
        <w:spacing w:line="312" w:lineRule="auto"/>
        <w:ind w:left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 词语定义</w:t>
      </w:r>
    </w:p>
    <w:p w14:paraId="5DD6A0F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通用合同条款、专用合同条款中的下列词语应具有本款所赋予的含义。</w:t>
      </w:r>
    </w:p>
    <w:p w14:paraId="34B4844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1.1.1 合同</w:t>
      </w:r>
    </w:p>
    <w:p w14:paraId="219C776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1.1.1.1 合同文件（或称合同）：指合同协议书、中标通知书、投标函及</w:t>
      </w:r>
      <w:r>
        <w:rPr>
          <w:rFonts w:hint="eastAsia" w:ascii="宋体" w:hAnsi="宋体" w:eastAsia="宋体" w:cs="宋体"/>
          <w:sz w:val="21"/>
          <w:szCs w:val="21"/>
          <w:highlight w:val="none"/>
          <w:lang w:eastAsia="zh-CN"/>
        </w:rPr>
        <w:t>开标一览表</w:t>
      </w:r>
      <w:r>
        <w:rPr>
          <w:rFonts w:hint="eastAsia" w:ascii="宋体" w:hAnsi="宋体" w:eastAsia="宋体" w:cs="宋体"/>
          <w:sz w:val="21"/>
          <w:szCs w:val="21"/>
          <w:highlight w:val="none"/>
        </w:rPr>
        <w:t>、专用合同条款、通用合同条款、技术标准和要求、图纸、已标价工程量清单，以及其他合同文件。</w:t>
      </w:r>
    </w:p>
    <w:p w14:paraId="5C6FDFE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1.1.1.2 合同协议书：指第1.5 款所指的合同协议书。</w:t>
      </w:r>
    </w:p>
    <w:p w14:paraId="78B76B1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1.1.1.3 中标通知书：指发包人通知承包人中标的函件。</w:t>
      </w:r>
    </w:p>
    <w:p w14:paraId="0B4715A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1.1.1.4 投标函：指构成合同文件组成部分的由承包人填写并签署的投标函。</w:t>
      </w:r>
    </w:p>
    <w:p w14:paraId="406283B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1.1.1.5 </w:t>
      </w:r>
      <w:r>
        <w:rPr>
          <w:rFonts w:hint="eastAsia" w:ascii="宋体" w:hAnsi="宋体" w:eastAsia="宋体" w:cs="宋体"/>
          <w:sz w:val="21"/>
          <w:szCs w:val="21"/>
          <w:highlight w:val="none"/>
          <w:lang w:eastAsia="zh-CN"/>
        </w:rPr>
        <w:t>开标一览表</w:t>
      </w:r>
      <w:r>
        <w:rPr>
          <w:rFonts w:hint="eastAsia" w:ascii="宋体" w:hAnsi="宋体" w:eastAsia="宋体" w:cs="宋体"/>
          <w:sz w:val="21"/>
          <w:szCs w:val="21"/>
          <w:highlight w:val="none"/>
        </w:rPr>
        <w:t>：指附在投标函后构成合同文件的</w:t>
      </w:r>
      <w:r>
        <w:rPr>
          <w:rFonts w:hint="eastAsia" w:ascii="宋体" w:hAnsi="宋体" w:eastAsia="宋体" w:cs="宋体"/>
          <w:sz w:val="21"/>
          <w:szCs w:val="21"/>
          <w:highlight w:val="none"/>
          <w:lang w:eastAsia="zh-CN"/>
        </w:rPr>
        <w:t>开标一览表</w:t>
      </w:r>
      <w:r>
        <w:rPr>
          <w:rFonts w:hint="eastAsia" w:ascii="宋体" w:hAnsi="宋体" w:eastAsia="宋体" w:cs="宋体"/>
          <w:sz w:val="21"/>
          <w:szCs w:val="21"/>
          <w:highlight w:val="none"/>
        </w:rPr>
        <w:t>。</w:t>
      </w:r>
    </w:p>
    <w:p w14:paraId="6505CD2C">
      <w:pPr>
        <w:pageBreakBefore w:val="0"/>
        <w:widowControl w:val="0"/>
        <w:kinsoku/>
        <w:wordWrap/>
        <w:overflowPunct/>
        <w:topLinePunct w:val="0"/>
        <w:autoSpaceDE w:val="0"/>
        <w:autoSpaceDN w:val="0"/>
        <w:bidi w:val="0"/>
        <w:adjustRightInd w:val="0"/>
        <w:snapToGrid/>
        <w:spacing w:line="312" w:lineRule="auto"/>
        <w:ind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1.1.1.6 技术标准和要求：指构成合同文件组成部分的名为技术标准和要求（合同技术条款）的文件，包括合同双方当事人约定对其所作的修改或补充。</w:t>
      </w:r>
    </w:p>
    <w:p w14:paraId="1C85D2E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1.1.1.7 图纸：指列入合同的招标图纸、投标图纸和发包人按合同约定向承包人提供的施工图纸和其它图纸（包括配套说明和有关资料）。列入合同的招标图纸已成为合同文件的一部分， 具有合同效力， 主要用于在履行合同中作为衡量变更的依据， 但不能直接用于施工。经发包人确认进入合同的投标图纸亦成为合同文件的一部分， 用于在履行合同中检验承包人是否按其投标时承诺的条件进行施工的依据， 亦不能直接用于施工。</w:t>
      </w:r>
    </w:p>
    <w:p w14:paraId="5373AB9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1.1.1.8 己标价工程量清单：指构成合同文件组成部分的由承包人按照规定的格式和要求填写并标明价格的工程量清单。</w:t>
      </w:r>
    </w:p>
    <w:p w14:paraId="0853FFF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1.1.1.9 其他合同文件：指经合同双方当事人确认构成合同文件的其他文件。</w:t>
      </w:r>
    </w:p>
    <w:p w14:paraId="70430F8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1.1.2 合同当事人和人员</w:t>
      </w:r>
    </w:p>
    <w:p w14:paraId="4440308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1.1.2.1 合同当事人：指发包人和（或）承包人。</w:t>
      </w:r>
    </w:p>
    <w:p w14:paraId="0BD537D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1.1.2.2 发包人：指专用合同条款中指明并与承包人在合同协议书中签字的当事人。</w:t>
      </w:r>
    </w:p>
    <w:p w14:paraId="1C67172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1.1.2.3 承包人：：指专用合同条款中指明并与发包人在合同协议书中签字的当事人。</w:t>
      </w:r>
    </w:p>
    <w:p w14:paraId="754C00A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1.1.2.4 承包人项目经理：指承包人派驻施工场地的全权负责人。</w:t>
      </w:r>
    </w:p>
    <w:p w14:paraId="3EA60C3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1.1.2.5 分包人：指专用合同条款中指明的，从承包人处分包合同中某一部分工程，并与其签订分包合同的分包人。</w:t>
      </w:r>
    </w:p>
    <w:p w14:paraId="5E6D1A8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1.1.2.6 监理人：指在专用合同条款中指明的，受发包人委托对合同履行实施管理的法人或其他组织。</w:t>
      </w:r>
    </w:p>
    <w:p w14:paraId="30E2E1C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1.1.2.7 总监理工程师（总监）：指由监理人委派常驻施工场地对合同履行实施管理的全权负责人。</w:t>
      </w:r>
    </w:p>
    <w:p w14:paraId="514C117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1.1.3 工程和设备</w:t>
      </w:r>
    </w:p>
    <w:p w14:paraId="79DA0FD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1.1.3.1 工程：指永久工程和（或）临时工程。</w:t>
      </w:r>
    </w:p>
    <w:p w14:paraId="196DA81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1.1.3.2 永久工程：指按合同约定建造并移交给发包人的工程，包括工程设备。</w:t>
      </w:r>
    </w:p>
    <w:p w14:paraId="2D4194D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1.1.3.3 临时工程：指为完成合同约定的永久工程所修建的各类临时性工程，不包括施工设备。</w:t>
      </w:r>
    </w:p>
    <w:p w14:paraId="246FDF1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1.1.3.4 单位工程：指专用合同条款中指明特定范围的永久工程。</w:t>
      </w:r>
    </w:p>
    <w:p w14:paraId="0ABC85F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1.1.3.5 工程设备：指构成或计划构成永久工程一部分的机电设备、金属结构设备、仪器装置及其他类似的设备和装置。</w:t>
      </w:r>
    </w:p>
    <w:p w14:paraId="4297A6C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1.1.3.6 施工设备：指为完成合同约定的各项工作所需的设备、器具和其他物品，不包括临时工程和材料。</w:t>
      </w:r>
    </w:p>
    <w:p w14:paraId="5E2A979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1.1.3.7 临时设施：指为完成合同约定的各项工作所服务的临时性生产和生活设施。</w:t>
      </w:r>
    </w:p>
    <w:p w14:paraId="6FB091D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1.1.3.8 承包人设备：指承包人自带的施工设备。</w:t>
      </w:r>
    </w:p>
    <w:p w14:paraId="6DB69F5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1.1.3.9 施工场地（或称工地、现场）：指用于合同工程施工的场所，以及在合同中指定作为施工场地组成部分的其他场所，包括永久占地和临时占地。</w:t>
      </w:r>
    </w:p>
    <w:p w14:paraId="65EEF61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1.1.3.10 永久占地：指发包人为建设本合同工程永久征用的场地。</w:t>
      </w:r>
    </w:p>
    <w:p w14:paraId="49A5489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1.1.3.11 临时占地：指发包人为建设本合同工程临时征用，承包人在完工后须按合同要求退还的场地。</w:t>
      </w:r>
    </w:p>
    <w:p w14:paraId="18F5FBB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1.1.4 日期</w:t>
      </w:r>
    </w:p>
    <w:p w14:paraId="037B85E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1.1.4.1 开工通知：指监理人按第11.1 款通知承包人开工的函件。</w:t>
      </w:r>
    </w:p>
    <w:p w14:paraId="4268BA2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1.1.4.2 开工日期：指监理人按第11 . 1 款发出的开工通知中写明的开工日期。</w:t>
      </w:r>
    </w:p>
    <w:p w14:paraId="106C6DB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1.1.4.3 工期：指承包人在投标函中承诺的完成合同工程所需的期限，包括按第11.3 款、第11.4 款和第11.6 款约定所作的变更。</w:t>
      </w:r>
    </w:p>
    <w:p w14:paraId="6817075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1.1.4.4 竣工日期：即合同工程完工日期，指第1.1.4.3 目约定工期届满时的日期。实际完工日期以合同工程完工证书中写明的日期为准。</w:t>
      </w:r>
    </w:p>
    <w:p w14:paraId="506A628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1.1.4.5 缺陷责任期：即工程质量保修期，指履行第19.2款约定的缺陷责任的期限，包括根据第19.3款约定所作的延长，具体期限由专用合同条款约定。</w:t>
      </w:r>
    </w:p>
    <w:p w14:paraId="61CB227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1.1.4.7 天：除特别指明外，指</w:t>
      </w:r>
      <w:r>
        <w:rPr>
          <w:rFonts w:hint="eastAsia" w:ascii="宋体" w:hAnsi="宋体" w:eastAsia="宋体" w:cs="宋体"/>
          <w:sz w:val="21"/>
          <w:szCs w:val="21"/>
          <w:highlight w:val="none"/>
          <w:lang w:val="en-US" w:eastAsia="zh-CN"/>
        </w:rPr>
        <w:t>日历天</w:t>
      </w:r>
      <w:r>
        <w:rPr>
          <w:rFonts w:hint="eastAsia" w:ascii="宋体" w:hAnsi="宋体" w:eastAsia="宋体" w:cs="宋体"/>
          <w:sz w:val="21"/>
          <w:szCs w:val="21"/>
          <w:highlight w:val="none"/>
        </w:rPr>
        <w:t>。合同中按天计算时间的，开始当天不计入，从次日开始计算。期限最后一天的截止时间为当天24:00。</w:t>
      </w:r>
    </w:p>
    <w:p w14:paraId="4658827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1.1.5 合同价格和费用</w:t>
      </w:r>
    </w:p>
    <w:p w14:paraId="1F4D8E1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1.1.5.1 签约合同价：指签定合同时合同协议书中写明的，包括了暂列金额、暂估价的合同总金额。</w:t>
      </w:r>
    </w:p>
    <w:p w14:paraId="4E48A39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1.1.5.2 合同价格：指承包人按合同约定完成了包括缺陷责任期内的全部承包工作后，发包人应付给承包人的金额，包括在履行合同过程中按合同约定进行的变更和调整。</w:t>
      </w:r>
    </w:p>
    <w:p w14:paraId="7870722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1.1.5.3 费用：指为履行合同所发生的或将要发生的所有合理开支，包括管理费和应分摊的其他费用，但不包括利润。</w:t>
      </w:r>
    </w:p>
    <w:p w14:paraId="3A13BFD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1.1.5.4 暂列金额：指已标价工程量清单中所列的暂列金额，用于在签订协议书时尚未确定或不可预见变更的施工及其所需材料、工程设备、服务等的金额，包括以计日工方式支付的金额。</w:t>
      </w:r>
    </w:p>
    <w:p w14:paraId="2A4B0D2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1.1.5.5 暂估价：指发包人在工程量清单中给定的用于支付必然发生但暂时不能确定价格的材料、设备以及专业工程的金额。</w:t>
      </w:r>
    </w:p>
    <w:p w14:paraId="490DB34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1.1.5.6 计日工：指对零星工作采取的一种计价方式，按合同中的计日工子目及其单价计价付款。</w:t>
      </w:r>
    </w:p>
    <w:p w14:paraId="45DAFDE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1.1.5.7 质量保证金（或称保留金）：指按第17</w:t>
      </w:r>
      <w:r>
        <w:rPr>
          <w:rFonts w:hint="eastAsia" w:ascii="宋体" w:hAnsi="宋体" w:eastAsia="宋体" w:cs="宋体"/>
          <w:sz w:val="21"/>
          <w:szCs w:val="21"/>
          <w:highlight w:val="none"/>
          <w:lang w:val="en-US" w:eastAsia="zh-CN"/>
        </w:rPr>
        <w:t>.</w:t>
      </w:r>
      <w:r>
        <w:rPr>
          <w:rFonts w:hint="eastAsia" w:ascii="宋体" w:hAnsi="宋体" w:eastAsia="宋体" w:cs="宋体"/>
          <w:sz w:val="21"/>
          <w:szCs w:val="21"/>
          <w:highlight w:val="none"/>
        </w:rPr>
        <w:t>4</w:t>
      </w:r>
      <w:r>
        <w:rPr>
          <w:rFonts w:hint="eastAsia" w:ascii="宋体" w:hAnsi="宋体" w:eastAsia="宋体" w:cs="宋体"/>
          <w:sz w:val="21"/>
          <w:szCs w:val="21"/>
          <w:highlight w:val="none"/>
          <w:lang w:val="en-US" w:eastAsia="zh-CN"/>
        </w:rPr>
        <w:t>.</w:t>
      </w:r>
      <w:r>
        <w:rPr>
          <w:rFonts w:hint="eastAsia" w:ascii="宋体" w:hAnsi="宋体" w:eastAsia="宋体" w:cs="宋体"/>
          <w:sz w:val="21"/>
          <w:szCs w:val="21"/>
          <w:highlight w:val="none"/>
        </w:rPr>
        <w:t>1款约定用于保证在缺陷责任期内履行缺陷修复义务的金额。</w:t>
      </w:r>
    </w:p>
    <w:p w14:paraId="7F20AE7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1.1.6 其他</w:t>
      </w:r>
    </w:p>
    <w:p w14:paraId="5B1C920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1.1.6.1 书面形式：指合同文件、信函、电报、传真等可以有形地表现所载内容的形式。</w:t>
      </w:r>
    </w:p>
    <w:p w14:paraId="34EC0F82">
      <w:pPr>
        <w:pStyle w:val="6"/>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1.2 语言文字</w:t>
      </w:r>
    </w:p>
    <w:p w14:paraId="0DDE7C9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除专用术语外，合同使用的语言文字为中文。必要时专用术语应附有中文注释。</w:t>
      </w:r>
    </w:p>
    <w:p w14:paraId="4C004649">
      <w:pPr>
        <w:pStyle w:val="6"/>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1.3 法律</w:t>
      </w:r>
    </w:p>
    <w:p w14:paraId="128637C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适用于合同的法律包括中华人民共和国法律、行政法规、部门规章，以及工程所在地的地方法规、自治条例、单行条例和地方政府规章。</w:t>
      </w:r>
    </w:p>
    <w:p w14:paraId="19DD2AF8">
      <w:pPr>
        <w:pStyle w:val="6"/>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1.4 合同文件的优先顺序</w:t>
      </w:r>
    </w:p>
    <w:p w14:paraId="10FDC7A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组成合同的各项文件应互相解释，互为说明。除专用合同条款另有约定外，解释合同文件的优先顺序如下：</w:t>
      </w:r>
    </w:p>
    <w:p w14:paraId="5492A56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（l）合同协议书；</w:t>
      </w:r>
    </w:p>
    <w:p w14:paraId="20A5029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（2）中标通知书；</w:t>
      </w:r>
    </w:p>
    <w:p w14:paraId="5C36056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（3）投标函及</w:t>
      </w:r>
      <w:r>
        <w:rPr>
          <w:rFonts w:hint="eastAsia" w:ascii="宋体" w:hAnsi="宋体" w:eastAsia="宋体" w:cs="宋体"/>
          <w:sz w:val="21"/>
          <w:szCs w:val="21"/>
          <w:highlight w:val="none"/>
          <w:lang w:val="en-US" w:eastAsia="zh-CN"/>
        </w:rPr>
        <w:t>投标函附录</w:t>
      </w:r>
      <w:r>
        <w:rPr>
          <w:rFonts w:hint="eastAsia" w:ascii="宋体" w:hAnsi="宋体" w:eastAsia="宋体" w:cs="宋体"/>
          <w:sz w:val="21"/>
          <w:szCs w:val="21"/>
          <w:highlight w:val="none"/>
        </w:rPr>
        <w:t>；</w:t>
      </w:r>
    </w:p>
    <w:p w14:paraId="049E5EB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（4）专用合同条款；</w:t>
      </w:r>
    </w:p>
    <w:p w14:paraId="2132AF7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（5）通用合同条款；</w:t>
      </w:r>
    </w:p>
    <w:p w14:paraId="159A666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（6）技术标准和要求；</w:t>
      </w:r>
    </w:p>
    <w:p w14:paraId="1180569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（7）图纸；</w:t>
      </w:r>
    </w:p>
    <w:p w14:paraId="76883B2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（8）已标价工程量清单；</w:t>
      </w:r>
    </w:p>
    <w:p w14:paraId="37876F8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（9）其他合同文件。</w:t>
      </w:r>
    </w:p>
    <w:p w14:paraId="46762AA2">
      <w:pPr>
        <w:pStyle w:val="6"/>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1.5 合同协议书</w:t>
      </w:r>
    </w:p>
    <w:p w14:paraId="4F1EB49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承包人按中标通知书规定的时间与发包人签订合同协议书。除法律另有规定或合同另有约定外，发包人和承包人的法定代表人或其委托代理人在合同协议书上签字并盖单位章后，合同生效。</w:t>
      </w:r>
    </w:p>
    <w:p w14:paraId="04E6B6FE">
      <w:pPr>
        <w:pStyle w:val="6"/>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1.6 图纸和承包人文件</w:t>
      </w:r>
    </w:p>
    <w:p w14:paraId="30BBDDE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1.6.1 图纸的提供</w:t>
      </w:r>
    </w:p>
    <w:p w14:paraId="6024E7D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发包人应按技术标准和要求（合同技术条款）约定的期限和数量将施工图纸以及其它图纸（包括配套说明和有关资料）提供给承包人。由于发包人未按时提供图纸造成工期延误的，按第11.3款的约定办理。</w:t>
      </w:r>
    </w:p>
    <w:p w14:paraId="7E449D7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1.6.2 承包人提供的文件</w:t>
      </w:r>
    </w:p>
    <w:p w14:paraId="0E3521B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承包人提供的文件应按技术标准和要求（合同技术条款）约定的期限和数量提供给监理人。监理人应按技术标准和要求（合同技术条款）约定的期限批复承包人。</w:t>
      </w:r>
    </w:p>
    <w:p w14:paraId="3FBC964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 6.3 图纸的修改</w:t>
      </w:r>
    </w:p>
    <w:p w14:paraId="17092DF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设计人需要对已发给承包人的施工图纸进行修改时，监理人应在技术标准和要求（合同技术条款）约定的期限内签发施工图纸的修改图给承包人。承包人应按技术标准和要求（合同技术条款）的约定编制一份承包人实施计划提交监理人批准后执行。</w:t>
      </w:r>
    </w:p>
    <w:p w14:paraId="45858C6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1.6.4 图纸的错误</w:t>
      </w:r>
    </w:p>
    <w:p w14:paraId="31523C9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承包人发现发包人提供的图纸存在明显错误或疏忽，应及时通知监理人。</w:t>
      </w:r>
    </w:p>
    <w:p w14:paraId="4BDF41C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1.6.5 图纸和承包人文件的保管</w:t>
      </w:r>
    </w:p>
    <w:p w14:paraId="5F17D5E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监理人和承包人均应在施工场地各保存一套完整的包含第1.6.1 款、第1.6.2 款、第1.6.3 款约定内容的图纸和承包人文件。</w:t>
      </w:r>
    </w:p>
    <w:p w14:paraId="70ECB1D9">
      <w:pPr>
        <w:pStyle w:val="6"/>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1.7 联络</w:t>
      </w:r>
    </w:p>
    <w:p w14:paraId="18D5431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1.7.1 与合同有关的通知、批准、证明、证书、指示、要求、请求、同意、意见、确定和决定等，均应采用书面形式。</w:t>
      </w:r>
    </w:p>
    <w:p w14:paraId="594042E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1.7.2 第1.7.1款中的通知、批准、证明、证书、指示、要求、请求、同意、意见、确定和决定等来往函件，均应在合同约定的期限内送达指定地点和接收人，并办理签收手续。来往函件的送达期限在技术标准和要求（合同技术条款）中约定，送达地点在专用合同条款中约定。</w:t>
      </w:r>
    </w:p>
    <w:p w14:paraId="6E9D6F8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1.7.3 来往函件均应按合同约定的期限及时发出和答复，不得无故扣压和拖延，亦不得拒收。否则，由此造成的后果有责任方负责。</w:t>
      </w:r>
    </w:p>
    <w:p w14:paraId="32A0FCA5">
      <w:pPr>
        <w:pStyle w:val="6"/>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1.8 转让</w:t>
      </w:r>
    </w:p>
    <w:p w14:paraId="2C4E1A3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除合同另有约定外，未经对方当事人同意，一方当事人不得将合同权利全部或部分转让给第三人，也不得全部或部分转移合同义务。</w:t>
      </w:r>
    </w:p>
    <w:p w14:paraId="2EF0CB05">
      <w:pPr>
        <w:pStyle w:val="6"/>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1.9 严禁贿赂</w:t>
      </w:r>
    </w:p>
    <w:p w14:paraId="6544B0E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合同双方当事人不得以贿赂或变相贿赂的方式，谋取不当利益或损害对方权益。因贿赂造成对方损失的，行为人应赔偿损失，并承担相应的法律责任。</w:t>
      </w:r>
    </w:p>
    <w:p w14:paraId="277E5667">
      <w:pPr>
        <w:pStyle w:val="6"/>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1.10 化石、文物</w:t>
      </w:r>
    </w:p>
    <w:p w14:paraId="031A81E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1.10.1 在施工场地发掘的所有文物、古迹以及具有地质研究或考古价值的其他遗迹、化石、钱币或物品属于国家所有。一旦发现上述文物，承包人应采取有效合理的保护措施，防止任何人员移动或损坏上述物品，并立即报告当地文物行政部门，同时通知监理人。发包人、监理人和承包人应按文物行政部门要求采取妥善保护措施，由此导致费用增加和（或）工期延误由发包人承担。</w:t>
      </w:r>
    </w:p>
    <w:p w14:paraId="3E42A0A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1.10.2 承包人发现文物后不及时报告或隐瞒不报，致使文物丢失或损坏的，应赔偿损失，并承担相应的法律责任。</w:t>
      </w:r>
    </w:p>
    <w:p w14:paraId="005A42DC">
      <w:pPr>
        <w:pStyle w:val="6"/>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1.11 专利技术</w:t>
      </w:r>
    </w:p>
    <w:p w14:paraId="6B8C5E1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1.11.1 承包人在使用任何材料、承包人设备、工程设备或采用施工工艺时，因侵犯专利权或其他知识产权所引起的责任，由承包人承担，但由于遵照发包人提供的设计或技术标准和要求引起的除外。</w:t>
      </w:r>
    </w:p>
    <w:p w14:paraId="6A8EB5C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1.11.2 承包人在投标文件中采用专利技术的，专利技术的使用费包含在投标报价内。</w:t>
      </w:r>
    </w:p>
    <w:p w14:paraId="5B193FC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1.11.3 承包人的技术秘密和声明需要保密的资料和信息，发包人和监理人不得为合同以外的目的泄露给他人。</w:t>
      </w:r>
    </w:p>
    <w:p w14:paraId="6C8C32E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1.11.4 合同实施过程中，发包人要求承包人采用专利技术的，发包人应办理相应的使用手续，承包人应按发包人约定的条件使用，并承担使用专利技术的相关试验工作，所需费用由发包人承担。</w:t>
      </w:r>
    </w:p>
    <w:p w14:paraId="48EE8811">
      <w:pPr>
        <w:pStyle w:val="6"/>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1.12 图纸和文件的保密</w:t>
      </w:r>
    </w:p>
    <w:p w14:paraId="0400307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1.12.1 发包人提供的图纸和文件，未经发包人同意，承包人不得为合同以外的目的泄露给他人或公开发表与引用。</w:t>
      </w:r>
    </w:p>
    <w:p w14:paraId="658A927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1.12.2 承包人提供的文件，未经承包人同意，发包人和监理人不得为合同以外的目的泄露给他人或公开发表与引用。</w:t>
      </w:r>
    </w:p>
    <w:p w14:paraId="7E3378A4">
      <w:pPr>
        <w:pStyle w:val="6"/>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lang w:val="en-US" w:eastAsia="zh-CN"/>
        </w:rPr>
      </w:pPr>
      <w:bookmarkStart w:id="1" w:name="_Toc265408491"/>
      <w:r>
        <w:rPr>
          <w:rFonts w:hint="eastAsia" w:ascii="宋体" w:hAnsi="宋体" w:eastAsia="宋体" w:cs="宋体"/>
          <w:b/>
          <w:bCs/>
          <w:sz w:val="21"/>
          <w:szCs w:val="21"/>
          <w:highlight w:val="none"/>
          <w:lang w:val="en-US" w:eastAsia="zh-CN"/>
        </w:rPr>
        <w:t>2  发包人义务</w:t>
      </w:r>
      <w:bookmarkEnd w:id="1"/>
    </w:p>
    <w:p w14:paraId="57FDE650">
      <w:pPr>
        <w:pStyle w:val="6"/>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2.1 遵守法律</w:t>
      </w:r>
    </w:p>
    <w:p w14:paraId="671AA88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发包人在履行合同过程中应遵守法律，并保证承包人免于承担因发包人违反法律而引起的任何责任。</w:t>
      </w:r>
    </w:p>
    <w:p w14:paraId="1596230C">
      <w:pPr>
        <w:pStyle w:val="6"/>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2.2 发出开工通知</w:t>
      </w:r>
    </w:p>
    <w:p w14:paraId="3543FC0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发包人应委托监理人按第11.1 款的约定向承包人发出开工通知。</w:t>
      </w:r>
    </w:p>
    <w:p w14:paraId="746C0B59">
      <w:pPr>
        <w:pStyle w:val="6"/>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2.3 提供施工场地</w:t>
      </w:r>
    </w:p>
    <w:p w14:paraId="2529EFF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2.3.1 发包人应在合同双方签订合同协议书后的14天内，将本合同工程的施工场地范围图提交给承包人。发包人提供的施工场地范围图应标明场地范围内永久占地与临时占地的范围和界限，以及指明提供给承包人用于施工场地布置的范围和界限及其有关资料。</w:t>
      </w:r>
    </w:p>
    <w:p w14:paraId="086D202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2.3.2 发包人提供的施工用地范围在专用合同条款中约定。</w:t>
      </w:r>
    </w:p>
    <w:p w14:paraId="7C426AB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2.3.3 除专用合同条款另有约定外，发包人应按技术标准和要求（合同技术条款）的约定，向承包人提供施工场地内的工程地质图纸和报告，以及地下障碍物图纸等施工场地有关资料，并保证资料的真实、准确、完整。</w:t>
      </w:r>
    </w:p>
    <w:p w14:paraId="6E1AC645">
      <w:pPr>
        <w:pStyle w:val="6"/>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2.4 协助承包人办理证件和批件</w:t>
      </w:r>
    </w:p>
    <w:p w14:paraId="003F70B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发包人应协助承包人办理法律规定的有关施工证件和批件。</w:t>
      </w:r>
    </w:p>
    <w:p w14:paraId="35DEA964">
      <w:pPr>
        <w:pStyle w:val="6"/>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2.5 组织设计交底</w:t>
      </w:r>
    </w:p>
    <w:p w14:paraId="35691E1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发包人应根据合同进度计划，组织设计单位向承包人进行设计交底。</w:t>
      </w:r>
    </w:p>
    <w:p w14:paraId="5BF26B7D">
      <w:pPr>
        <w:pStyle w:val="6"/>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2.6 支付合同价款</w:t>
      </w:r>
    </w:p>
    <w:p w14:paraId="62260DE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发包人应按合同约定向承包人及时支付合同价款。</w:t>
      </w:r>
    </w:p>
    <w:p w14:paraId="5CA62C6A">
      <w:pPr>
        <w:pStyle w:val="6"/>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2.7 组织竣工验收（组织法人验收）</w:t>
      </w:r>
    </w:p>
    <w:p w14:paraId="3803A77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发包人应按合同约定及时组织法人验收。</w:t>
      </w:r>
    </w:p>
    <w:p w14:paraId="7F0A62E6">
      <w:pPr>
        <w:pStyle w:val="6"/>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2.8 其他义务</w:t>
      </w:r>
    </w:p>
    <w:p w14:paraId="389B637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其他义务在专用合同条款中补充约定。</w:t>
      </w:r>
    </w:p>
    <w:p w14:paraId="1A4AA7B3">
      <w:pPr>
        <w:pStyle w:val="6"/>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lang w:val="en-US" w:eastAsia="zh-CN"/>
        </w:rPr>
      </w:pPr>
      <w:bookmarkStart w:id="2" w:name="_Toc265408492"/>
      <w:r>
        <w:rPr>
          <w:rFonts w:hint="eastAsia" w:ascii="宋体" w:hAnsi="宋体" w:eastAsia="宋体" w:cs="宋体"/>
          <w:b/>
          <w:bCs/>
          <w:sz w:val="21"/>
          <w:szCs w:val="21"/>
          <w:highlight w:val="none"/>
          <w:lang w:val="en-US" w:eastAsia="zh-CN"/>
        </w:rPr>
        <w:t>3  监理人</w:t>
      </w:r>
      <w:bookmarkEnd w:id="2"/>
    </w:p>
    <w:p w14:paraId="3954A62A">
      <w:pPr>
        <w:pStyle w:val="6"/>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3.1 监理人的职责和权力</w:t>
      </w:r>
    </w:p>
    <w:p w14:paraId="06D37D3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3.1.1 监理人受发包人的委托，享有合同约定的权力。监理人的权力范围在专用合同条款中明确。当监理人认为出现了危及生命、工程或毗邻财产等安全的紧急事件时，在不免除合同约定的承包人责任的情况下，监理人可以指示承包人实施为消除或减少这种危险所必须进行的工作，即使没有发包人的事先批准，承包人也应立即遵照执行。监理人应按第15条的约定增加相应的费用，并通知承包人。</w:t>
      </w:r>
    </w:p>
    <w:p w14:paraId="5376ABB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3.1.2 监理人发出的任何指示应视为已得到发包人的批准，但监理人无权免除或变更合同约定的发包人和承包人的权利、义务和责任。</w:t>
      </w:r>
    </w:p>
    <w:p w14:paraId="0E059BC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3.1.3 合同约定应由承包人承担的义务和责任，不因监理人对承包人提交文件的审查或批准，对工程、材料和设备的检查和检验，以及为实施监理作出的指示等职务行为而减轻或解除。</w:t>
      </w:r>
    </w:p>
    <w:p w14:paraId="5D91F53B">
      <w:pPr>
        <w:pStyle w:val="6"/>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3.2 总监理工程师</w:t>
      </w:r>
    </w:p>
    <w:p w14:paraId="53796DE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发包人应在发出开工通知前将总监理工程师的任命通知承包人。总监理工程师更换时，应在调离14 天前通知承包人。总监理工程师短期离开施工场地的，应委派代表代行其职责，并通知承包人。</w:t>
      </w:r>
    </w:p>
    <w:p w14:paraId="5907BC28">
      <w:pPr>
        <w:pStyle w:val="6"/>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3.3 监理人员</w:t>
      </w:r>
    </w:p>
    <w:p w14:paraId="6E9148F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3.3.1 总监理工程师可以授权其他监理人员负责执行其指派的一项或多项监理工作。总监理工程师应将被授权监理人员的姓名及其授权范围通知承包人。被授权的监理人员在授权范围内发出的指示视为己得到总监理工程师的同意，与总监理工程师发出的指示具有同等效力。总监理工程师撤销某项授权时，应将撤销授权的决定及时通知承包人。</w:t>
      </w:r>
    </w:p>
    <w:p w14:paraId="74548DD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3.3.2 监理人员对承包人的任何工作、工程或其采用的材料和工程设备未在约定的或合理的期限内提出否定意见的，视为已获批准，但不影响监理人在以后拒绝该项工作、工程、材料或工程设备的权利。</w:t>
      </w:r>
    </w:p>
    <w:p w14:paraId="1C082CC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3.3.3 承包人对总监理工程师授权的监理人员发出的指示有疑问的，可向总监理工程师提出书面异议，总监理工程师应在48小时内对该指示予以确认、更改或撤销。</w:t>
      </w:r>
    </w:p>
    <w:p w14:paraId="1DFB9FB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3.3.4 除专用合同条款另有约定外，总监理工程师不应将第3.5 款约定应由总监理工程师作出确定的权力授权或委托给其他监理人员。</w:t>
      </w:r>
    </w:p>
    <w:p w14:paraId="1C2BBE85">
      <w:pPr>
        <w:pStyle w:val="6"/>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3.4 监理人的指示</w:t>
      </w:r>
    </w:p>
    <w:p w14:paraId="2B57C9C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3.4.1 监理人应按第3.1 款的约定向承包人发出指示，监理人的指示应盖有监理人授权的施工场地机构章，并由总监理工程师或总监理工程师按第3.3.1 款约定授权的监理人员签字。</w:t>
      </w:r>
    </w:p>
    <w:p w14:paraId="425EC63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3.4.2 承包人收到监理人按第3.4.1 款作出的指示后应遵照执行。指示构成变更的，应按第</w:t>
      </w:r>
      <w:r>
        <w:rPr>
          <w:rFonts w:hint="eastAsia" w:ascii="宋体" w:hAnsi="宋体" w:eastAsia="宋体" w:cs="宋体"/>
          <w:sz w:val="21"/>
          <w:szCs w:val="21"/>
          <w:highlight w:val="none"/>
          <w:lang w:val="en-US" w:eastAsia="zh-CN"/>
        </w:rPr>
        <w:t>15</w:t>
      </w:r>
      <w:r>
        <w:rPr>
          <w:rFonts w:hint="eastAsia" w:ascii="宋体" w:hAnsi="宋体" w:eastAsia="宋体" w:cs="宋体"/>
          <w:sz w:val="21"/>
          <w:szCs w:val="21"/>
          <w:highlight w:val="none"/>
        </w:rPr>
        <w:t>条处理。</w:t>
      </w:r>
    </w:p>
    <w:p w14:paraId="7EA9B22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3.4.3 在紧急情况下，总监理工程师或被授权的监理人员可以当场签发临时书面指示，承包人应遵照执行。承包人应在收到上述临时书面指示后24小时内，向监理人发出书面确认函。监理人在收到书面确认函后24小时内未予答复的，该书面确认函应被视为监理人的正式指示。</w:t>
      </w:r>
    </w:p>
    <w:p w14:paraId="1BFF983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3.4.4 除合同另有约定外，承包人只从总监理工程师或按第3.3.1 款被授权的监理人员处取得指示。</w:t>
      </w:r>
    </w:p>
    <w:p w14:paraId="202C6FA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3.4.5 由于监理人未能按合同约定发出指示、指示延误或指示错误而导致承包人费用增加和（或）工期延误的，由发包人承担赔偿责任。</w:t>
      </w:r>
    </w:p>
    <w:p w14:paraId="0638506A">
      <w:pPr>
        <w:pStyle w:val="6"/>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3.5 商定或确定</w:t>
      </w:r>
    </w:p>
    <w:p w14:paraId="1623F1D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3.5.1 合同约定总监理工程师应按照本款对任何事项进行商定或确定时，总监理工程师应与合同当事人协商，尽量达成一致。不能达成一致的，总监理工程师应认真研究后审慎确定。</w:t>
      </w:r>
    </w:p>
    <w:p w14:paraId="1B86B0A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3.5.2 总监理工程师应将商定或确定的事项通知合同当事人，并附详细依据。对总监理工程师的确定有异议的，构成争议，按照第24 条的约定处理。在争议解决前，双方应暂按总监理工程师的确定执行，按照第24 条的约定对总监理工程师的确定作出修改的，按修改后的结果执行。</w:t>
      </w:r>
    </w:p>
    <w:p w14:paraId="267B161C">
      <w:pPr>
        <w:pStyle w:val="6"/>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lang w:val="en-US" w:eastAsia="zh-CN"/>
        </w:rPr>
      </w:pPr>
      <w:bookmarkStart w:id="3" w:name="_Toc265408493"/>
      <w:r>
        <w:rPr>
          <w:rFonts w:hint="eastAsia" w:ascii="宋体" w:hAnsi="宋体" w:eastAsia="宋体" w:cs="宋体"/>
          <w:b/>
          <w:bCs/>
          <w:sz w:val="21"/>
          <w:szCs w:val="21"/>
          <w:highlight w:val="none"/>
          <w:lang w:val="en-US" w:eastAsia="zh-CN"/>
        </w:rPr>
        <w:t>4  承包人</w:t>
      </w:r>
      <w:bookmarkEnd w:id="3"/>
    </w:p>
    <w:p w14:paraId="7E80AECD">
      <w:pPr>
        <w:pStyle w:val="6"/>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4.1 承包人的一般义务</w:t>
      </w:r>
    </w:p>
    <w:p w14:paraId="75CEDC5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4.1.1 遵守法律</w:t>
      </w:r>
    </w:p>
    <w:p w14:paraId="3DA37DE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承包人在履行合同过程中应遵守法律，并保证发包人免于承担因承包人违反法律而引起的任何责任。</w:t>
      </w:r>
    </w:p>
    <w:p w14:paraId="7F3311F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4.1.2 依法纳税</w:t>
      </w:r>
    </w:p>
    <w:p w14:paraId="3463560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承包人应按有关法律规定纳税，应缴纳的税金包括在合同价格内。</w:t>
      </w:r>
    </w:p>
    <w:p w14:paraId="1D216E0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4.1.3 完成各项承包工作</w:t>
      </w:r>
    </w:p>
    <w:p w14:paraId="2D07C39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包人应按合同约定以及监理人根据第3.4款作出的指示，实施、完成全部工程，并修补工程中的任何缺陷。除第5.2款、第6.2款另有约定外，承包人应提供为完成合同工作所需的劳务、材料、施工设备、工程设备和其它物品，并按合同约定负责临时设施的设计、建造、运行、维护、管理和拆除。</w:t>
      </w:r>
    </w:p>
    <w:p w14:paraId="0F99D77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4.1.4 对施工作业和施工方法的完备性负责</w:t>
      </w:r>
    </w:p>
    <w:p w14:paraId="29E7ED8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承包人应按合同约定的工作内容和施工进度要求，编制施工组织设计和施工措施计划，并对所有施工作业和施工方法的完备性和安全可靠性负责。</w:t>
      </w:r>
    </w:p>
    <w:p w14:paraId="5476779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4.1.5 保证工程施工和人员的安全</w:t>
      </w:r>
    </w:p>
    <w:p w14:paraId="4784DF7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承包人应按第9.2 款约定采取施工安全措施，确保工程及其人员、材料、设备和设施的安全，防止因工程施工造成的人身伤害和财产损失。</w:t>
      </w:r>
    </w:p>
    <w:p w14:paraId="21904DB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4.1.6 负责施工场地及其周边环境与生态的保护工作</w:t>
      </w:r>
    </w:p>
    <w:p w14:paraId="4C83D5A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承包人应按照第9.4 款约定负责施工场地及其周边环境与生态的保护工作。</w:t>
      </w:r>
    </w:p>
    <w:p w14:paraId="68C53DA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4.1.7 避免施工对公众与他人的利益造成损害</w:t>
      </w:r>
    </w:p>
    <w:p w14:paraId="336DAD8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包人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6B145B9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4.1.8 为他人提供方便</w:t>
      </w:r>
    </w:p>
    <w:p w14:paraId="18DCF07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承包人应按监理人的指示为他人在施工场地或附近实施与工程有关的其他各项工作提供可能的条件。除合同另有约定外，提供有关条件的内容和可能发生的费用，由监理人按第3.5 款商定或确定。</w:t>
      </w:r>
    </w:p>
    <w:p w14:paraId="7EC7F97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4.1.9 工程的维护和照管</w:t>
      </w:r>
    </w:p>
    <w:p w14:paraId="7076A66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除合同另有约定外，合同工程完工证书颁发前，承包人应负责照管和维护工程。合同工程完工证书颁发时尚有部分未完工程的，承包人还应负责该未完工程的照管和维护工作，直至完工后移交给发包人为止。</w:t>
      </w:r>
    </w:p>
    <w:p w14:paraId="4AA4703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4.1.10 其他义务</w:t>
      </w:r>
    </w:p>
    <w:p w14:paraId="10AA9BA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其他义务在专用合同条款中补充约定。</w:t>
      </w:r>
    </w:p>
    <w:p w14:paraId="05053A7C">
      <w:pPr>
        <w:pStyle w:val="6"/>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4.2 履约担保</w:t>
      </w:r>
    </w:p>
    <w:p w14:paraId="2708B72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承包人应保证其履约担保在发包人颁发</w:t>
      </w:r>
      <w:r>
        <w:rPr>
          <w:rFonts w:hint="eastAsia" w:ascii="宋体" w:hAnsi="宋体" w:eastAsia="宋体" w:cs="宋体"/>
          <w:sz w:val="21"/>
          <w:szCs w:val="21"/>
          <w:highlight w:val="none"/>
          <w:lang w:val="en-US" w:eastAsia="zh-CN"/>
        </w:rPr>
        <w:t>合同</w:t>
      </w:r>
      <w:r>
        <w:rPr>
          <w:rFonts w:hint="eastAsia" w:ascii="宋体" w:hAnsi="宋体" w:eastAsia="宋体" w:cs="宋体"/>
          <w:sz w:val="21"/>
          <w:szCs w:val="21"/>
          <w:highlight w:val="none"/>
        </w:rPr>
        <w:t>工程完工证书前一直有效。发包人应在合同工程完工证书颁发后28 天内</w:t>
      </w:r>
      <w:r>
        <w:rPr>
          <w:rFonts w:hint="eastAsia" w:ascii="宋体" w:hAnsi="宋体" w:eastAsia="宋体" w:cs="宋体"/>
          <w:sz w:val="21"/>
          <w:szCs w:val="21"/>
          <w:highlight w:val="none"/>
          <w:lang w:val="en-US" w:eastAsia="zh-CN"/>
        </w:rPr>
        <w:t>将</w:t>
      </w:r>
      <w:r>
        <w:rPr>
          <w:rFonts w:hint="eastAsia" w:ascii="宋体" w:hAnsi="宋体" w:eastAsia="宋体" w:cs="宋体"/>
          <w:sz w:val="21"/>
          <w:szCs w:val="21"/>
          <w:highlight w:val="none"/>
        </w:rPr>
        <w:t>履约担保退还给承包人。</w:t>
      </w:r>
    </w:p>
    <w:p w14:paraId="0B34AA6A">
      <w:pPr>
        <w:pStyle w:val="6"/>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4.3 分包</w:t>
      </w:r>
    </w:p>
    <w:p w14:paraId="0BBA106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4.3.1 承包人不得将其承包的全部工程转包给第三人，或将其承包的全部工程肢解后以分包的名义转包给第三人。</w:t>
      </w:r>
    </w:p>
    <w:p w14:paraId="3CBF41A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4.3.2 承包人不得将工程主体、关键性工作分包给第三人。除专用合同条款另有约定外，未经发包人同意，承包人不得将工程的其他部分或工作分包给第三人。</w:t>
      </w:r>
    </w:p>
    <w:p w14:paraId="656F30D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4.3.3 分包人的资格能力应与其分包工程的标准和规模相适应。</w:t>
      </w:r>
    </w:p>
    <w:p w14:paraId="0101E70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4.3.4 按</w:t>
      </w:r>
      <w:r>
        <w:rPr>
          <w:rFonts w:hint="eastAsia" w:ascii="宋体" w:hAnsi="宋体" w:eastAsia="宋体" w:cs="宋体"/>
          <w:sz w:val="21"/>
          <w:szCs w:val="21"/>
          <w:highlight w:val="none"/>
          <w:lang w:eastAsia="zh-CN"/>
        </w:rPr>
        <w:t>开标一览表</w:t>
      </w:r>
      <w:r>
        <w:rPr>
          <w:rFonts w:hint="eastAsia" w:ascii="宋体" w:hAnsi="宋体" w:eastAsia="宋体" w:cs="宋体"/>
          <w:sz w:val="21"/>
          <w:szCs w:val="21"/>
          <w:highlight w:val="none"/>
        </w:rPr>
        <w:t>约定分包工程的，承包人应向发包人和监理人提交分包合同副本。</w:t>
      </w:r>
    </w:p>
    <w:p w14:paraId="6E34ED6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4.3.5 承包人应与分包人就分包工程向发包人承担连带责任。</w:t>
      </w:r>
    </w:p>
    <w:p w14:paraId="722E4B6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4.3.6分包分为工程分包和劳务作业分包。工程分包应遵循合同约定或者经发包人书面认可。禁止承包人将本合同工程进行违法分包。分包人应具备与分包工程规模和标准相适应的资质和业绩，在人力、设备、资金等方面具有承担分包工程施工的能力。分包人应自行完成所承包的任务。</w:t>
      </w:r>
    </w:p>
    <w:p w14:paraId="7F8A76F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4.3.7　在合同实施过程中，如承包人无力在合同规定的期限内完成合同中的应急防汛、抢险等危及公共安全和工程安全的项目，发包人可对该应急防汛、抢险等项目的部分工程指定分包人。因非承包人原因形成指定分包条件的，发包人的指定分包不应增加承包人的额外费用；因承包人原因形成指定分包条件的，承包人应承担指定分包所增加的费用。</w:t>
      </w:r>
    </w:p>
    <w:p w14:paraId="634654A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由指定分包人造成的与其分包工作有关的一切索赔、诉讼和损失赔偿由指定分包人直接对发包人负责，承包人不对此承担责任。</w:t>
      </w:r>
    </w:p>
    <w:p w14:paraId="5D15A76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4.3.8承包人和分包人应当签订分包合同，并履行合同约定的义务。分包合同必须遵循承包合同的各项原则，满足承包合同中相应条款的要求。发包人可以对分包合同实施情况进行监督检查。承包人应将分包合同副本提交发包人和监理人。</w:t>
      </w:r>
    </w:p>
    <w:p w14:paraId="58CF69A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4.3.9除第4.3.7款规定的指定分包外，承包人对其分包项目的实施以及分包人的行为向发包人负全部责任。承包人应对分包项目的工程进度、质量、安全、计量和验收等实施监督和管理。</w:t>
      </w:r>
    </w:p>
    <w:p w14:paraId="6D51363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4.3.10分包人应按专用合同条款的约定设立项目管理机构组织管理分包工程的施工活动。</w:t>
      </w:r>
    </w:p>
    <w:p w14:paraId="09A78BB2">
      <w:pPr>
        <w:pStyle w:val="6"/>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4.4 联合体</w:t>
      </w:r>
    </w:p>
    <w:p w14:paraId="712F509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4.4.1 联合体各方应共同与发包人签订合同协议书。联合体各方应为履行合同承担连带责任。</w:t>
      </w:r>
    </w:p>
    <w:p w14:paraId="128B581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4.4.2 联合体协议经发包人确认后作为合同附件。在履行合同过程中，未经发包人同意，不得修改联合体协议。</w:t>
      </w:r>
    </w:p>
    <w:p w14:paraId="1EAD611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4.4.3 联合体牵头人负责与发包人和监理人联系，并接受指示，负责组织联合体各成员全面履行合同。</w:t>
      </w:r>
    </w:p>
    <w:p w14:paraId="24E2B8B6">
      <w:pPr>
        <w:pStyle w:val="6"/>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4.5 承包人项目经理</w:t>
      </w:r>
    </w:p>
    <w:p w14:paraId="454B738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4.5.1 承包人应按合同约定指派项目经理，并在约定的期限内到职。承包人更换项目经理应事先征得发包人同意，并应在更换14天前通知发包人和监理人。承包人项目经理短期离开施工场地，应事先征得监理人同意，并委派代表代行其职责。</w:t>
      </w:r>
    </w:p>
    <w:p w14:paraId="5DE5807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4.5.2 承包人项目经理应按合同约定以及监理人按第3.4款作出的指示，负责组织合同工程的实施。在情况紧急且无法与监理人取得联系时，可采取保证工程和人员生命财产</w:t>
      </w:r>
      <w:r>
        <w:rPr>
          <w:rFonts w:hint="eastAsia" w:ascii="宋体" w:hAnsi="宋体" w:eastAsia="宋体" w:cs="宋体"/>
          <w:sz w:val="21"/>
          <w:szCs w:val="21"/>
          <w:highlight w:val="none"/>
          <w:lang w:val="en-US" w:eastAsia="zh-CN"/>
        </w:rPr>
        <w:t>安全</w:t>
      </w:r>
      <w:r>
        <w:rPr>
          <w:rFonts w:hint="eastAsia" w:ascii="宋体" w:hAnsi="宋体" w:eastAsia="宋体" w:cs="宋体"/>
          <w:sz w:val="21"/>
          <w:szCs w:val="21"/>
          <w:highlight w:val="none"/>
        </w:rPr>
        <w:t>的紧急措施，并在采取措施后24小时内向监理人提交书面报告。</w:t>
      </w:r>
    </w:p>
    <w:p w14:paraId="6634BFA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4.5.3 承包人为履行合同发出的一切函件均应盖有承包人授权的施工场地管理机构章，并由承包人项目经理或其授权代表签字。</w:t>
      </w:r>
    </w:p>
    <w:p w14:paraId="4754ACA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4.5.4 承包人项目经理可以授权其下属人员履行其某项职责，但事先应将这些人员的姓名和授权范围通知监理人。</w:t>
      </w:r>
    </w:p>
    <w:p w14:paraId="0B5FFF1C">
      <w:pPr>
        <w:pStyle w:val="6"/>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4.6 承包人人员的管理</w:t>
      </w:r>
    </w:p>
    <w:p w14:paraId="2310EAA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4.6.1 承包人应在接到开工通知后28天内，向监理人提交承包人在施工场地的管理机构以及人员安排的报告，其内容应包括管理机构的设置、各主要岗位的技术和管理人员名单及其资格，以及各工种技术工人的安排状况。承包人应向监理人提交施工场地人员变动情况的报告。</w:t>
      </w:r>
    </w:p>
    <w:p w14:paraId="14269C0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4.6.2 为完成合同约定的各项工作，承包人应向施工场地派遣或雇佣足够数量的下列人员：</w:t>
      </w:r>
    </w:p>
    <w:p w14:paraId="798EE0D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（1）具有相应资格的专业技工和合格的普工；</w:t>
      </w:r>
    </w:p>
    <w:p w14:paraId="2871D13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（2）具有相应施工经验的技术人员；</w:t>
      </w:r>
    </w:p>
    <w:p w14:paraId="42E61B8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（3）具有相应岗位资格的各级管理人员。</w:t>
      </w:r>
    </w:p>
    <w:p w14:paraId="3544221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4.6.3 承包人安排在施工场地的主要管理人员和技术骨干应相对稳定。承包人更换主要管理人员和技术骨干时，应取得监理人的同意。</w:t>
      </w:r>
    </w:p>
    <w:p w14:paraId="4658947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4.6.4 特殊岗位的工作人员均应持有相应的资格证明，监理人有权随时检查。监理人认为有必要时，可进行现场考核。</w:t>
      </w:r>
    </w:p>
    <w:p w14:paraId="58332293">
      <w:pPr>
        <w:pStyle w:val="6"/>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4.7 撤换承包人项目经理和其他人员</w:t>
      </w:r>
    </w:p>
    <w:p w14:paraId="7F6AB47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承包人应对其项目经理和其他人员进行有效管理。监理人要求撤换不能胜任本职工作、行为不端或玩忽职守的承包人项目经理和其他人员的，承包人应予以撤换。</w:t>
      </w:r>
    </w:p>
    <w:p w14:paraId="6E1D6FB5">
      <w:pPr>
        <w:pStyle w:val="6"/>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4.8 保障承包人人员的合法权益</w:t>
      </w:r>
    </w:p>
    <w:p w14:paraId="36B52F9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4.8.1 承包人应与其雇佣的人员签订劳动合同，并按时发放工资。</w:t>
      </w:r>
    </w:p>
    <w:p w14:paraId="57C8F81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4.8.2 承包人应按劳动法的规定安排工作时间，保证其雇佣人员享有休息和休假的权利。因工程施工的特殊需要占用休假日或延长工作时间的，应不超过法律规定的限度，并按法律规定给予补休或付酬。</w:t>
      </w:r>
    </w:p>
    <w:p w14:paraId="279C835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4.8.3 承包人应为其雇佣人员提供必要的食宿条件，以及符合环境保护和卫生要求的生活环境，在远离城镇的施工场地，还应配备必要的伤病防治和急救的医务人员与医疗设施。</w:t>
      </w:r>
    </w:p>
    <w:p w14:paraId="3005611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4.8.4 承包人应按国家有关劳动保护的规定，采取有效的防止粉尘、降低噪声、控制有害气体和保障高温、高寒、高空作业安全等劳动保护措施。其雇佣人员在施工中受到伤害的，承包人应立即采取有效措施进行抢救和治疗。</w:t>
      </w:r>
    </w:p>
    <w:p w14:paraId="6BBD03F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4.8.5 承包人应按有关法律规定和合同约定，为其雇佣人员办理保险。</w:t>
      </w:r>
    </w:p>
    <w:p w14:paraId="6C113A9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4.8.6 承包人应负责处理其雇佣人员因工伤亡事故的善后事宜。</w:t>
      </w:r>
    </w:p>
    <w:p w14:paraId="15401B4C">
      <w:pPr>
        <w:pStyle w:val="6"/>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4.9 工程价款应专款专用</w:t>
      </w:r>
    </w:p>
    <w:p w14:paraId="5787610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发包人按合同约定支付给承包人的各项价款应专用于合同工程。</w:t>
      </w:r>
    </w:p>
    <w:p w14:paraId="4D9FA005">
      <w:pPr>
        <w:pStyle w:val="6"/>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4.10 承包人现场查勘</w:t>
      </w:r>
    </w:p>
    <w:p w14:paraId="106F36C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4.10.1 发包人应将其持有的现场地质勘探资料、水文气象资料提供给承包人，并对其准确胜负责。但承包人应对其阅读上述有关资料后所作出的解释和推断负责。</w:t>
      </w:r>
    </w:p>
    <w:p w14:paraId="262EFCA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4.10.2 承包人应对施工场地和周围环境进行查勘，并收集有关地质、水文、气象条件、交通条件、风俗习惯以及其他为完成合同工作有关的当地资料。在全部合同工作中，应视为承包人己充分估计了应承担的责任和风险。</w:t>
      </w:r>
    </w:p>
    <w:p w14:paraId="5015B2B7">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4.11 不利物质条件</w:t>
      </w:r>
    </w:p>
    <w:p w14:paraId="354505B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4.11.1除专用合同条款另有约定外，不利物质条件是指在施工中遭遇不可预见的外界障碍或自然条件造成施工受阻。</w:t>
      </w:r>
    </w:p>
    <w:p w14:paraId="62AF001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4.11.2 承包人遇到不利物质条件时，应采取适应不利物质条件的合理措施继续施工，并及时通知监理人。承包人有权根据第23.1款的约定，要求延长工期及增加费用。监理人收到此类要求后，应在分析上述外界障碍或自然条件是否不可预见及不可预见程度的基础上，按照通用合同条款第15条的约定办理。</w:t>
      </w:r>
    </w:p>
    <w:p w14:paraId="77FD539A">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bookmarkStart w:id="4" w:name="_Toc265408494"/>
      <w:r>
        <w:rPr>
          <w:rFonts w:hint="eastAsia" w:ascii="宋体" w:hAnsi="宋体" w:eastAsia="宋体" w:cs="宋体"/>
          <w:b/>
          <w:bCs/>
          <w:sz w:val="21"/>
          <w:szCs w:val="21"/>
          <w:highlight w:val="none"/>
        </w:rPr>
        <w:t>5  材料和工程设备</w:t>
      </w:r>
      <w:bookmarkEnd w:id="4"/>
    </w:p>
    <w:p w14:paraId="45C93F23">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5.1 承包人提供的材料和工程设备</w:t>
      </w:r>
    </w:p>
    <w:p w14:paraId="3CA126F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5.1.1 除第5.2款约定由发包人提供的材料和工程设备外，承包人负责采购、运输和保管本合同工作所需的材料和工程设备。承包人应对其采购的材料和工程设备负责。</w:t>
      </w:r>
    </w:p>
    <w:p w14:paraId="0ED1308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5.1.2 承包人应按专用合同条款的约定，将各项材料和工程设备的供货人及品种、规格、数量和供货时间等报送监理人审批。承包人应向监理人提交其负责提供的材料和工程设备的质量证明文件，并满足合同约定的质量标准。</w:t>
      </w:r>
    </w:p>
    <w:p w14:paraId="430F611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5.1.3 对承包人提供的材料和工程设备，承包人应会同监理人进行检验和交货验收，查验材料合格证明和产品合格证书，并按合同约定和监理人指示，进行材料的抽样检验和工程设备的检验测试，检验和测试结果应提交监理人，所需费用由承包人承担。</w:t>
      </w:r>
    </w:p>
    <w:p w14:paraId="48566D77">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5.2 发包人提供的材料和工程设备</w:t>
      </w:r>
    </w:p>
    <w:p w14:paraId="79A5CE2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5.2.1 发包人提供的材料和工程设备，应在专用合同条款中写明材料和工程设备的名称、规格、数量、价格、交货方式、交货地点和计划交货日期等。</w:t>
      </w:r>
    </w:p>
    <w:p w14:paraId="3514D7F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5.2.2 承包人应根据合同进度计划的安排，向监理人报送要求发包人交货的日期计划。发包人应按照监理人与合同双方当事人商定的交货日期，向承包人提交材料和工程设备。</w:t>
      </w:r>
    </w:p>
    <w:p w14:paraId="2010079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5.2.3 发包人应在材料和工程设备到货７天前通知承包人，承包人应会同监理人在约定的时间内，赴交货地点共同进行验收。发包人提供的材料和工程设备运至交货地点验收后，由承包人负责接收、卸货、运输和保管。</w:t>
      </w:r>
    </w:p>
    <w:p w14:paraId="6693155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5.2.4 发包人要求向承包人提前交货的，承包人不得拒绝，但发包人应承担承包人由此增加的费用。</w:t>
      </w:r>
    </w:p>
    <w:p w14:paraId="0A3B29F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5.2.5 承包人要求更改交货日期或地点的，应事先报请监理人批准。由于承包人要求更改交货时间或地点所增加的费用和（或）工期延误由承包人承担。</w:t>
      </w:r>
    </w:p>
    <w:p w14:paraId="5C0C25B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5.2.6 发包人提供的材料和工程设备的规格、数量或质量不符合合同要求，或由于发包人原因发生交货日期延误及交货地点变更等情况的，发包人应承担由此增加的费用和（或）工期延误，并向承包人支付合理利润。</w:t>
      </w:r>
    </w:p>
    <w:p w14:paraId="46DB3FF1">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5.3 材料和工程设备专用于合同工程</w:t>
      </w:r>
    </w:p>
    <w:p w14:paraId="6B721B9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5.3.1 运入施工场地的材料、工程设备，包括备品备件、安装专用工器具与随机资料，必须专用于合同工程，未经监理人同意，承包人不得运出施工场地或挪作他用。</w:t>
      </w:r>
    </w:p>
    <w:p w14:paraId="580C4C8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5.3.2 随同工程设备运入施工场地的备品备件、专用工器具与随机资料，应由承包人会同监理人按供货人的装箱单清点后共同封存，未经监理人同意不得启用。承包人因合同工作需要使用上述物品时，应向监理人提出申请。</w:t>
      </w:r>
    </w:p>
    <w:p w14:paraId="1F574EE1">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5.4 禁止使用不合格的材料和工程设备</w:t>
      </w:r>
    </w:p>
    <w:p w14:paraId="0178992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5.4.1 监理人有权拒绝承包人提供的不合格材料或工程设备，并要求承包人立即进行更换。监理人应在更换后再次进行检查和检验，由此增加的费用和（或）工期延误由承包人承担。</w:t>
      </w:r>
    </w:p>
    <w:p w14:paraId="3241182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5.4.2 监理人发现承包人使用了不合格的材料和工程设备，应即时发出指示要求承包人立即改正，并禁止在工程中继续使用不合格的材料和工程设备。</w:t>
      </w:r>
    </w:p>
    <w:p w14:paraId="3B2BD2D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5.4.3 发包人提供的材料或工程设备不符合合同要求的，承包人有权拒绝，并可要求发包人更换，由此增加的费用和（或）工期延误由发包人承担。</w:t>
      </w:r>
    </w:p>
    <w:p w14:paraId="3FF769A8">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bookmarkStart w:id="5" w:name="_Toc265408495"/>
      <w:r>
        <w:rPr>
          <w:rFonts w:hint="eastAsia" w:ascii="宋体" w:hAnsi="宋体" w:eastAsia="宋体" w:cs="宋体"/>
          <w:b/>
          <w:bCs/>
          <w:sz w:val="21"/>
          <w:szCs w:val="21"/>
          <w:highlight w:val="none"/>
        </w:rPr>
        <w:t>6  施工设备和临时设施</w:t>
      </w:r>
      <w:bookmarkEnd w:id="5"/>
    </w:p>
    <w:p w14:paraId="5AC55BAF">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6.1 承包人提供的施工设备和临时设施</w:t>
      </w:r>
    </w:p>
    <w:p w14:paraId="756FB9D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6.1.1 承包人应按合同进度计划的要求，及时配置施工设备和修建临时设施。进入施工场地的承包人设备需经监理人核查后才能投入使用。承包人更换合同约定的承包人设备的，应报监理人批准。</w:t>
      </w:r>
    </w:p>
    <w:p w14:paraId="4BAEC16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6.1.2 除专用合同条款另有约定外，承包人应自行承担修建临时设施的费用，需要临时占地的，应由发包人办理申请手续并承担相应费用。</w:t>
      </w:r>
    </w:p>
    <w:p w14:paraId="4D0BFB9F">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6.2 发包人提供的施工设备和临时设施</w:t>
      </w:r>
    </w:p>
    <w:p w14:paraId="38EFE1A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发包人提供的施工设备或临时设施在专用合同条款中约定。</w:t>
      </w:r>
    </w:p>
    <w:p w14:paraId="02A287CA">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6.3 要求承包人增加或更换施工设备</w:t>
      </w:r>
    </w:p>
    <w:p w14:paraId="1E7354C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承包人使用的施工设备不能满足合同进度计划和（或）质量要求时，监理人有权要求承包人增加或更换施工设备，承包人应及时增加或更换，由此增加的费用和（或）工期延误由承包人承担。</w:t>
      </w:r>
    </w:p>
    <w:p w14:paraId="05983C95">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6.4 施工设备和临时设施专用于合同工程</w:t>
      </w:r>
    </w:p>
    <w:p w14:paraId="78F3B8B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6.4.1 除合同另有约定外，运入施工场地的所有施工设备以及在施工场地建设的临时设施应专用于合同工程。未经监理人同意，不得将上述施工设备和临时设施中的任何部分运出施工场地或挪作他用。</w:t>
      </w:r>
    </w:p>
    <w:p w14:paraId="0D6A98E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6.4.2 经监理人同意，承包人可根据合同进度计划撤走闲置的施工设备。</w:t>
      </w:r>
      <w:bookmarkStart w:id="6" w:name="_Toc265408496"/>
    </w:p>
    <w:p w14:paraId="4E4CD40A">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7  交通运输</w:t>
      </w:r>
      <w:bookmarkEnd w:id="6"/>
    </w:p>
    <w:p w14:paraId="30B583E5">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7.1 道路通行权和场外设施</w:t>
      </w:r>
    </w:p>
    <w:p w14:paraId="1701043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sz w:val="21"/>
          <w:szCs w:val="21"/>
          <w:highlight w:val="none"/>
        </w:rPr>
        <w:t>除专用合同条款另有约定外，承包人应根据合同工程的施工需要，负责办理取得出入施工场地的专用和临时道路的通行权，以及取得为工程建设所需修建场外设施的权利，并承担相关费用。发包人应协助承包人办理上述手续。</w:t>
      </w:r>
    </w:p>
    <w:p w14:paraId="59577E00">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7.2 场内施工道路</w:t>
      </w:r>
    </w:p>
    <w:p w14:paraId="12C63F8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7.2.1 　除本合同约定由发包人提供的部分道路和交通设施外，承包人应负责修建、维修、养护和管理其施工所需的全部临时道路和交通设施（包括合同约定由发包人提供的部分道路和交通设施的维修、养护和管理），并承担相应费用。</w:t>
      </w:r>
    </w:p>
    <w:p w14:paraId="50D547A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7.2.2 承包人修建的临时道路和交通设施，应免费提供发包人、监理人以及与本合同有关的其他承包人使用。</w:t>
      </w:r>
    </w:p>
    <w:p w14:paraId="47D258E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7.3 场外交通</w:t>
      </w:r>
    </w:p>
    <w:p w14:paraId="57361D2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7.3.1 承包人车辆外出行驶所需的场外公共道路的通行费、养路费和税款等由承包人承担。</w:t>
      </w:r>
    </w:p>
    <w:p w14:paraId="0F52B31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7.3.2 承包人应遵守有关交通法规，严格按照道路和桥梁的限制荷重安全行驶，并服从交通管理部门的检查和监督。</w:t>
      </w:r>
    </w:p>
    <w:p w14:paraId="5895A70C">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7.4 超大件和超重件的运输</w:t>
      </w:r>
    </w:p>
    <w:p w14:paraId="101BF8E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2D900AE5">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7.5 道路和桥梁的损坏责任</w:t>
      </w:r>
    </w:p>
    <w:p w14:paraId="01B109C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因承包人运输造成施工场地内外公共道路和桥梁损坏的，由承包人承担修复损坏的全部费用和可能引起的赔偿。</w:t>
      </w:r>
    </w:p>
    <w:p w14:paraId="10F017F7">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7.6 水路和航空运输</w:t>
      </w:r>
    </w:p>
    <w:p w14:paraId="72F54C9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本条上述各款的内容适用于水路运输和航空运输，其中“道路”一词的涵义包括河道、航线、船闸、机场、码头、堤防以及水路或航空运输中其他相似结构物；“车辆”一词的涯义包括船舶和飞机等。</w:t>
      </w:r>
    </w:p>
    <w:p w14:paraId="4CFB9B8D">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bookmarkStart w:id="7" w:name="_Toc265408497"/>
      <w:r>
        <w:rPr>
          <w:rFonts w:hint="eastAsia" w:ascii="宋体" w:hAnsi="宋体" w:eastAsia="宋体" w:cs="宋体"/>
          <w:b/>
          <w:bCs/>
          <w:sz w:val="21"/>
          <w:szCs w:val="21"/>
          <w:highlight w:val="none"/>
        </w:rPr>
        <w:t>8  测量放线</w:t>
      </w:r>
      <w:bookmarkEnd w:id="7"/>
    </w:p>
    <w:p w14:paraId="3143268B">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8.1 施工控制网</w:t>
      </w:r>
    </w:p>
    <w:p w14:paraId="05DA83A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8.1.1 除专用合同条款另有约定外，施工控制网由承包人负责测设，发包人应在本合同协议书签订后的14天内，向承包人提供测量基准点、基准线和水准点及其相关资料。承包人应在收到上述资料后的28天内，将施测的施工控制网资料提交监理人审批。监理人应在收到报批件后的14天内批复承包人。</w:t>
      </w:r>
    </w:p>
    <w:p w14:paraId="64CB13C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8.1.2 承包人应负责管理施工控制网点。施工控制网点丢失或损坏的，承包人应及时修复。承包人应承担施工控制网点的管理与修复费用，并在工程竣工后将施工控制网点移交发包人。</w:t>
      </w:r>
    </w:p>
    <w:p w14:paraId="5C48ECCD">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8.2 施工测量</w:t>
      </w:r>
    </w:p>
    <w:p w14:paraId="68B1137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8.2.1 承包人应负责施工过程中的全部施工测量放线工作，并配置合格的人员、仪器、设备和其他物品。</w:t>
      </w:r>
    </w:p>
    <w:p w14:paraId="06FCC37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8.2.2 监理人可以指示承包人进行抽样复测，当复测中发现错误或出现超过合同约定的误差时，承包人应按监理人指示进行修正或补测，并承担相应的复测费用。</w:t>
      </w:r>
    </w:p>
    <w:p w14:paraId="4AD3D1D2">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8.3 基准资料错误的责任</w:t>
      </w:r>
    </w:p>
    <w:p w14:paraId="4600F65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发包人应对其提供的测量基准点、基准线和水准点及其书面资料的真实性、准确性和完整性负责。发包人提供上述基准资料错误导致承包人测量放线工作的返工或造成工程损失的，发包人应当承担由此增加的费用和（或）工期延误，并向承包人支付合理利润。承包人发现发包人提供的上述基准资料存在明显错误或疏忽的，应及时通知监理人。</w:t>
      </w:r>
    </w:p>
    <w:p w14:paraId="2F6290CF">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8.4 监理人使用施工控制网</w:t>
      </w:r>
    </w:p>
    <w:p w14:paraId="18DBC6B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监理人需要使用施工控制网的，承包人应提供必要的协助，发包人不再为此支付费用。</w:t>
      </w:r>
    </w:p>
    <w:p w14:paraId="177D0349">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8.5 补充地质勘探</w:t>
      </w:r>
    </w:p>
    <w:p w14:paraId="56D8E82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在合同实施期间，监理人可以指示承包人进行必要的补充地质勘探并提供有关资料。承包人为本合同永久工程施工的需要进行补充地质勘探时，须经监理人批准，并应向监理人提交有关资料，上述补充勘探的费用由发包人承担。承包人为其临时工程设计及施工的需要进行的补充地质勘探，其费用由承包人承担</w:t>
      </w:r>
    </w:p>
    <w:p w14:paraId="053833EF">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bookmarkStart w:id="8" w:name="_Toc265408498"/>
      <w:r>
        <w:rPr>
          <w:rFonts w:hint="eastAsia" w:ascii="宋体" w:hAnsi="宋体" w:eastAsia="宋体" w:cs="宋体"/>
          <w:b/>
          <w:bCs/>
          <w:sz w:val="21"/>
          <w:szCs w:val="21"/>
          <w:highlight w:val="none"/>
        </w:rPr>
        <w:t>9  施工安全、治安保卫和环境保护</w:t>
      </w:r>
      <w:bookmarkEnd w:id="8"/>
    </w:p>
    <w:p w14:paraId="541FAA15">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9.1 发包人的施工安全责任</w:t>
      </w:r>
    </w:p>
    <w:p w14:paraId="76270E3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9.1.1 　发包人应按合同约定履行安全职责。发包人委托监理人根据国家有关安全的法律、法规、强制性标准以及部门规章，对承包人的安全责任履行情况进行监督和检查。监理人的监督检查不减轻承包人应负的安全责任。</w:t>
      </w:r>
    </w:p>
    <w:p w14:paraId="48583AE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9.1.2 发包人应对其现场机构雇佣的全部人员的工伤事故承担责任，但由于承包人原因造成发包人人员工伤的，应由承包人承担责任。</w:t>
      </w:r>
    </w:p>
    <w:p w14:paraId="245CA47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9.1.3 发包人应负责赔偿以下各种情况造成的第三者人身伤亡和财产损失：</w:t>
      </w:r>
    </w:p>
    <w:p w14:paraId="29405EF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（l）工程或工程的任何部分对土地的占用所造成的第三者财产损失；</w:t>
      </w:r>
    </w:p>
    <w:p w14:paraId="731268C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（2）由于发包人原因在施工场地及其毗邻地带造成的第三者人身伤亡和财产损失。</w:t>
      </w:r>
    </w:p>
    <w:p w14:paraId="7C446A9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9.1.4 除专用合同条款另有约定外，发包人负责向承包人提供施工现场及施工可能影响的毗邻区域内供水、排水、供电、供气、供热、通信、广播电视等地下管线资料，气象和水文观测资料，拟建工程可能影响的相邻建筑物地下工程的有关资料，并保证有关资料的真实、准确、完整，满足有关技术规程的要求。</w:t>
      </w:r>
    </w:p>
    <w:p w14:paraId="33E701F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9.1.5 发包人按照已标价工程量清单所列金额和合同约定的计量支付规定，支付安全作业环境及安全施工措施所需费用。</w:t>
      </w:r>
    </w:p>
    <w:p w14:paraId="0D8D939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9.1.6 发包人负责组织工程参建单位编制保证安全生产的措施方案。工程开工前，就落实保证安全生产的措施进行全面系统的布置，进一步明确承包人的安全生产责任。</w:t>
      </w:r>
    </w:p>
    <w:p w14:paraId="37CBE72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9.1.7 发包人负责在拆除工程和爆破工程施工14天前向有关部门或机构报送相关备案资料。</w:t>
      </w:r>
    </w:p>
    <w:p w14:paraId="1C1BDBE6">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9.2 承包人的施工安全责任</w:t>
      </w:r>
    </w:p>
    <w:p w14:paraId="240E975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9.2.1 承包人应按合同约定履行安全职责，执行监理人有关安全工作的指示。承包人应按技术标准和要求（合同技术条款）约定的内容和期限，以及监理人的指示，编制施工安全技术措施提交监理人审批。监理人应在技术标准和要求（合同技术条款）约定的期限内批复承包人。</w:t>
      </w:r>
    </w:p>
    <w:p w14:paraId="5100731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9.2.2 承包人应加强施工作业安全管理，特别应加强易燃、易爆材料、火工器材、有毒与腐蚀性材料和其他危险品的管理，以及对爆破作业和地下工程施工等危险作业的管理。</w:t>
      </w:r>
    </w:p>
    <w:p w14:paraId="060CA22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9.2.3 承包人应严格按照国家安全标准制定施工安全操作规程，配备必要的安全生产和劳动保护设施，加强对承包人人员的安全教育，并发放安全工作手册和劳动保护用具。</w:t>
      </w:r>
    </w:p>
    <w:p w14:paraId="4328CA2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9.2.4 承包人应按监理人的指示制定应对灾害的紧急预案，报送监理人审批。承包人还应按预案做好安全检查，配置必要的救助物资和器材，切实保护好有关人员的人身和财产安全。</w:t>
      </w:r>
    </w:p>
    <w:p w14:paraId="7FABDA9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9.2.5 合同约定的安全作业环境及安全施工措施所需费用应遵守有关规定，并包括在相关工作的合同价格中。因采取合同未约定的安全作业环境及安全施工措施增加的费用，由监理人按第3.5 款商定或确定。</w:t>
      </w:r>
    </w:p>
    <w:p w14:paraId="3C25927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9.2.6 承包人应对其履行合同所雇佣的全部人员，包括分包人人员的工伤事故承担责任，但由于发包人原因造成承包人人员工伤事故的，应由发包人承担责任。</w:t>
      </w:r>
    </w:p>
    <w:p w14:paraId="0DA3865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9.2.7 由于承包人原因在施工场地内及其毗邻地带造成的第三者人员伤亡和财产损失，由承包人负责赔偿。</w:t>
      </w:r>
    </w:p>
    <w:p w14:paraId="1FF5BD4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9.2.8 承包人已标价工程量清单应包含工程安全作业环境及安全施工措施所需费用。</w:t>
      </w:r>
    </w:p>
    <w:p w14:paraId="3976465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9.2.9承包人应建立健全安全生产责任制度和安全生产教育培训制度，制定安全生产规章制度和操作规程，保证本单位建立和完善安全生产条件所需资金的投入，对本工程进行定期和专项安全检查，并做好安全检查记录。</w:t>
      </w:r>
    </w:p>
    <w:p w14:paraId="14BA56B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9.2.10 承包人应设立安全生产管理机构，施工现场应有专职安全生产管理人员。</w:t>
      </w:r>
    </w:p>
    <w:p w14:paraId="337FA8E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9.2.11 承包人应负责对特种作业人员进行专门的安全作业培训，并保证特种作业人员持证上岗。</w:t>
      </w:r>
    </w:p>
    <w:p w14:paraId="09002DB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9.2.12 承包人应在施工组织设计中编制安全技术措施和施工现场临时用电方案。对专用合同条款约定的工程，应编制专项施工方案报监理人批准。对专用合同条款约定的专项施工方案，还应组织专家进行论证、审查，其中专家1/2人员应经发包人同意。</w:t>
      </w:r>
    </w:p>
    <w:p w14:paraId="568BB92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9.2.13 承包人在使用施工起重机械和整体提升脚手架、模板等自升式架设设施前，应组织有关单位进行验收。</w:t>
      </w:r>
    </w:p>
    <w:p w14:paraId="2FE6A6CA">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9.3 治安保卫</w:t>
      </w:r>
    </w:p>
    <w:p w14:paraId="7BD60F4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9.3.1 除合同另有约定外，发包人应与当地公安部门协商，在现场建立治安管理机构或联防组织，统一管理施工场地的治安保卫事项，履行合同工程的治安保卫职责。</w:t>
      </w:r>
    </w:p>
    <w:p w14:paraId="3D95427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9.3.2 发包人和承包人除应协助现场治安管理机构或联防组织维护施工场地的社会治安外，还应做好包括生活区在内的各自管辖区的治安保卫工作。</w:t>
      </w:r>
    </w:p>
    <w:p w14:paraId="7F29976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9.3.3 除合同另有约定外，发包人和承包人应在工程开工后，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减少财产损失和避免人员伤亡。</w:t>
      </w:r>
    </w:p>
    <w:p w14:paraId="624F4EF6">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9.4 环境保护</w:t>
      </w:r>
    </w:p>
    <w:p w14:paraId="43E4F7C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9.4.1 承包人在施工过程中，应遵守有关环境保护的法律，履行合同约定的环境保护义务，并对违反法律和合同约定义务所造成的环境破坏、人身伤害和财产损失负责。</w:t>
      </w:r>
    </w:p>
    <w:p w14:paraId="4BF2B05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9.4.2 承包人应按合同约定的环保工作内容，编制施工环保措施计划，报送监理人审批。</w:t>
      </w:r>
    </w:p>
    <w:p w14:paraId="7159408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9.4.3 承包人应按照批准的施工环保措施计划有序地堆放和处理施工废弃物，避免对环境造成破坏。因承包人任意堆放或弃置施工废弃物造成妨碍公共交通、影响城镇居民生活、降低河流行洪能力、危及居民安全、破坏周边环境，或者影响其他承包人施工等后果的，承包人应承担责任。</w:t>
      </w:r>
    </w:p>
    <w:p w14:paraId="04843A4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9.4.4 承包人应按合同约定采取有效措施，对施工开挖的边坡及时进行支护，维护排水设施，并进行水土保护，避免因施工造成的地质灾害。</w:t>
      </w:r>
    </w:p>
    <w:p w14:paraId="49D3112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9.4.5 承包人应按国家饮用水管理标准定期对饮用水源进行监测，防止施工活动污染饮用水源。</w:t>
      </w:r>
    </w:p>
    <w:p w14:paraId="140756B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9.4.6 承包人应按合同约定，加强对噪声、粉尘、废气、废水和废油的控制，努力降低噪声，控制粉尘和废气浓度，做好废水和废油的治理和排放。</w:t>
      </w:r>
    </w:p>
    <w:p w14:paraId="6E7DEED9">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9.5 事故处理</w:t>
      </w:r>
    </w:p>
    <w:p w14:paraId="1FC86A2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9.5.1 发包人负责组织参建单位制定本工程的质量与安全事故应急预案，建立质量与安全事故应急处置指挥部。</w:t>
      </w:r>
    </w:p>
    <w:p w14:paraId="623CFFE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9.5.2 承包人应对施工现场易发生重大事故的部位、环节进行监控，配备救援器材、设备，并定期组织演练。</w:t>
      </w:r>
    </w:p>
    <w:p w14:paraId="4717D71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9.5.3 工程开工前，承包人应根据本工程的特点制定施工现场施工质量与安全事故应急预案，并报发包人备案。</w:t>
      </w:r>
    </w:p>
    <w:p w14:paraId="5857B95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9.5.4 施工过程中发生事故时，发包人、承包人应立即启动应急预案。</w:t>
      </w:r>
    </w:p>
    <w:p w14:paraId="5DB8D96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9.5.5 事故调查处理由发包人按相关规定履行手续，承包人应配合。</w:t>
      </w:r>
    </w:p>
    <w:p w14:paraId="1FDE5036">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9.6 水土保持</w:t>
      </w:r>
    </w:p>
    <w:p w14:paraId="733EBCA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9.6.1 发包人应及时向承包人提供水土保持方案。</w:t>
      </w:r>
    </w:p>
    <w:p w14:paraId="0B5FF42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9.6.2 承包人在施工过程中，应遵守有关水土保持的法律法规和规章，履行合同约定的水土保持义务，并对其违反法律和合同约定义务所造成的水土流失灾害、人身伤害和财产损失负责。</w:t>
      </w:r>
    </w:p>
    <w:p w14:paraId="5FE1226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9.6.3 承包人的水土保持措施计划，应满足技术标准和要求（合同技术条款）约定的要求。</w:t>
      </w:r>
    </w:p>
    <w:p w14:paraId="191099B2">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9.7 文明工地</w:t>
      </w:r>
    </w:p>
    <w:p w14:paraId="12763AE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9.7.1 发包人应按专用合同条款的约定，负责建立创建文明建设工地的组织机构，制定创建文明建设工地的规划和办法。</w:t>
      </w:r>
    </w:p>
    <w:p w14:paraId="2B0FA1E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9.7.2 承包人应按创建文明建设工地的规划和办法，履行职责，承担相应责任。所需费用应含在已标价工程量清单中。</w:t>
      </w:r>
    </w:p>
    <w:p w14:paraId="7114A3DF">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9.8 防汛度汛</w:t>
      </w:r>
    </w:p>
    <w:p w14:paraId="624557D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9.8.1 发包人负责组织工程参建单位编制本工程的度汛方案和措施。</w:t>
      </w:r>
    </w:p>
    <w:p w14:paraId="41D5500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sz w:val="21"/>
          <w:szCs w:val="21"/>
          <w:highlight w:val="none"/>
        </w:rPr>
        <w:t>9.8.2 承包人应根据发包人编制的本工程度汛方案和措施，制定相应的度汛方案，报发包人批准后实施。</w:t>
      </w:r>
    </w:p>
    <w:p w14:paraId="74A08176">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bookmarkStart w:id="9" w:name="_Toc265408499"/>
      <w:r>
        <w:rPr>
          <w:rFonts w:hint="eastAsia" w:ascii="宋体" w:hAnsi="宋体" w:eastAsia="宋体" w:cs="宋体"/>
          <w:b/>
          <w:bCs/>
          <w:sz w:val="21"/>
          <w:szCs w:val="21"/>
          <w:highlight w:val="none"/>
        </w:rPr>
        <w:t>10  进度计划</w:t>
      </w:r>
      <w:bookmarkEnd w:id="9"/>
    </w:p>
    <w:p w14:paraId="3BFC9FF1">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10.1 合同进度计划</w:t>
      </w:r>
    </w:p>
    <w:p w14:paraId="7DA4349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包人应按技术标准和要求（合同技术条款）约定的内容和期限以及监理人的指示，编制详细的施工总进度计划及其说明提交监理人审批。监理人应在技术标准和要求（合同技术条款）约定的期限内批复承包人，否则该进度计划视为已得到批准。经监理人批准的施工进度计划称为合同进度计划，是控制合同工程进度的依据。承包人还应根据合同进度计划，编制更为详细的分阶段或单位工程或分部工程进度计划，报监理人审批。</w:t>
      </w:r>
    </w:p>
    <w:p w14:paraId="47C7955C">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10.2 合同进度计划的修订</w:t>
      </w:r>
    </w:p>
    <w:p w14:paraId="0682866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不论何种原因造成工程的实际进度与第10.1款的合同进度计划不符时，承包人均应在14天内向监理人提交修订合同进度计划的申请报告，并附有关措施和相关资料，报监理人审批，监理人应在收到申请报告后的14天内批复。当监理人认为需要修订合同进度计划时，承包人应按监理人的指示，在14天内向监理人提交修订的合同进度计划，并附调整计划的相关资料，提交监理人审批。监理人应在收到进度计划后的14天内批复。</w:t>
      </w:r>
    </w:p>
    <w:p w14:paraId="1ADDBE1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不论何种原因造成施工进度延迟，承包人均应按监理人的指示，采取有效措施赶上进度。承包人应在向监理人提交修订合同进度计划的同时，编制一份赶工措施报告提交监理人审批。由于发包人原因造成施工进度延迟，应按第11.3款的约定办理；由于承包人原因造成施工进度延迟，应按第11.5款的约定办理。</w:t>
      </w:r>
    </w:p>
    <w:p w14:paraId="0F8CD284">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10.3　单位工程进度计划</w:t>
      </w:r>
    </w:p>
    <w:p w14:paraId="752C8AB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监理人认为有必要时，承包人应按监理人指示的内容和期限，并根据合同进度计划的进度控制要求，编制单位工程进度计划，提交监理人审批。</w:t>
      </w:r>
    </w:p>
    <w:p w14:paraId="4C9643F6">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10.4　提交资金流估算表</w:t>
      </w:r>
    </w:p>
    <w:p w14:paraId="14E84A7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承包人应在按第10.1款约定向监理人提交施工总进度计划的同时，按下表约定的格式，向监理人提交按月的资金流估算表。估算表应包括承包人计划可从发包人处得到的全部款额，以供发包人参考。此后，当监理人提出要求时，承包人应在监理人指定的期限内提交修订的资金流估算表。 </w:t>
      </w:r>
    </w:p>
    <w:p w14:paraId="01A61474">
      <w:pPr>
        <w:pageBreakBefore w:val="0"/>
        <w:widowControl w:val="0"/>
        <w:kinsoku/>
        <w:wordWrap/>
        <w:overflowPunct/>
        <w:topLinePunct w:val="0"/>
        <w:bidi w:val="0"/>
        <w:snapToGrid/>
        <w:spacing w:line="312" w:lineRule="auto"/>
        <w:ind w:firstLine="420" w:firstLineChars="20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资金流估算表（参考表格）              金额单位</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9"/>
        <w:gridCol w:w="561"/>
        <w:gridCol w:w="1239"/>
        <w:gridCol w:w="1497"/>
        <w:gridCol w:w="1260"/>
        <w:gridCol w:w="821"/>
        <w:gridCol w:w="1180"/>
        <w:gridCol w:w="642"/>
        <w:gridCol w:w="796"/>
        <w:gridCol w:w="1080"/>
      </w:tblGrid>
      <w:tr w14:paraId="41B60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519" w:type="dxa"/>
            <w:noWrap w:val="0"/>
            <w:vAlign w:val="center"/>
          </w:tcPr>
          <w:p w14:paraId="57797BB8">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年</w:t>
            </w:r>
          </w:p>
        </w:tc>
        <w:tc>
          <w:tcPr>
            <w:tcW w:w="561" w:type="dxa"/>
            <w:noWrap w:val="0"/>
            <w:vAlign w:val="center"/>
          </w:tcPr>
          <w:p w14:paraId="009C9433">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月</w:t>
            </w:r>
          </w:p>
        </w:tc>
        <w:tc>
          <w:tcPr>
            <w:tcW w:w="1239" w:type="dxa"/>
            <w:noWrap w:val="0"/>
            <w:vAlign w:val="center"/>
          </w:tcPr>
          <w:p w14:paraId="09CE453B">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工程预付款</w:t>
            </w:r>
          </w:p>
        </w:tc>
        <w:tc>
          <w:tcPr>
            <w:tcW w:w="1497" w:type="dxa"/>
            <w:noWrap w:val="0"/>
            <w:vAlign w:val="center"/>
          </w:tcPr>
          <w:p w14:paraId="169E1E43">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完成工作量付款</w:t>
            </w:r>
          </w:p>
        </w:tc>
        <w:tc>
          <w:tcPr>
            <w:tcW w:w="1260" w:type="dxa"/>
            <w:noWrap w:val="0"/>
            <w:vAlign w:val="center"/>
          </w:tcPr>
          <w:p w14:paraId="227663D9">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质量保证金扣留</w:t>
            </w:r>
          </w:p>
        </w:tc>
        <w:tc>
          <w:tcPr>
            <w:tcW w:w="821" w:type="dxa"/>
            <w:noWrap w:val="0"/>
            <w:vAlign w:val="center"/>
          </w:tcPr>
          <w:p w14:paraId="592FD8A4">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材料款扣除</w:t>
            </w:r>
          </w:p>
        </w:tc>
        <w:tc>
          <w:tcPr>
            <w:tcW w:w="1180" w:type="dxa"/>
            <w:noWrap w:val="0"/>
            <w:vAlign w:val="center"/>
          </w:tcPr>
          <w:p w14:paraId="62DDA506">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预付款扣还</w:t>
            </w:r>
          </w:p>
        </w:tc>
        <w:tc>
          <w:tcPr>
            <w:tcW w:w="642" w:type="dxa"/>
            <w:noWrap w:val="0"/>
            <w:vAlign w:val="center"/>
          </w:tcPr>
          <w:p w14:paraId="60B66F2E">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其他</w:t>
            </w:r>
          </w:p>
        </w:tc>
        <w:tc>
          <w:tcPr>
            <w:tcW w:w="796" w:type="dxa"/>
            <w:noWrap w:val="0"/>
            <w:vAlign w:val="center"/>
          </w:tcPr>
          <w:p w14:paraId="795D5635">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应收款</w:t>
            </w:r>
          </w:p>
        </w:tc>
        <w:tc>
          <w:tcPr>
            <w:tcW w:w="1080" w:type="dxa"/>
            <w:noWrap w:val="0"/>
            <w:vAlign w:val="center"/>
          </w:tcPr>
          <w:p w14:paraId="3C6B4857">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累计应收款</w:t>
            </w:r>
          </w:p>
        </w:tc>
      </w:tr>
      <w:tr w14:paraId="345DC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519" w:type="dxa"/>
            <w:noWrap w:val="0"/>
            <w:vAlign w:val="center"/>
          </w:tcPr>
          <w:p w14:paraId="4FA17377">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c>
          <w:tcPr>
            <w:tcW w:w="561" w:type="dxa"/>
            <w:noWrap w:val="0"/>
            <w:vAlign w:val="center"/>
          </w:tcPr>
          <w:p w14:paraId="09CCA532">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c>
          <w:tcPr>
            <w:tcW w:w="1239" w:type="dxa"/>
            <w:noWrap w:val="0"/>
            <w:vAlign w:val="center"/>
          </w:tcPr>
          <w:p w14:paraId="3E9BC2C5">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c>
          <w:tcPr>
            <w:tcW w:w="1497" w:type="dxa"/>
            <w:noWrap w:val="0"/>
            <w:vAlign w:val="center"/>
          </w:tcPr>
          <w:p w14:paraId="681BAB1F">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c>
          <w:tcPr>
            <w:tcW w:w="1260" w:type="dxa"/>
            <w:noWrap w:val="0"/>
            <w:vAlign w:val="center"/>
          </w:tcPr>
          <w:p w14:paraId="6C4A21FF">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c>
          <w:tcPr>
            <w:tcW w:w="821" w:type="dxa"/>
            <w:noWrap w:val="0"/>
            <w:vAlign w:val="center"/>
          </w:tcPr>
          <w:p w14:paraId="18312C08">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c>
          <w:tcPr>
            <w:tcW w:w="1180" w:type="dxa"/>
            <w:noWrap w:val="0"/>
            <w:vAlign w:val="center"/>
          </w:tcPr>
          <w:p w14:paraId="13629D54">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c>
          <w:tcPr>
            <w:tcW w:w="642" w:type="dxa"/>
            <w:noWrap w:val="0"/>
            <w:vAlign w:val="center"/>
          </w:tcPr>
          <w:p w14:paraId="7B6B2E32">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c>
          <w:tcPr>
            <w:tcW w:w="796" w:type="dxa"/>
            <w:noWrap w:val="0"/>
            <w:vAlign w:val="center"/>
          </w:tcPr>
          <w:p w14:paraId="76C755B5">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c>
          <w:tcPr>
            <w:tcW w:w="1080" w:type="dxa"/>
            <w:noWrap w:val="0"/>
            <w:vAlign w:val="center"/>
          </w:tcPr>
          <w:p w14:paraId="4AD8E394">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r>
      <w:tr w14:paraId="7EA33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519" w:type="dxa"/>
            <w:noWrap w:val="0"/>
            <w:vAlign w:val="center"/>
          </w:tcPr>
          <w:p w14:paraId="76136625">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c>
          <w:tcPr>
            <w:tcW w:w="561" w:type="dxa"/>
            <w:noWrap w:val="0"/>
            <w:vAlign w:val="center"/>
          </w:tcPr>
          <w:p w14:paraId="22FAA498">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c>
          <w:tcPr>
            <w:tcW w:w="1239" w:type="dxa"/>
            <w:noWrap w:val="0"/>
            <w:vAlign w:val="center"/>
          </w:tcPr>
          <w:p w14:paraId="6B25B374">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c>
          <w:tcPr>
            <w:tcW w:w="1497" w:type="dxa"/>
            <w:noWrap w:val="0"/>
            <w:vAlign w:val="center"/>
          </w:tcPr>
          <w:p w14:paraId="166DB4C2">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c>
          <w:tcPr>
            <w:tcW w:w="1260" w:type="dxa"/>
            <w:noWrap w:val="0"/>
            <w:vAlign w:val="center"/>
          </w:tcPr>
          <w:p w14:paraId="1C551D1D">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c>
          <w:tcPr>
            <w:tcW w:w="821" w:type="dxa"/>
            <w:noWrap w:val="0"/>
            <w:vAlign w:val="center"/>
          </w:tcPr>
          <w:p w14:paraId="1443BB7B">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c>
          <w:tcPr>
            <w:tcW w:w="1180" w:type="dxa"/>
            <w:noWrap w:val="0"/>
            <w:vAlign w:val="center"/>
          </w:tcPr>
          <w:p w14:paraId="1AD5E6DE">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c>
          <w:tcPr>
            <w:tcW w:w="642" w:type="dxa"/>
            <w:noWrap w:val="0"/>
            <w:vAlign w:val="center"/>
          </w:tcPr>
          <w:p w14:paraId="232A2ED3">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c>
          <w:tcPr>
            <w:tcW w:w="796" w:type="dxa"/>
            <w:noWrap w:val="0"/>
            <w:vAlign w:val="center"/>
          </w:tcPr>
          <w:p w14:paraId="1CA19D72">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c>
          <w:tcPr>
            <w:tcW w:w="1080" w:type="dxa"/>
            <w:noWrap w:val="0"/>
            <w:vAlign w:val="center"/>
          </w:tcPr>
          <w:p w14:paraId="3D5C6670">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r>
      <w:tr w14:paraId="5DA33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519" w:type="dxa"/>
            <w:noWrap w:val="0"/>
            <w:vAlign w:val="center"/>
          </w:tcPr>
          <w:p w14:paraId="2B44D8CF">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c>
          <w:tcPr>
            <w:tcW w:w="561" w:type="dxa"/>
            <w:noWrap w:val="0"/>
            <w:vAlign w:val="center"/>
          </w:tcPr>
          <w:p w14:paraId="08E000C8">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c>
          <w:tcPr>
            <w:tcW w:w="1239" w:type="dxa"/>
            <w:noWrap w:val="0"/>
            <w:vAlign w:val="center"/>
          </w:tcPr>
          <w:p w14:paraId="00616A21">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c>
          <w:tcPr>
            <w:tcW w:w="1497" w:type="dxa"/>
            <w:noWrap w:val="0"/>
            <w:vAlign w:val="center"/>
          </w:tcPr>
          <w:p w14:paraId="475FFEA9">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c>
          <w:tcPr>
            <w:tcW w:w="1260" w:type="dxa"/>
            <w:noWrap w:val="0"/>
            <w:vAlign w:val="center"/>
          </w:tcPr>
          <w:p w14:paraId="6505DB87">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c>
          <w:tcPr>
            <w:tcW w:w="821" w:type="dxa"/>
            <w:noWrap w:val="0"/>
            <w:vAlign w:val="center"/>
          </w:tcPr>
          <w:p w14:paraId="162BF84A">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c>
          <w:tcPr>
            <w:tcW w:w="1180" w:type="dxa"/>
            <w:noWrap w:val="0"/>
            <w:vAlign w:val="center"/>
          </w:tcPr>
          <w:p w14:paraId="39AE8B18">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c>
          <w:tcPr>
            <w:tcW w:w="642" w:type="dxa"/>
            <w:noWrap w:val="0"/>
            <w:vAlign w:val="center"/>
          </w:tcPr>
          <w:p w14:paraId="2B6EDD15">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c>
          <w:tcPr>
            <w:tcW w:w="796" w:type="dxa"/>
            <w:noWrap w:val="0"/>
            <w:vAlign w:val="center"/>
          </w:tcPr>
          <w:p w14:paraId="21EB029A">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c>
          <w:tcPr>
            <w:tcW w:w="1080" w:type="dxa"/>
            <w:noWrap w:val="0"/>
            <w:vAlign w:val="center"/>
          </w:tcPr>
          <w:p w14:paraId="4B5967E5">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r>
    </w:tbl>
    <w:p w14:paraId="589E025E">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bookmarkStart w:id="10" w:name="_Toc265408500"/>
      <w:r>
        <w:rPr>
          <w:rFonts w:hint="eastAsia" w:ascii="宋体" w:hAnsi="宋体" w:eastAsia="宋体" w:cs="宋体"/>
          <w:b/>
          <w:bCs/>
          <w:sz w:val="21"/>
          <w:szCs w:val="21"/>
          <w:highlight w:val="none"/>
        </w:rPr>
        <w:t>11  开工和竣工</w:t>
      </w:r>
      <w:bookmarkEnd w:id="10"/>
      <w:r>
        <w:rPr>
          <w:rFonts w:hint="eastAsia" w:ascii="宋体" w:hAnsi="宋体" w:eastAsia="宋体" w:cs="宋体"/>
          <w:b/>
          <w:bCs/>
          <w:sz w:val="21"/>
          <w:szCs w:val="21"/>
          <w:highlight w:val="none"/>
        </w:rPr>
        <w:t>（完工）</w:t>
      </w:r>
    </w:p>
    <w:p w14:paraId="1E4A4D75">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11.1 开工</w:t>
      </w:r>
    </w:p>
    <w:p w14:paraId="0977F44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11.1.1 监理人应在开工日期7天前向承包人发出开工通知。监理人在发出开工通知前应获得发包人同意。工期自监理人发出的开工通知中载明的开工日期起计算。承包人应在开工日期后尽快施工。</w:t>
      </w:r>
    </w:p>
    <w:p w14:paraId="46B6858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11.1.2 承包人应按第10.1 款约定的合同进度计划，向监理人提交工程开工报审表，经监理人审批后执行。开工报审表应详细说明按合同进度计划正常施工所需的施工道路、临时设施、材料设备、施工人员等施工组织措施的落实情况以及工程的进度安排。</w:t>
      </w:r>
    </w:p>
    <w:p w14:paraId="02F5281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11.1.3 若发包人未能按合同约定向承包人提供开工的必要条件，承包人有权要求延长工期。监理人应在收到承包人的书面要求后，按第3.5款的约定，与合同双方商定或确定增加的费用和延长的工期。</w:t>
      </w:r>
    </w:p>
    <w:p w14:paraId="608F6D8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11.1.4 承包人在接到开工通知后14天内未按进度计划要求及时进场组织施工，监理人可通知承包人在接到通知后7天内提交一份说明其进场延误的书面报告，报送监理人。书面报告应说明不能及时进场的原因和补救措施，由此增加的费用和工期延误责任由承包人承担。</w:t>
      </w:r>
    </w:p>
    <w:p w14:paraId="3F6468D0">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11.2 竣工（完工）</w:t>
      </w:r>
    </w:p>
    <w:p w14:paraId="79961AE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承包人应在第1.1.4.3目约定的期限内完成合同工程。合同工程实际完工日期在合同工程完工证书中明确。</w:t>
      </w:r>
    </w:p>
    <w:p w14:paraId="19797927">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11.3 发包人的工期延误</w:t>
      </w:r>
    </w:p>
    <w:p w14:paraId="0C4E471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在履行合同过程中，由于发包人的下列原因造成工期延误的，承包人有权要求发包人延长工期和（或）增加费用，并支付合理利润。需要修订合同进度计划的，按照第10.2 款的约定办理。</w:t>
      </w:r>
    </w:p>
    <w:p w14:paraId="042C4FF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（l）增加合同工作内容；</w:t>
      </w:r>
    </w:p>
    <w:p w14:paraId="7E922A3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（2）改变合同中任何一项工作的质量要求或其他特性；</w:t>
      </w:r>
    </w:p>
    <w:p w14:paraId="37EAA70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（3）发包人迟延提供材料、工程设备或变更交货地点的；</w:t>
      </w:r>
    </w:p>
    <w:p w14:paraId="5F7A639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（4）因发包人原因导致的暂停施工；</w:t>
      </w:r>
    </w:p>
    <w:p w14:paraId="171147D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（5）提供图纸延误；</w:t>
      </w:r>
    </w:p>
    <w:p w14:paraId="465F675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（6）未按合同约定及时支付预付款、进度款；</w:t>
      </w:r>
    </w:p>
    <w:p w14:paraId="5B688E0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（7）发包人造成工期延误的其他原因。</w:t>
      </w:r>
    </w:p>
    <w:p w14:paraId="6F5156B4">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11.4 异常恶劣的气候条件</w:t>
      </w:r>
    </w:p>
    <w:p w14:paraId="10622C5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11.4.1 当工程所在地发生危及施工安全的异常恶劣气候时，发包人和承包人应按本合同通用合同条款第12条的约定，及时采取暂停施工或部分暂停施工措施。异常恶劣气候条件解除后，承包人应及时安排复工。</w:t>
      </w:r>
    </w:p>
    <w:p w14:paraId="3AB0D6F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11.4.2 异常恶劣气候条件造成的工期延误和工程损坏，应由发包人与承包人参照本合同通用合同条款第21.3款的约定协商处理。</w:t>
      </w:r>
    </w:p>
    <w:p w14:paraId="64C5D63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11.4.3 本合同工程界定异常恶劣气候条件的范围在专用合同条款中约定。</w:t>
      </w:r>
    </w:p>
    <w:p w14:paraId="420846FA">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11.5 承包人的工期延误</w:t>
      </w:r>
    </w:p>
    <w:p w14:paraId="0C151E0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由于承包人原因，未能按合同进度计划完成工作，或监理人认为承包人施工进度不能满足合同工期要求的，承包人应采取措施加快进度，并承担加快进度所增加的费用。由于承包人原因造成工期延误，承包人应支付逾期竣工违约金。逾期竣工违约金的计算方法在专用合同条款中约定。承包人支付逾期竣工违约金，不免除承包人完成工程及修补缺陷的义务。</w:t>
      </w:r>
    </w:p>
    <w:p w14:paraId="6088D411">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11.6 工期提前</w:t>
      </w:r>
    </w:p>
    <w:p w14:paraId="300D12E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发包人要求承包人提前完工，或承包人提出提前完工的建议能够给发包人带来效益的，应由监理人与承包人共同协商采取加快工程进度的措施和修订合同进度计划。发包人应承担承包人由此增加的费用，并向承包人支付专用合同条款约定的相应奖金。</w:t>
      </w:r>
    </w:p>
    <w:p w14:paraId="082DDC0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发包人要求提前完工的，双方协商一致后应签订提前完工协议，协议内容包括：</w:t>
      </w:r>
    </w:p>
    <w:p w14:paraId="66C188F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（1）提前的时间和修订后的进度计划；</w:t>
      </w:r>
    </w:p>
    <w:p w14:paraId="6AE63E2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（2）承包人的赶工措施；</w:t>
      </w:r>
    </w:p>
    <w:p w14:paraId="1536944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（3）发包人为赶工提供的条件；</w:t>
      </w:r>
    </w:p>
    <w:p w14:paraId="6260A68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（4）赶工费用（包括利润和奖金）。</w:t>
      </w:r>
    </w:p>
    <w:p w14:paraId="500F6245">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bookmarkStart w:id="11" w:name="_Toc265408501"/>
      <w:r>
        <w:rPr>
          <w:rFonts w:hint="eastAsia" w:ascii="宋体" w:hAnsi="宋体" w:eastAsia="宋体" w:cs="宋体"/>
          <w:b/>
          <w:bCs/>
          <w:sz w:val="21"/>
          <w:szCs w:val="21"/>
          <w:highlight w:val="none"/>
        </w:rPr>
        <w:t>12  暂停施工</w:t>
      </w:r>
      <w:bookmarkEnd w:id="11"/>
    </w:p>
    <w:p w14:paraId="44D33780">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12.1 承包人暂停施工的责任</w:t>
      </w:r>
    </w:p>
    <w:p w14:paraId="3FEFFB9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因下列暂停施工增加的费用和（或）工期延误由承包人承担：</w:t>
      </w:r>
    </w:p>
    <w:p w14:paraId="7E17CAB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（1）承包人违约引起的暂停施工；</w:t>
      </w:r>
    </w:p>
    <w:p w14:paraId="2D80065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（2）由于承包人原因为工程合理施工和安全保障所必需的暂停施工；</w:t>
      </w:r>
    </w:p>
    <w:p w14:paraId="6F4AEB7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（3）承包人擅自暂停施工；</w:t>
      </w:r>
    </w:p>
    <w:p w14:paraId="7AA0D1D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（4）承包人其他原因引起的暂停施工；</w:t>
      </w:r>
    </w:p>
    <w:p w14:paraId="655ADF3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（5）专用合同条款约定由承包人承担的其他暂停施工。</w:t>
      </w:r>
    </w:p>
    <w:p w14:paraId="5CC43501">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12.2 发包人暂停施工的责任</w:t>
      </w:r>
    </w:p>
    <w:p w14:paraId="2B84EA5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由于发包人原因引起的暂停施工造成工期延误的，承包人有权要求发包人延长工期和（或）增加费用，并支付合理利润。</w:t>
      </w:r>
    </w:p>
    <w:p w14:paraId="59974A6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属于下列任何一种情况引起的暂停施工，均为发包人的责任：</w:t>
      </w:r>
    </w:p>
    <w:p w14:paraId="415BF0F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（1）由于发包人违约引起的暂停施工；</w:t>
      </w:r>
    </w:p>
    <w:p w14:paraId="2A604ED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（2）由于不可抗力的自然或社会因素引起的暂停施工；</w:t>
      </w:r>
    </w:p>
    <w:p w14:paraId="05F4355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（3）专用合同条款中约定的其它由于发包人原因引起的暂停施工。</w:t>
      </w:r>
    </w:p>
    <w:p w14:paraId="781D62A3">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12.3 监理人暂停施工指示</w:t>
      </w:r>
    </w:p>
    <w:p w14:paraId="2386B58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12.3.1 监理人认为有必要时，可向承包人作出暂停施工的指示，承包人应按监理人指示暂停施工。不论由于何种原因引起的暂停施工，暂停施工期间承包人应负责妥善保护工程并提供安全保障。</w:t>
      </w:r>
    </w:p>
    <w:p w14:paraId="2C9D35A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12.3.2 由于发包人的原因发生暂停施工的紧急情况，且监理人未及时下达暂停施工指示的，承包人可先暂停施工，并及时向监理人提出暂停施工的书面请求。监理人应在接到书面请求后的24小时内予以答复，逾期未答复的，视为同意承包人的暂停施工请求。</w:t>
      </w:r>
    </w:p>
    <w:p w14:paraId="42491AC9">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12.4 暂停施工后的复工</w:t>
      </w:r>
    </w:p>
    <w:p w14:paraId="735E2F8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12.4.1 暂停施工后，监理人应与发包人和承包人协商，采取有效措施积极消除暂停施工的影响。当工程具备复工条件时，监理人应立即向承包人发出复工通知。承包人收到复工通知后，应在监理人指定的期限内复工。</w:t>
      </w:r>
    </w:p>
    <w:p w14:paraId="6936330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12.4.2 承包人无故拖延和拒绝复工的，由此增加的费用和工期延误由承包人承担；因发包人原因无法按时复工的，承包人有权要求发包人延长工期和（或）增加费用，并支付合理利润。</w:t>
      </w:r>
    </w:p>
    <w:p w14:paraId="03EA06E8">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12.5 暂停施工持续56 天以上</w:t>
      </w:r>
    </w:p>
    <w:p w14:paraId="65F2326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12.5.1 监理人发出暂停施工指示后56 天内未向承包人发出复工通知，除了该项停工属于第12.1 款的情况外，承包人可向监理人提交书面通知，要求监理人在收到书面通知后28天内准许已暂停施工的工程或其中一部分工程继续施工。如监理人逾期不予批准，则承包人可以通知监理人，将工程受影响的部分视为按第15.1（l）款的可取消工作。如暂停施工影响到整个工程，可视为发包人违约，应按第22.2 款的规定办理。</w:t>
      </w:r>
    </w:p>
    <w:p w14:paraId="14CCB75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12.5.2 由于承包人责任引起的暂停施工，如承包人在收到监理人暂停施工指示后56 天内不认真采取有效的复工措施，造成工期延误，可视为承包人违约，应按第22.1 款的规定办理。</w:t>
      </w:r>
    </w:p>
    <w:p w14:paraId="0561DD85">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bookmarkStart w:id="12" w:name="_Toc265408502"/>
      <w:r>
        <w:rPr>
          <w:rFonts w:hint="eastAsia" w:ascii="宋体" w:hAnsi="宋体" w:eastAsia="宋体" w:cs="宋体"/>
          <w:b/>
          <w:bCs/>
          <w:sz w:val="21"/>
          <w:szCs w:val="21"/>
          <w:highlight w:val="none"/>
        </w:rPr>
        <w:t>13  工程质量</w:t>
      </w:r>
      <w:bookmarkEnd w:id="12"/>
    </w:p>
    <w:p w14:paraId="255B331A">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13.1 工程质量要求</w:t>
      </w:r>
    </w:p>
    <w:p w14:paraId="08036F8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13.1.1 工程质量验收按合同约定验收标准执行。</w:t>
      </w:r>
    </w:p>
    <w:p w14:paraId="40D329F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13.1.2 因承包人原因造成工程质量达不到合同约定验收标准的，监理人有权要求承包人返工直至符合合同要求为止，由此造成的费用增加和（或）工期延误由承包人承担。</w:t>
      </w:r>
    </w:p>
    <w:p w14:paraId="2C7DA55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13.1.3 因发包人原因造成工程质量达不到合同约定验收标准的，发包人应承担由于承包人返工造成的费用增加和（或）工期延误，并支付承包人合理利润。</w:t>
      </w:r>
    </w:p>
    <w:p w14:paraId="74D47100">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13.2 承包人的质量管理</w:t>
      </w:r>
    </w:p>
    <w:p w14:paraId="749BC95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13.2.1承包人应在施工场地设置专门的质量检查机构，配备专职质量检查人员，建立完善的质量检查制度。承包人应按技术标准和要求（合同技术条款）约定的内容和期限，编制工程质量保证措施文件，包括质量检查机构的组织和岗位责任、质量检查人员的组成、质量检查程序和实施细则等，提交监理人审批。监理人应在技术标准和要求（合同技术条款）约定的期限内批复承包人。</w:t>
      </w:r>
    </w:p>
    <w:p w14:paraId="4EDDF94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13.2.2 承包人应加强对施工人员的质量教育和技术培训，定期考核施工人员的劳动技能，严格执行规范和操作规程。</w:t>
      </w:r>
    </w:p>
    <w:p w14:paraId="1BD95425">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13.3 承包人的质量检查</w:t>
      </w:r>
    </w:p>
    <w:p w14:paraId="071CF85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承包人应按合同约定对材料、工程设备以及工程的所有部位及其施工工艺进行全过程的质量检查和检验，并作详细记录，编制工程质量报表，报送监理人审查。</w:t>
      </w:r>
    </w:p>
    <w:p w14:paraId="1FD97ED3">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13.4 监理人的质量检查</w:t>
      </w:r>
    </w:p>
    <w:p w14:paraId="75A14B3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监理人有权对工程的所有部位及其施工工艺、材料和工程设备进行检查和检验。承包人应为监理人的检查和检验提供方便，包括监理人到施工场地，或制造、加工地点，或合同约定的其他地方进行察看和查阅施工原始记录。承包人还应按监理人指示，进行施工场地取样试验、工程复核测量和设备性能检测，提供试验样品、提交试验报告和测量成果以及监理人要求进行的其他工作。监理人的检查和检验，不免除承包人按合同约定应负的责任。</w:t>
      </w:r>
    </w:p>
    <w:p w14:paraId="59188373">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13.5 工程隐蔽部位覆盖前的检查</w:t>
      </w:r>
    </w:p>
    <w:p w14:paraId="4E651E3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13.5.1 通知监理人检查</w:t>
      </w:r>
    </w:p>
    <w:p w14:paraId="5BD2976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经承包人自检确认的工程隐蔽部位具备覆盖条件后，承包人应通知监理人在约定的期限内检查。承包人的通知应附有自检记录和必要的检查资料。监理人应按时到场检查。经监理人检查确认质量符合隐蔽要求，并在检查记录上签字后，承包人才能进行覆盖。监理人检查确认质量不合格的，承包人应在监理人指示的时间内修整返工后，由监理人重新检查。</w:t>
      </w:r>
    </w:p>
    <w:p w14:paraId="3073497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13.5.2 监理人未到场检查</w:t>
      </w:r>
    </w:p>
    <w:p w14:paraId="46E92FF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监理人未按第13.5.l 款约定的时间进行检查的，除监理人另有指示外，承包人可自行完成覆盖工作，并作相应记录报送监理人，监理人应签字确认。监理人事后对检查记录有疑问的，可按第13.5.3 款的约定重新检查。</w:t>
      </w:r>
    </w:p>
    <w:p w14:paraId="2BB96B4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13.5.3 监理人重新检查</w:t>
      </w:r>
    </w:p>
    <w:p w14:paraId="5FECAC0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承包人按第13.5.1 款或第13.5.2 款覆盖工程隐蔽部位后，监理人对质量有疑问的，可要求承包人对已覆盖的部位进行钻孔探测或揭开重新检验，承包人应遵照执行，并在检验后重新覆盖恢复原状。经检验证明工程质量符合合同要求的，由发包人承担由此增加的费用和（或）工期延误，并支付承包人合理利润；经检验证明工程质量不符合合同要求的，由此增加的费用和（或）工期延误由承包人承担。</w:t>
      </w:r>
    </w:p>
    <w:p w14:paraId="60E0CA1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13.5.4 承包人私自覆盖</w:t>
      </w:r>
    </w:p>
    <w:p w14:paraId="3F4CBF3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承包人未通知监理人到场检查，私自将工程隐蔽部位覆盖的，监理人有权指示承包人钻孔探测或揭开检查，由此增加的费用和（或）工期延误由承包人承担。</w:t>
      </w:r>
    </w:p>
    <w:p w14:paraId="5AA7AFC6">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13.6 清除不合格工程</w:t>
      </w:r>
    </w:p>
    <w:p w14:paraId="3C0BAE3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13.6.1 承包人使用不合格材料、工程设备，或采用不适当的施工工艺，或施工不当，造成工程不合格的，监理人可以随时发出指示，要求承包人立即采取措施进行补救，直至达到合同要求的质量标准，由此增加的费用和（或）工期延误由承包人承担。</w:t>
      </w:r>
    </w:p>
    <w:p w14:paraId="7DCBBD7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13.6.2 由于发包人提供的材料或工程设备不合格造成的工程不合格，需要承包人采取措施补救的，发包人应承担由此增加的费用和（或）工期延误，并支付承包人合理利润。</w:t>
      </w:r>
    </w:p>
    <w:p w14:paraId="7B9C169E">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13.7 质量评定</w:t>
      </w:r>
    </w:p>
    <w:p w14:paraId="0497D93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13.7.1 发包人应组织承包人进行工程项目划分，并确定单位工程、主要分部工程、重要隐蔽单元工程和关键部位单元工程。</w:t>
      </w:r>
    </w:p>
    <w:p w14:paraId="1716DC9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13.7.2 工程实施过程中，单位工程、主要分部工程、重要隐蔽单元工程和关键部位单元工程的项目划分需要调整时，承包人应报发包人确认。</w:t>
      </w:r>
    </w:p>
    <w:p w14:paraId="4E20B84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13.7.3 承包人应在单元（工序）工程质量自评合格后，报监理人核定质量等级并签证认可。</w:t>
      </w:r>
    </w:p>
    <w:p w14:paraId="0FFB8A5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13.7.4 除专用合同条款另有约定外，承包人应在重要隐蔽单元工程和关键部位单元工程质量自评合格以及监理人抽检后，由监理人组织承包人等单位组成的联合小组，共同检查核定其质量等级并填写签证表。发包人按有关规定完成质量结论报工程质量监督机构核备手续。</w:t>
      </w:r>
    </w:p>
    <w:p w14:paraId="633E6DA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13.7.5 承包人应在分部工程质量自评合格后，报监理人复核和发包人认定。发包人负责按有关规定完成分部工程质量结论报工程质量监督机构核备（核定）手续。</w:t>
      </w:r>
    </w:p>
    <w:p w14:paraId="2AB7FF0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13.7.6 承包人应在单位工程质量自评合格后，报监理人复核和发包人认定。发包人负责按有关规定完成单位工程质量结论报工程质量监督机构核定手续。</w:t>
      </w:r>
    </w:p>
    <w:p w14:paraId="0D52B69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13.7.7 除专用合同条款另有约定外，工程质量等级分为合格和优良，应分别达到约定的标准。</w:t>
      </w:r>
    </w:p>
    <w:p w14:paraId="604AEAFD">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13.8 质量事故处理</w:t>
      </w:r>
    </w:p>
    <w:p w14:paraId="1ECD797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13.8.1 发生质量事故时，承包人应及时向发包人和监理人报告。</w:t>
      </w:r>
    </w:p>
    <w:p w14:paraId="112689D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13.8.2 质量事故调查处理由发包人按相关规定履行手续，承包人应配合。</w:t>
      </w:r>
    </w:p>
    <w:p w14:paraId="253CE13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13.8.3 承包人应对质量缺陷进行备案。发包人委托监理人对质量缺陷备案情况进行监督检查并履行相关手续。</w:t>
      </w:r>
    </w:p>
    <w:p w14:paraId="036D9F6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sz w:val="21"/>
          <w:szCs w:val="21"/>
          <w:highlight w:val="none"/>
        </w:rPr>
        <w:t>13.8.4 除专用合同条款另有约定外，工程竣工验收时，发包人负责向竣工验收委员会汇报并提交历次质量缺陷处理的备案资料。</w:t>
      </w:r>
    </w:p>
    <w:p w14:paraId="7922E2D9">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bookmarkStart w:id="13" w:name="_Toc265408503"/>
      <w:r>
        <w:rPr>
          <w:rFonts w:hint="eastAsia" w:ascii="宋体" w:hAnsi="宋体" w:eastAsia="宋体" w:cs="宋体"/>
          <w:b/>
          <w:bCs/>
          <w:sz w:val="21"/>
          <w:szCs w:val="21"/>
          <w:highlight w:val="none"/>
        </w:rPr>
        <w:t>14  试验和检验</w:t>
      </w:r>
      <w:bookmarkEnd w:id="13"/>
    </w:p>
    <w:p w14:paraId="5FE0EC17">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14.1 材料、工程设备和工程的试验和检验</w:t>
      </w:r>
    </w:p>
    <w:p w14:paraId="3EDEC19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14.1.1 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0DE2BB5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14.1.2 监理人未按合同约定派员参加试验和检验的，除监理人另有指示外，承包人可自行试验和检验，并应立即将试验和检验结果报送监理人，监理人应签字确认。</w:t>
      </w:r>
    </w:p>
    <w:p w14:paraId="4807744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14.1.3 监理人对承包人的试验和检验结果有疑问的，或为查清承包人试验和检验成果的可靠性要求承包人重新试验和检验的，可按合同约定由监理人与承包人共同进行。重新试验和检验的结果证明该项材料、工程设备或工程的质量不符合合同要求的，由此增加的费用和（或）工期延误由承包人承担；重新试验和检验结果证明该项材料、工程设备和工程符合合同要求，由发包人承担由此增加的费用和（或）工期延误，并支付承包人合理利润。</w:t>
      </w:r>
    </w:p>
    <w:p w14:paraId="0CCA02E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14.1.4 承包人应按相关规定和标准对水泥、钢材等原材料与中间产品质量进行检验，并报监理人复核。</w:t>
      </w:r>
    </w:p>
    <w:p w14:paraId="72BEDB5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14.1.5 除专用合同条款另有约定外，水工金属结构、启闭机及机电产品进场后，监理人组织发包人按合同进行交货检查和验收。安装前，承包人应检查产品是否有出厂合格证、设备安装说明书及有关技术文件，对在运输和存放过程中发生的变形、受潮、损坏等问题应作好记录，并进行妥善处理。</w:t>
      </w:r>
    </w:p>
    <w:p w14:paraId="042C176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14.1.6 对专用合同条款约定的试块、试件及有关材料，监理人实行见证取样。见证取样资料由承包人制备，记录应真实齐全，监理人、承包人等参与见证取样人员均应在相关文件上签字。</w:t>
      </w:r>
    </w:p>
    <w:p w14:paraId="54089CC9">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14.2 现场材料试验</w:t>
      </w:r>
    </w:p>
    <w:p w14:paraId="39C407C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14.2.1 承包人根据合同约定或监理人指示进行的现场材料试验，应由承包人提供试验场所、试验人员、试验设备器材以及其他必要的试验条件。</w:t>
      </w:r>
    </w:p>
    <w:p w14:paraId="7250D8D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14.2.2 监理人在必要时可以使用承包人的试验场所、试验设备器材以及其他试验条件，进行以工程质量检查为目的的复核性材料试验，承包人应予以协助。</w:t>
      </w:r>
    </w:p>
    <w:p w14:paraId="12C7BDBC">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14.3 现场工艺试验</w:t>
      </w:r>
    </w:p>
    <w:p w14:paraId="07E96BA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承包人应按合同约定或监理人指示进行现场工艺试验。对大型的现场工艺试验，监理人认为必要时，应由承包人根据监理人提出的工艺试验要求，编制工艺试验措施计划，报送监理人审批。</w:t>
      </w:r>
    </w:p>
    <w:p w14:paraId="13E3D26F">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bookmarkStart w:id="14" w:name="_Toc265408504"/>
      <w:r>
        <w:rPr>
          <w:rFonts w:hint="eastAsia" w:ascii="宋体" w:hAnsi="宋体" w:eastAsia="宋体" w:cs="宋体"/>
          <w:b/>
          <w:bCs/>
          <w:sz w:val="21"/>
          <w:szCs w:val="21"/>
          <w:highlight w:val="none"/>
        </w:rPr>
        <w:t>15  变更</w:t>
      </w:r>
      <w:bookmarkEnd w:id="14"/>
    </w:p>
    <w:p w14:paraId="2A1290E0">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15.1 变更的范围和内容</w:t>
      </w:r>
    </w:p>
    <w:p w14:paraId="7BE5246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在履行合同中发生以下情形之一，应按照本款规定进行变更。</w:t>
      </w:r>
    </w:p>
    <w:p w14:paraId="1095B71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（1）取消合同中任何一项工作，但被取消的工作不能转由发包人或其它人实施；</w:t>
      </w:r>
    </w:p>
    <w:p w14:paraId="0A8BB8B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（2）改变合同中任何一项工作的质量或其它特性；</w:t>
      </w:r>
    </w:p>
    <w:p w14:paraId="36A8C7D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（3）改变合同工程的基线、标高、位置或尺寸；</w:t>
      </w:r>
    </w:p>
    <w:p w14:paraId="1F92F65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（4）改变合同中任何一项工作的施工时间或改变已批准的施工工艺或顺序；</w:t>
      </w:r>
    </w:p>
    <w:p w14:paraId="3E90EA8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（5）为完成工程需要追加的额外工作；</w:t>
      </w:r>
    </w:p>
    <w:p w14:paraId="1076357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（6）增加或减少专用合同条款中约定的关键项目工程量超过其工程总量的一定数量百分比。</w:t>
      </w:r>
    </w:p>
    <w:p w14:paraId="3EB76F4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上述第（1）～（6）目的变更内容引起工程施工组织和进度计划发生实质性变动和影响其原定的价格时，才予调整该项目的单价。第（6）目情形下单价调整方式在专用合同条款中约定。</w:t>
      </w:r>
    </w:p>
    <w:p w14:paraId="6FAADC60">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15.2 变更权</w:t>
      </w:r>
    </w:p>
    <w:p w14:paraId="4A5974A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在履行合同过程中，经发包人同意，监理人可按第15.3 款约定的变更程序向承包人作出变更指示，承包人应遵照执行。没有监理人的变更指示，承包人不得擅自变更。</w:t>
      </w:r>
    </w:p>
    <w:p w14:paraId="284BB05A">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15.3 变更程序</w:t>
      </w:r>
    </w:p>
    <w:p w14:paraId="20686A5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15.3.1变更的提出</w:t>
      </w:r>
    </w:p>
    <w:p w14:paraId="71303C1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（1）在合同履行过程中，可能发生第15.1 款约定情形的，监理人可向承包人发出变更意向书。变更意向书应说明变更的具体内容和发包人对变更的时间要求，并附必要的图纸和相关资料。变更意向书应要求承包人提交包括拟实施变更工作的计划、措施和竣工时间等内容的实施方案。发包人同意承包人根据变更意向书要求提交的变更实施方案的，由监理人按第15.3.3 款约定发出变更指示。</w:t>
      </w:r>
    </w:p>
    <w:p w14:paraId="7B3125E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（2）在合同履行过程中，发生第15.1 款约定情形的，监理人应按照第15.3.3 款约定向承包人发出变更指示。</w:t>
      </w:r>
    </w:p>
    <w:p w14:paraId="7FDD106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（3）承包人收到监理人按合同约定发出的图纸和文件，经检查认为其中存在第15.1 款约定情形的，可向监理人提出书面变更建议。变更建议应阐明要求变更的依据，并附必要的图纸和说明。监理人收到承包人书面建议后，应与发包人共同研究，确认存在变更的，应在收到承包人书面建议后的14 天内作出变更指示。经研究后不同意作为变更的，应由监理人书面答复承包人。</w:t>
      </w:r>
    </w:p>
    <w:p w14:paraId="4CFD640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（4）若承包人收到监理人的变更意向书后认为难以实施此项变更，应立即通知监理人，说明原因并附详细依据。监理人与承包人和发包人协商后确定撤销、改变或不改变原变更意向书。</w:t>
      </w:r>
    </w:p>
    <w:p w14:paraId="44B458C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15.3.2 变更估价</w:t>
      </w:r>
    </w:p>
    <w:p w14:paraId="2B3F156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（l）除专用合同条款对期限另有约定外，承包人应在收到变更指示或变更意向书后的14 天内，向监理人提交变更报价书，报价内容应根据第15.4 款约定的估价原则，详细开列变更工作的价格组成及其依据，并附必要的施工方法说明和有关图纸。</w:t>
      </w:r>
    </w:p>
    <w:p w14:paraId="1A7CB1D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（2）变更工作影响工期的，承包人应提出调整工期的具体细节。监理人认为有必要时，可要求承包人提交要求提前或延长工期的施工进度计划及相应施工措施等详细资料。</w:t>
      </w:r>
    </w:p>
    <w:p w14:paraId="327528B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（3）除专用合同条款对期限另有约定外，监理人收到承包人变更报价书后的14 天内，根据第15.4 款约定的估价原则，按照第3.5 款商定或确定变更价格。</w:t>
      </w:r>
    </w:p>
    <w:p w14:paraId="5DC8FC6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15.3.3 变更指示</w:t>
      </w:r>
    </w:p>
    <w:p w14:paraId="1462F5D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（l）变更指示只能由监理人发出。</w:t>
      </w:r>
    </w:p>
    <w:p w14:paraId="7368FCA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（2）变更指示应说明变更的目的、范围、变更内容以及变更的工程量及其进度和技术要求，并附有关图纸和文件。承包人收到变更指示后，应按变更指示进行变更工作。</w:t>
      </w:r>
    </w:p>
    <w:p w14:paraId="74533A4F">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15.4 变更的估价原则</w:t>
      </w:r>
    </w:p>
    <w:p w14:paraId="7327691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除专用合同条款另有约定外，因变更引起的价格调整按照本款约定处理。15.4.1 己标价工程量清单中有适用于变更工作的子目的，采用该子目的单价。</w:t>
      </w:r>
    </w:p>
    <w:p w14:paraId="4A908C3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15.4.2 己标价工程量清单中无适用于变更工作的子目，但有类似子目的，可在合理范围内参照类似子目的单价，由监理人按第3.5 款商定或确定变更工作的单价。</w:t>
      </w:r>
    </w:p>
    <w:p w14:paraId="007DA59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15.4.3 己标价工程量清单中无适用或类似子目的单价，可按照成本加利润的原则，由监理人按第3. 5 款商定或确定变更工作的单价。</w:t>
      </w:r>
    </w:p>
    <w:p w14:paraId="7E29045E">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15.5 承包人的合理化建议</w:t>
      </w:r>
    </w:p>
    <w:p w14:paraId="1E299D5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15.5.1 在履行合同过程中，承包人对发包人提供的图纸、技术要求以及其他方面提出的合理化建议，均应以书面形式提交监理人。合理化建议书的内容应包括建议工作的详细说明、进度计划和效益以及与其他工作的协调等，并附必要的设计文件。监理人应与发包人协商是否采纳建议。建议被采纳并构成变更的，应按第15.3.3款约定向承包人发出变更指示。</w:t>
      </w:r>
    </w:p>
    <w:p w14:paraId="02D906C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15.5.2 承包人提出的合理化建议降低了合同价格、缩短了工期或者提高了工程经济效益的，发包人可按国家有关规定在专用合同条款中约定给予奖励。</w:t>
      </w:r>
    </w:p>
    <w:p w14:paraId="09FF4E0A">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15.6 暂列金额</w:t>
      </w:r>
    </w:p>
    <w:p w14:paraId="25E9507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暂列金额只能按照监理人的指示使用，并对合同价格进行相应调整。</w:t>
      </w:r>
    </w:p>
    <w:p w14:paraId="14C1B6FB">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15.7 计日工</w:t>
      </w:r>
    </w:p>
    <w:p w14:paraId="5570F85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15.7.1 发包人认为有必要时，由监理人通知承包人以计日工方式实施变更的零星工作。其价款按列入已标价工程量清单中的计日工计价子目及其单价进行计算．, </w:t>
      </w:r>
    </w:p>
    <w:p w14:paraId="522520A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15.7.2 采用计日工计价的任何一项变更工作，应从暂列金额中支付，承包人应在该项变更的实施过程中，每天提交以下报表和有关凭证报送监理人审批：</w:t>
      </w:r>
    </w:p>
    <w:p w14:paraId="444C405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（l）工作名称、内容和数量；</w:t>
      </w:r>
    </w:p>
    <w:p w14:paraId="2E72689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（2）投入该工作所有人员的姓名、工种、级别和耗用工时；</w:t>
      </w:r>
    </w:p>
    <w:p w14:paraId="60E2429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（3）投入该工作的材料类别和数量；</w:t>
      </w:r>
    </w:p>
    <w:p w14:paraId="1998E45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（4）投入该工作的施工设备型号、台数和耗用台时；</w:t>
      </w:r>
    </w:p>
    <w:p w14:paraId="2990C00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（5）监理人要求提交的其他资料和凭证。</w:t>
      </w:r>
    </w:p>
    <w:p w14:paraId="7AC9BEA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15.7.3 计日工由承包人汇总后，按第17.3.2 款的约定列入进度付款申请单，由监理人复核并经发包人同意后列入进度付款。</w:t>
      </w:r>
    </w:p>
    <w:p w14:paraId="312FC608">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15.8 暂估价</w:t>
      </w:r>
    </w:p>
    <w:p w14:paraId="3C300BC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15.8.1 发包人在工程量清单中给定暂估价的材料、工程设备和专业工程属于依法必须招标的范围并达到规定的规模标准的，若承包人不具备承担暂估价项目的能力或具备承担暂估价项目的能力但明确不参与投标的，由发包人和承包人组织招标；若承包人具备承担暂估价项目的能力且明确参与投标的，由发包人组织招标。暂估价项目中标金额与工程量清单中所列金额差以及相应的税金等其它费用列入合同价格。必须招标的暂估价项目招标组织形式、发包人和承包人组织招标时双方的权利义务关系在专用合同条款中约定。</w:t>
      </w:r>
    </w:p>
    <w:p w14:paraId="7D90FAA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15.8.2 发包人在工程量清单中给定暂估价的材料和工程设备不属于依法必须招标的范围或未达到规定的规模标准的，应由承包人按第5.1 款的约定提供。经监理人确认的材料、工程设备的价格与工程量清单中所列的暂估价的金额差以及相应的税金等其他费用列入合同价格。</w:t>
      </w:r>
    </w:p>
    <w:p w14:paraId="417764F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15.8.3发包人在工程量清单中给定暂估价的专业工程不属于依法必须招标的范围或未达到规定的规模标准的，由监理人按照第15.4 款进行估价，但专用合同条款另有约定的除外。经估价的专业工程与工程量清单中所列的暂估价的金额差以及相应的税金等其他费用列入合同价格。</w:t>
      </w:r>
    </w:p>
    <w:p w14:paraId="0679AAF3">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bookmarkStart w:id="15" w:name="_Toc265408505"/>
      <w:r>
        <w:rPr>
          <w:rFonts w:hint="eastAsia" w:ascii="宋体" w:hAnsi="宋体" w:eastAsia="宋体" w:cs="宋体"/>
          <w:b/>
          <w:bCs/>
          <w:sz w:val="21"/>
          <w:szCs w:val="21"/>
          <w:highlight w:val="none"/>
        </w:rPr>
        <w:t>16  价格调整</w:t>
      </w:r>
      <w:bookmarkEnd w:id="15"/>
    </w:p>
    <w:p w14:paraId="412DF116">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16.1 物价波动引起的价格调整</w:t>
      </w:r>
    </w:p>
    <w:p w14:paraId="3D2B9D8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由于物价波动原因引起合同价格需要调整的，其价格调整方式在专用合同条款中约定。</w:t>
      </w:r>
    </w:p>
    <w:p w14:paraId="40F9075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16.1.1 采用价格指数调整价格差额</w:t>
      </w:r>
    </w:p>
    <w:p w14:paraId="34BF3AD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16.1.1.1 价格调整公式</w:t>
      </w:r>
    </w:p>
    <w:p w14:paraId="3B2D472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因人工、材料和设备等价格波动影响合同价格时，根据</w:t>
      </w:r>
      <w:r>
        <w:rPr>
          <w:rFonts w:hint="eastAsia" w:ascii="宋体" w:hAnsi="宋体" w:eastAsia="宋体" w:cs="宋体"/>
          <w:sz w:val="21"/>
          <w:szCs w:val="21"/>
          <w:highlight w:val="none"/>
          <w:lang w:eastAsia="zh-CN"/>
        </w:rPr>
        <w:t>开标一览表</w:t>
      </w:r>
      <w:r>
        <w:rPr>
          <w:rFonts w:hint="eastAsia" w:ascii="宋体" w:hAnsi="宋体" w:eastAsia="宋体" w:cs="宋体"/>
          <w:sz w:val="21"/>
          <w:szCs w:val="21"/>
          <w:highlight w:val="none"/>
        </w:rPr>
        <w:t>中的价格指数和权重表约定的数据，按以下公式计算差额并调整合同价格。</w:t>
      </w:r>
    </w:p>
    <w:p w14:paraId="52E3B793">
      <w:pPr>
        <w:pageBreakBefore w:val="0"/>
        <w:widowControl w:val="0"/>
        <w:kinsoku/>
        <w:wordWrap/>
        <w:overflowPunct/>
        <w:topLinePunct w:val="0"/>
        <w:bidi w:val="0"/>
        <w:snapToGrid/>
        <w:spacing w:line="312" w:lineRule="auto"/>
        <w:ind w:firstLine="2310" w:firstLineChars="1100"/>
        <w:textAlignment w:val="auto"/>
        <w:rPr>
          <w:rFonts w:hint="eastAsia" w:ascii="宋体" w:hAnsi="宋体" w:eastAsia="宋体" w:cs="宋体"/>
          <w:sz w:val="21"/>
          <w:szCs w:val="21"/>
          <w:highlight w:val="none"/>
        </w:rPr>
      </w:pPr>
    </w:p>
    <w:p w14:paraId="23CE5EC0">
      <w:pPr>
        <w:pageBreakBefore w:val="0"/>
        <w:widowControl w:val="0"/>
        <w:kinsoku/>
        <w:wordWrap/>
        <w:overflowPunct/>
        <w:topLinePunct w:val="0"/>
        <w:bidi w:val="0"/>
        <w:snapToGrid/>
        <w:spacing w:line="312" w:lineRule="auto"/>
        <w:ind w:firstLine="2310" w:firstLineChars="11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F</w:t>
      </w:r>
      <w:r>
        <w:rPr>
          <w:rFonts w:hint="eastAsia" w:ascii="宋体" w:hAnsi="宋体" w:eastAsia="宋体" w:cs="宋体"/>
          <w:sz w:val="21"/>
          <w:szCs w:val="21"/>
          <w:highlight w:val="none"/>
          <w:vertAlign w:val="subscript"/>
        </w:rPr>
        <w:t xml:space="preserve">t1        </w:t>
      </w:r>
      <w:r>
        <w:rPr>
          <w:rFonts w:hint="eastAsia" w:ascii="宋体" w:hAnsi="宋体" w:eastAsia="宋体" w:cs="宋体"/>
          <w:sz w:val="21"/>
          <w:szCs w:val="21"/>
          <w:highlight w:val="none"/>
        </w:rPr>
        <w:t>F</w:t>
      </w:r>
      <w:r>
        <w:rPr>
          <w:rFonts w:hint="eastAsia" w:ascii="宋体" w:hAnsi="宋体" w:eastAsia="宋体" w:cs="宋体"/>
          <w:sz w:val="21"/>
          <w:szCs w:val="21"/>
          <w:highlight w:val="none"/>
          <w:vertAlign w:val="subscript"/>
        </w:rPr>
        <w:t xml:space="preserve">t2         </w:t>
      </w:r>
      <w:r>
        <w:rPr>
          <w:rFonts w:hint="eastAsia" w:ascii="宋体" w:hAnsi="宋体" w:eastAsia="宋体" w:cs="宋体"/>
          <w:sz w:val="21"/>
          <w:szCs w:val="21"/>
          <w:highlight w:val="none"/>
        </w:rPr>
        <w:t>F</w:t>
      </w:r>
      <w:r>
        <w:rPr>
          <w:rFonts w:hint="eastAsia" w:ascii="宋体" w:hAnsi="宋体" w:eastAsia="宋体" w:cs="宋体"/>
          <w:sz w:val="21"/>
          <w:szCs w:val="21"/>
          <w:highlight w:val="none"/>
          <w:vertAlign w:val="subscript"/>
        </w:rPr>
        <w:t xml:space="preserve">t3              </w:t>
      </w:r>
      <w:r>
        <w:rPr>
          <w:rFonts w:hint="eastAsia" w:ascii="宋体" w:hAnsi="宋体" w:eastAsia="宋体" w:cs="宋体"/>
          <w:sz w:val="21"/>
          <w:szCs w:val="21"/>
          <w:highlight w:val="none"/>
        </w:rPr>
        <w:t>F</w:t>
      </w:r>
      <w:r>
        <w:rPr>
          <w:rFonts w:hint="eastAsia" w:ascii="宋体" w:hAnsi="宋体" w:eastAsia="宋体" w:cs="宋体"/>
          <w:sz w:val="21"/>
          <w:szCs w:val="21"/>
          <w:highlight w:val="none"/>
          <w:vertAlign w:val="subscript"/>
        </w:rPr>
        <w:t>tn</w:t>
      </w:r>
    </w:p>
    <w:p w14:paraId="5C506632">
      <w:pPr>
        <w:pageBreakBefore w:val="0"/>
        <w:widowControl w:val="0"/>
        <w:numPr>
          <w:ilvl w:val="0"/>
          <w:numId w:val="2"/>
        </w:numPr>
        <w:kinsoku/>
        <w:wordWrap/>
        <w:overflowPunct/>
        <w:topLinePunct w:val="0"/>
        <w:bidi w:val="0"/>
        <w:snapToGrid/>
        <w:spacing w:line="312"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P=P</w:t>
      </w:r>
      <w:r>
        <w:rPr>
          <w:rFonts w:hint="eastAsia" w:ascii="宋体" w:hAnsi="宋体" w:eastAsia="宋体" w:cs="宋体"/>
          <w:sz w:val="21"/>
          <w:szCs w:val="21"/>
          <w:highlight w:val="none"/>
          <w:vertAlign w:val="subscript"/>
        </w:rPr>
        <w:t>O</w:t>
      </w:r>
      <w:r>
        <w:rPr>
          <w:rFonts w:hint="eastAsia" w:ascii="宋体" w:hAnsi="宋体" w:eastAsia="宋体" w:cs="宋体"/>
          <w:sz w:val="21"/>
          <w:szCs w:val="21"/>
          <w:highlight w:val="none"/>
        </w:rPr>
        <w:t>［A+｛B</w:t>
      </w:r>
      <w:r>
        <w:rPr>
          <w:rFonts w:hint="eastAsia" w:ascii="宋体" w:hAnsi="宋体" w:eastAsia="宋体" w:cs="宋体"/>
          <w:sz w:val="21"/>
          <w:szCs w:val="21"/>
          <w:highlight w:val="none"/>
          <w:vertAlign w:val="subscript"/>
        </w:rPr>
        <w:t>1</w:t>
      </w:r>
      <w:r>
        <w:rPr>
          <w:rFonts w:hint="eastAsia" w:ascii="宋体" w:hAnsi="宋体" w:eastAsia="宋体" w:cs="宋体"/>
          <w:sz w:val="21"/>
          <w:szCs w:val="21"/>
          <w:highlight w:val="none"/>
        </w:rPr>
        <w:t>×—＋B</w:t>
      </w:r>
      <w:r>
        <w:rPr>
          <w:rFonts w:hint="eastAsia" w:ascii="宋体" w:hAnsi="宋体" w:eastAsia="宋体" w:cs="宋体"/>
          <w:sz w:val="21"/>
          <w:szCs w:val="21"/>
          <w:highlight w:val="none"/>
          <w:vertAlign w:val="subscript"/>
        </w:rPr>
        <w:t>2</w:t>
      </w:r>
      <w:r>
        <w:rPr>
          <w:rFonts w:hint="eastAsia" w:ascii="宋体" w:hAnsi="宋体" w:eastAsia="宋体" w:cs="宋体"/>
          <w:sz w:val="21"/>
          <w:szCs w:val="21"/>
          <w:highlight w:val="none"/>
        </w:rPr>
        <w:t>×—＋B</w:t>
      </w:r>
      <w:r>
        <w:rPr>
          <w:rFonts w:hint="eastAsia" w:ascii="宋体" w:hAnsi="宋体" w:eastAsia="宋体" w:cs="宋体"/>
          <w:sz w:val="21"/>
          <w:szCs w:val="21"/>
          <w:highlight w:val="none"/>
          <w:vertAlign w:val="subscript"/>
        </w:rPr>
        <w:t>3</w:t>
      </w:r>
      <w:r>
        <w:rPr>
          <w:rFonts w:hint="eastAsia" w:ascii="宋体" w:hAnsi="宋体" w:eastAsia="宋体" w:cs="宋体"/>
          <w:sz w:val="21"/>
          <w:szCs w:val="21"/>
          <w:highlight w:val="none"/>
        </w:rPr>
        <w:t>×—＋…＋B</w:t>
      </w:r>
      <w:r>
        <w:rPr>
          <w:rFonts w:hint="eastAsia" w:ascii="宋体" w:hAnsi="宋体" w:eastAsia="宋体" w:cs="宋体"/>
          <w:sz w:val="21"/>
          <w:szCs w:val="21"/>
          <w:highlight w:val="none"/>
          <w:vertAlign w:val="subscript"/>
        </w:rPr>
        <w:t>n</w:t>
      </w:r>
      <w:r>
        <w:rPr>
          <w:rFonts w:hint="eastAsia" w:ascii="宋体" w:hAnsi="宋体" w:eastAsia="宋体" w:cs="宋体"/>
          <w:sz w:val="21"/>
          <w:szCs w:val="21"/>
          <w:highlight w:val="none"/>
        </w:rPr>
        <w:t xml:space="preserve">×—｝－1］ </w:t>
      </w:r>
    </w:p>
    <w:p w14:paraId="398D8B0A">
      <w:pPr>
        <w:pageBreakBefore w:val="0"/>
        <w:widowControl w:val="0"/>
        <w:kinsoku/>
        <w:wordWrap/>
        <w:overflowPunct/>
        <w:topLinePunct w:val="0"/>
        <w:bidi w:val="0"/>
        <w:snapToGrid/>
        <w:spacing w:line="312" w:lineRule="auto"/>
        <w:ind w:left="420" w:leftChars="200" w:firstLine="1890" w:firstLineChars="9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F</w:t>
      </w:r>
      <w:r>
        <w:rPr>
          <w:rFonts w:hint="eastAsia" w:ascii="宋体" w:hAnsi="宋体" w:eastAsia="宋体" w:cs="宋体"/>
          <w:sz w:val="21"/>
          <w:szCs w:val="21"/>
          <w:highlight w:val="none"/>
          <w:vertAlign w:val="subscript"/>
        </w:rPr>
        <w:t xml:space="preserve">01       </w:t>
      </w:r>
      <w:r>
        <w:rPr>
          <w:rFonts w:hint="eastAsia" w:ascii="宋体" w:hAnsi="宋体" w:eastAsia="宋体" w:cs="宋体"/>
          <w:sz w:val="21"/>
          <w:szCs w:val="21"/>
          <w:highlight w:val="none"/>
        </w:rPr>
        <w:t>F</w:t>
      </w:r>
      <w:r>
        <w:rPr>
          <w:rFonts w:hint="eastAsia" w:ascii="宋体" w:hAnsi="宋体" w:eastAsia="宋体" w:cs="宋体"/>
          <w:sz w:val="21"/>
          <w:szCs w:val="21"/>
          <w:highlight w:val="none"/>
          <w:vertAlign w:val="subscript"/>
        </w:rPr>
        <w:t xml:space="preserve">02      </w:t>
      </w:r>
      <w:r>
        <w:rPr>
          <w:rFonts w:hint="eastAsia" w:ascii="宋体" w:hAnsi="宋体" w:eastAsia="宋体" w:cs="宋体"/>
          <w:sz w:val="21"/>
          <w:szCs w:val="21"/>
          <w:highlight w:val="none"/>
        </w:rPr>
        <w:t>F</w:t>
      </w:r>
      <w:r>
        <w:rPr>
          <w:rFonts w:hint="eastAsia" w:ascii="宋体" w:hAnsi="宋体" w:eastAsia="宋体" w:cs="宋体"/>
          <w:sz w:val="21"/>
          <w:szCs w:val="21"/>
          <w:highlight w:val="none"/>
          <w:vertAlign w:val="subscript"/>
        </w:rPr>
        <w:t xml:space="preserve">03          </w:t>
      </w:r>
      <w:r>
        <w:rPr>
          <w:rFonts w:hint="eastAsia" w:ascii="宋体" w:hAnsi="宋体" w:eastAsia="宋体" w:cs="宋体"/>
          <w:sz w:val="21"/>
          <w:szCs w:val="21"/>
          <w:highlight w:val="none"/>
        </w:rPr>
        <w:t>F</w:t>
      </w:r>
      <w:r>
        <w:rPr>
          <w:rFonts w:hint="eastAsia" w:ascii="宋体" w:hAnsi="宋体" w:eastAsia="宋体" w:cs="宋体"/>
          <w:sz w:val="21"/>
          <w:szCs w:val="21"/>
          <w:highlight w:val="none"/>
          <w:vertAlign w:val="subscript"/>
        </w:rPr>
        <w:t>0n</w:t>
      </w:r>
    </w:p>
    <w:p w14:paraId="7298FF2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式中：△ P 一需调整的价格差额；</w:t>
      </w:r>
    </w:p>
    <w:p w14:paraId="03CF2E1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P</w:t>
      </w:r>
      <w:r>
        <w:rPr>
          <w:rFonts w:hint="eastAsia" w:ascii="宋体" w:hAnsi="宋体" w:eastAsia="宋体" w:cs="宋体"/>
          <w:sz w:val="21"/>
          <w:szCs w:val="21"/>
          <w:highlight w:val="none"/>
          <w:vertAlign w:val="subscript"/>
        </w:rPr>
        <w:t>O</w:t>
      </w:r>
      <w:r>
        <w:rPr>
          <w:rFonts w:hint="eastAsia" w:ascii="宋体" w:hAnsi="宋体" w:eastAsia="宋体" w:cs="宋体"/>
          <w:sz w:val="21"/>
          <w:szCs w:val="21"/>
          <w:highlight w:val="none"/>
        </w:rPr>
        <w:t>——第17.3.3 款、第17.5 .2 款和第17.6.2 款约定的付款证书中承包人应得到的己完成工程量的金额。此项金额应不包括价格调整、不计质量保证金的扣留和支付、预付款的支付和扣回。第15条约定的变更及其他金额已按现行价格计价的，也不计在内；</w:t>
      </w:r>
    </w:p>
    <w:p w14:paraId="25263DC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A ---定值权重（即不调部分的权重）； </w:t>
      </w:r>
    </w:p>
    <w:p w14:paraId="48D16E5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B</w:t>
      </w:r>
      <w:r>
        <w:rPr>
          <w:rFonts w:hint="eastAsia" w:ascii="宋体" w:hAnsi="宋体" w:eastAsia="宋体" w:cs="宋体"/>
          <w:sz w:val="21"/>
          <w:szCs w:val="21"/>
          <w:highlight w:val="none"/>
          <w:vertAlign w:val="subscript"/>
        </w:rPr>
        <w:t>1</w:t>
      </w:r>
      <w:r>
        <w:rPr>
          <w:rFonts w:hint="eastAsia" w:ascii="宋体" w:hAnsi="宋体" w:eastAsia="宋体" w:cs="宋体"/>
          <w:sz w:val="21"/>
          <w:szCs w:val="21"/>
          <w:highlight w:val="none"/>
        </w:rPr>
        <w:t>；B</w:t>
      </w:r>
      <w:r>
        <w:rPr>
          <w:rFonts w:hint="eastAsia" w:ascii="宋体" w:hAnsi="宋体" w:eastAsia="宋体" w:cs="宋体"/>
          <w:sz w:val="21"/>
          <w:szCs w:val="21"/>
          <w:highlight w:val="none"/>
          <w:vertAlign w:val="subscript"/>
        </w:rPr>
        <w:t>2</w:t>
      </w:r>
      <w:r>
        <w:rPr>
          <w:rFonts w:hint="eastAsia" w:ascii="宋体" w:hAnsi="宋体" w:eastAsia="宋体" w:cs="宋体"/>
          <w:sz w:val="21"/>
          <w:szCs w:val="21"/>
          <w:highlight w:val="none"/>
        </w:rPr>
        <w:t>；B</w:t>
      </w:r>
      <w:r>
        <w:rPr>
          <w:rFonts w:hint="eastAsia" w:ascii="宋体" w:hAnsi="宋体" w:eastAsia="宋体" w:cs="宋体"/>
          <w:sz w:val="21"/>
          <w:szCs w:val="21"/>
          <w:highlight w:val="none"/>
          <w:vertAlign w:val="subscript"/>
        </w:rPr>
        <w:t>3</w:t>
      </w:r>
      <w:r>
        <w:rPr>
          <w:rFonts w:hint="eastAsia" w:ascii="宋体" w:hAnsi="宋体" w:eastAsia="宋体" w:cs="宋体"/>
          <w:sz w:val="21"/>
          <w:szCs w:val="21"/>
          <w:highlight w:val="none"/>
        </w:rPr>
        <w:t>；……B</w:t>
      </w:r>
      <w:r>
        <w:rPr>
          <w:rFonts w:hint="eastAsia" w:ascii="宋体" w:hAnsi="宋体" w:eastAsia="宋体" w:cs="宋体"/>
          <w:sz w:val="21"/>
          <w:szCs w:val="21"/>
          <w:highlight w:val="none"/>
          <w:vertAlign w:val="subscript"/>
        </w:rPr>
        <w:t>n</w:t>
      </w:r>
      <w:r>
        <w:rPr>
          <w:rFonts w:hint="eastAsia" w:ascii="宋体" w:hAnsi="宋体" w:eastAsia="宋体" w:cs="宋体"/>
          <w:sz w:val="21"/>
          <w:szCs w:val="21"/>
          <w:highlight w:val="none"/>
        </w:rPr>
        <w:t>---各可调因子的变值权重（即可调部分的权重）为各可调因子在投标函投标总报价中所占的比例；</w:t>
      </w:r>
    </w:p>
    <w:p w14:paraId="5899075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F</w:t>
      </w:r>
      <w:r>
        <w:rPr>
          <w:rFonts w:hint="eastAsia" w:ascii="宋体" w:hAnsi="宋体" w:eastAsia="宋体" w:cs="宋体"/>
          <w:sz w:val="21"/>
          <w:szCs w:val="21"/>
          <w:highlight w:val="none"/>
          <w:vertAlign w:val="subscript"/>
        </w:rPr>
        <w:t>t1</w:t>
      </w:r>
      <w:r>
        <w:rPr>
          <w:rFonts w:hint="eastAsia" w:ascii="宋体" w:hAnsi="宋体" w:eastAsia="宋体" w:cs="宋体"/>
          <w:sz w:val="21"/>
          <w:szCs w:val="21"/>
          <w:highlight w:val="none"/>
        </w:rPr>
        <w:t>；F</w:t>
      </w:r>
      <w:r>
        <w:rPr>
          <w:rFonts w:hint="eastAsia" w:ascii="宋体" w:hAnsi="宋体" w:eastAsia="宋体" w:cs="宋体"/>
          <w:sz w:val="21"/>
          <w:szCs w:val="21"/>
          <w:highlight w:val="none"/>
          <w:vertAlign w:val="subscript"/>
        </w:rPr>
        <w:t>t2</w:t>
      </w:r>
      <w:r>
        <w:rPr>
          <w:rFonts w:hint="eastAsia" w:ascii="宋体" w:hAnsi="宋体" w:eastAsia="宋体" w:cs="宋体"/>
          <w:sz w:val="21"/>
          <w:szCs w:val="21"/>
          <w:highlight w:val="none"/>
        </w:rPr>
        <w:t>；F</w:t>
      </w:r>
      <w:r>
        <w:rPr>
          <w:rFonts w:hint="eastAsia" w:ascii="宋体" w:hAnsi="宋体" w:eastAsia="宋体" w:cs="宋体"/>
          <w:sz w:val="21"/>
          <w:szCs w:val="21"/>
          <w:highlight w:val="none"/>
          <w:vertAlign w:val="subscript"/>
        </w:rPr>
        <w:t>t3</w:t>
      </w:r>
      <w:r>
        <w:rPr>
          <w:rFonts w:hint="eastAsia" w:ascii="宋体" w:hAnsi="宋体" w:eastAsia="宋体" w:cs="宋体"/>
          <w:sz w:val="21"/>
          <w:szCs w:val="21"/>
          <w:highlight w:val="none"/>
        </w:rPr>
        <w:t>；……F</w:t>
      </w:r>
      <w:r>
        <w:rPr>
          <w:rFonts w:hint="eastAsia" w:ascii="宋体" w:hAnsi="宋体" w:eastAsia="宋体" w:cs="宋体"/>
          <w:sz w:val="21"/>
          <w:szCs w:val="21"/>
          <w:highlight w:val="none"/>
          <w:vertAlign w:val="subscript"/>
        </w:rPr>
        <w:t>tn</w:t>
      </w:r>
      <w:r>
        <w:rPr>
          <w:rFonts w:hint="eastAsia" w:ascii="宋体" w:hAnsi="宋体" w:eastAsia="宋体" w:cs="宋体"/>
          <w:sz w:val="21"/>
          <w:szCs w:val="21"/>
          <w:highlight w:val="none"/>
        </w:rPr>
        <w:t>---各可调因子的现行价格指数，指第17.3.3 款、第17.5.2 款和第17.6.2 款约定的付款证书相关周期最后一天的前42天的各可调因子的价格指数；</w:t>
      </w:r>
    </w:p>
    <w:p w14:paraId="46243C1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F</w:t>
      </w:r>
      <w:r>
        <w:rPr>
          <w:rFonts w:hint="eastAsia" w:ascii="宋体" w:hAnsi="宋体" w:eastAsia="宋体" w:cs="宋体"/>
          <w:sz w:val="21"/>
          <w:szCs w:val="21"/>
          <w:highlight w:val="none"/>
          <w:vertAlign w:val="subscript"/>
        </w:rPr>
        <w:t>01</w:t>
      </w:r>
      <w:r>
        <w:rPr>
          <w:rFonts w:hint="eastAsia" w:ascii="宋体" w:hAnsi="宋体" w:eastAsia="宋体" w:cs="宋体"/>
          <w:sz w:val="21"/>
          <w:szCs w:val="21"/>
          <w:highlight w:val="none"/>
        </w:rPr>
        <w:t>；F</w:t>
      </w:r>
      <w:r>
        <w:rPr>
          <w:rFonts w:hint="eastAsia" w:ascii="宋体" w:hAnsi="宋体" w:eastAsia="宋体" w:cs="宋体"/>
          <w:sz w:val="21"/>
          <w:szCs w:val="21"/>
          <w:highlight w:val="none"/>
          <w:vertAlign w:val="subscript"/>
        </w:rPr>
        <w:t>02</w:t>
      </w:r>
      <w:r>
        <w:rPr>
          <w:rFonts w:hint="eastAsia" w:ascii="宋体" w:hAnsi="宋体" w:eastAsia="宋体" w:cs="宋体"/>
          <w:sz w:val="21"/>
          <w:szCs w:val="21"/>
          <w:highlight w:val="none"/>
        </w:rPr>
        <w:t>；F</w:t>
      </w:r>
      <w:r>
        <w:rPr>
          <w:rFonts w:hint="eastAsia" w:ascii="宋体" w:hAnsi="宋体" w:eastAsia="宋体" w:cs="宋体"/>
          <w:sz w:val="21"/>
          <w:szCs w:val="21"/>
          <w:highlight w:val="none"/>
          <w:vertAlign w:val="subscript"/>
        </w:rPr>
        <w:t>03</w:t>
      </w:r>
      <w:r>
        <w:rPr>
          <w:rFonts w:hint="eastAsia" w:ascii="宋体" w:hAnsi="宋体" w:eastAsia="宋体" w:cs="宋体"/>
          <w:sz w:val="21"/>
          <w:szCs w:val="21"/>
          <w:highlight w:val="none"/>
        </w:rPr>
        <w:t>；……F</w:t>
      </w:r>
      <w:r>
        <w:rPr>
          <w:rFonts w:hint="eastAsia" w:ascii="宋体" w:hAnsi="宋体" w:eastAsia="宋体" w:cs="宋体"/>
          <w:sz w:val="21"/>
          <w:szCs w:val="21"/>
          <w:highlight w:val="none"/>
          <w:vertAlign w:val="subscript"/>
        </w:rPr>
        <w:t>0n</w:t>
      </w:r>
      <w:r>
        <w:rPr>
          <w:rFonts w:hint="eastAsia" w:ascii="宋体" w:hAnsi="宋体" w:eastAsia="宋体" w:cs="宋体"/>
          <w:sz w:val="21"/>
          <w:szCs w:val="21"/>
          <w:highlight w:val="none"/>
        </w:rPr>
        <w:t>---各可调因子的基本价格指数，指基准日期的各可调因子的价格指数。</w:t>
      </w:r>
    </w:p>
    <w:p w14:paraId="480599D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以上价格调整公式中的各可调因子、定值和变值权重，以及基本价格指数及其来源在</w:t>
      </w:r>
      <w:r>
        <w:rPr>
          <w:rFonts w:hint="eastAsia" w:ascii="宋体" w:hAnsi="宋体" w:eastAsia="宋体" w:cs="宋体"/>
          <w:sz w:val="21"/>
          <w:szCs w:val="21"/>
          <w:highlight w:val="none"/>
          <w:lang w:eastAsia="zh-CN"/>
        </w:rPr>
        <w:t>开标一览表</w:t>
      </w:r>
      <w:r>
        <w:rPr>
          <w:rFonts w:hint="eastAsia" w:ascii="宋体" w:hAnsi="宋体" w:eastAsia="宋体" w:cs="宋体"/>
          <w:sz w:val="21"/>
          <w:szCs w:val="21"/>
          <w:highlight w:val="none"/>
        </w:rPr>
        <w:t>价格指数和权重表中约定。价格指数应首先采用有关部门提供的价格指数，缺乏上述价格指数时，可采用有关部门提供的价格代替。</w:t>
      </w:r>
    </w:p>
    <w:p w14:paraId="2147BB9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16.1.1.2 暂时确定调整差额</w:t>
      </w:r>
    </w:p>
    <w:p w14:paraId="1E7D276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在计算调整差额时得不到现行价格指数的，可暂用上一次价格指数计算，并在以后的付款中再按实际价格指数进行调整。</w:t>
      </w:r>
    </w:p>
    <w:p w14:paraId="2EEDB9A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16.1.1.3 权重的调整</w:t>
      </w:r>
    </w:p>
    <w:p w14:paraId="020120B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按第15.1 款约定的变更导致原定合同中的权重不合理时，由监理人与承包人和发包人协商后进行调整。</w:t>
      </w:r>
    </w:p>
    <w:p w14:paraId="3DCCDFD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16.1.1.4 承包人工期延误后的价格调整</w:t>
      </w:r>
    </w:p>
    <w:p w14:paraId="449F8DE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由于承包人原因未在约定的工期内竣工的，则对原约定竣工日期后继续施工的工程，在使用第16.1.1. 1目价格调整公式时，应采用原约定竣工日期与实际竣工日期的两个价格指数中较低的一个作为现行价格指数。</w:t>
      </w:r>
    </w:p>
    <w:p w14:paraId="2C7CDD5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16.1.2 采用造价信息调整价格差额</w:t>
      </w:r>
    </w:p>
    <w:p w14:paraId="462CA29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施工期内，因人工、材料、设备和机械台班价格波动影响合同价格时，人工、机械使用费按照国家或省（自治区、直辖市）建设行政管理部门、行业建设管理部门或其授权的工程造价管理机构发布的人工成本信息、机械台班单价或机械使用费系数进行调整；需要进行价格调整的材料，其单价和采购数应由监理人复核，监理人确认需调整的材料单价及数量，作为调整工程合同价格差额的依据。</w:t>
      </w:r>
    </w:p>
    <w:p w14:paraId="640AC88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工程造价信息的来源以及价格调整的项目和系数在专用合同条款中约定。</w:t>
      </w:r>
    </w:p>
    <w:p w14:paraId="020B515A">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16.2 法律变化引起的价格调整</w:t>
      </w:r>
    </w:p>
    <w:p w14:paraId="6409871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在基准日后，因法律变化导致承包人在合同履行中所需要的工程费用发生除第16.1 款约定以外的增减时，监理人应根据法律、国家或省、自治区、直辖市有关部门的规定，按第3.5 款商定或确定需调整的合同价款。</w:t>
      </w:r>
    </w:p>
    <w:p w14:paraId="14D83E13">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bookmarkStart w:id="16" w:name="_Toc265408506"/>
      <w:r>
        <w:rPr>
          <w:rFonts w:hint="eastAsia" w:ascii="宋体" w:hAnsi="宋体" w:eastAsia="宋体" w:cs="宋体"/>
          <w:b/>
          <w:bCs/>
          <w:sz w:val="21"/>
          <w:szCs w:val="21"/>
          <w:highlight w:val="none"/>
        </w:rPr>
        <w:t>17  计量与支付</w:t>
      </w:r>
      <w:bookmarkEnd w:id="16"/>
    </w:p>
    <w:p w14:paraId="699EB033">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17.1 计量</w:t>
      </w:r>
    </w:p>
    <w:p w14:paraId="2C569F3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17.1.1 计量单位</w:t>
      </w:r>
    </w:p>
    <w:p w14:paraId="4586B8E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计量采用国家法定的计量单位。</w:t>
      </w:r>
    </w:p>
    <w:p w14:paraId="7434873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17.1.2 计量方法</w:t>
      </w:r>
    </w:p>
    <w:p w14:paraId="063B582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结算工程量应按工程量清单中约定的方法计量。</w:t>
      </w:r>
    </w:p>
    <w:p w14:paraId="5B6A94E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17.1.3 计量周期</w:t>
      </w:r>
    </w:p>
    <w:p w14:paraId="72ED886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除专用合同条款另有约定外，单价子目已完成工程量按月计量，总价子目的计量周期按批准的支付分解报告确定。</w:t>
      </w:r>
    </w:p>
    <w:p w14:paraId="37FBE3F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17.1.4 单价子目的计量</w:t>
      </w:r>
    </w:p>
    <w:p w14:paraId="608412A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（l）已标价工程量清单中的单价子目工程量为估算工程量。结算工程量是承包人实际完成的，并按合同约定的计量方法进行计量的工程量。</w:t>
      </w:r>
    </w:p>
    <w:p w14:paraId="0DF5978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（2）承包人对己完成的工程进行计量，向监理人提交进度付款申请单、己完成工程量报表和有关计量资料。</w:t>
      </w:r>
    </w:p>
    <w:p w14:paraId="21FAB39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（3）监理人对承包人提交的工程量报表进行复核，以确定实际完成的工程量。对数量有异议的，可要求承包人按第8.2 款约定进行共同复核和抽样复测。承包人应协助监理人进行复核并按监理人要求提供补充计量资料。承包人未按监理人要求参加复核，监理人复核或修正的工程量视为承包人实际完成的工程量。</w:t>
      </w:r>
    </w:p>
    <w:p w14:paraId="1D65385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（4）监理人认为有必要时，可通知承包人共同进行联合测量、计量，承包人应遵照执行。</w:t>
      </w:r>
    </w:p>
    <w:p w14:paraId="7BB49DA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承包人完成工程量清单中每个子目的工程量后，监理人应要求承包人派员共同对每个子目的历次计量报表进行汇总，以核实最终结算工程量。监理人可要求承包人提供补充计量资料，以确定最后一次进度付款的准确工程量。承包人末按监理人要求派员参加的，监理人最终核实的工程量视为承包人完成该子目的准确工程量。</w:t>
      </w:r>
    </w:p>
    <w:p w14:paraId="029FD67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（6）监理人应在收到承包人提交的工程量报表后的7 天内进行复核，监理人未在约定时间内复核的，承包人提交的工程量报表中的工程量视为承包人实际完成的工程量，据此计算工程价款。</w:t>
      </w:r>
    </w:p>
    <w:p w14:paraId="1AA5755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17.1.5 总价子目的计量</w:t>
      </w:r>
    </w:p>
    <w:p w14:paraId="005FFAF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总价子目的分解和计量按照下述约定进行。</w:t>
      </w:r>
    </w:p>
    <w:p w14:paraId="1B1D0F8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（1）总价子目的计量和支付应以总价为基础，不因第16.1款中的因素而进行调整。承包人实际完成的工程量，是进行工程目标管理和控制进度支付的依据。</w:t>
      </w:r>
    </w:p>
    <w:p w14:paraId="59438C6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承包人应按工程量清单的要求对总价子目进行分解，并在签订协议书后的28天内将各子目的总价支付分解表提交监理人审批。分解表应标明其所属子目和分阶段需支付的金额。承包人应按批准的各总价子目支付周期，对已完成的总价子目进行计量，确定分项的应付金额列入进度付款申请单中。</w:t>
      </w:r>
    </w:p>
    <w:p w14:paraId="6C78BD7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（3）监理人对承包人提交的上述资料进行复核，以确定分阶段实际完成的工程量和工程形象目标。对其有异议的，可要求承包人按第8.2款约定进行共同复核和抽样复测。</w:t>
      </w:r>
    </w:p>
    <w:p w14:paraId="158B26C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（4）除按照第15条约定的变更外，总价子目的工程量是承包人用于结算的最终工程量。</w:t>
      </w:r>
    </w:p>
    <w:p w14:paraId="16F9FCE5">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17.2 预付款</w:t>
      </w:r>
    </w:p>
    <w:p w14:paraId="30B9B03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17.2.1 预付款</w:t>
      </w:r>
    </w:p>
    <w:p w14:paraId="20D155C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预付款用于承包人为合同工程施工购置材料、工程设备、施工设备、修建临时设施以及组织施工队伍进场等。分为工程预付款和工程材料预付款。预付款必须专用于合同工程。预付款的额度和预付办法在专用合同条款中约定。</w:t>
      </w:r>
    </w:p>
    <w:p w14:paraId="08D06E0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17.2.2 预付款保函（担保）</w:t>
      </w:r>
    </w:p>
    <w:p w14:paraId="35553C5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（l）承包人应在收到第一次工程预付款的同时向发包人提交工程预付款担保，担保金额应与第一次工程预付款金额相同，工程预付款担保在第一次工程预付款被发包人扣回前一直有效。</w:t>
      </w:r>
    </w:p>
    <w:p w14:paraId="2D873D5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（2）工程材料预付款的担保在专用合同条款中约定。</w:t>
      </w:r>
    </w:p>
    <w:p w14:paraId="7387C14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（3）预付款担保的担保金额可根据预付款扣回的金额相应递减。</w:t>
      </w:r>
    </w:p>
    <w:p w14:paraId="02915BC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17.2.3 预付款的扣回与还清</w:t>
      </w:r>
    </w:p>
    <w:p w14:paraId="4CDBA3E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预付款在进度付款中扣回，扣回与还清办法在专用合同条款中约定。在颁发合同工程完工证书前，由于不可抗力或其它原因解除合同时，预付款尚未扣清的，尚未扣清的预付款余额应作为承包人的到期应付款。</w:t>
      </w:r>
    </w:p>
    <w:p w14:paraId="68A975D3">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17.3 工程进度付款</w:t>
      </w:r>
    </w:p>
    <w:p w14:paraId="35F2FF2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17.3.1 付款周期</w:t>
      </w:r>
    </w:p>
    <w:p w14:paraId="6D5BF76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付款周期同计量周期。</w:t>
      </w:r>
    </w:p>
    <w:p w14:paraId="1E371FC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17.3.2 进度付款申请单</w:t>
      </w:r>
    </w:p>
    <w:p w14:paraId="1622E43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承包人应在每个付款周期末，按监理人批准的格式和专用合同条款约定的份数，向监理人提交进度付款申请单，并附相应的支持性证明文件。除专用合同条款另有约定外，进度付款申请单应包括下列内容：</w:t>
      </w:r>
    </w:p>
    <w:p w14:paraId="07F1ADC8">
      <w:pPr>
        <w:pageBreakBefore w:val="0"/>
        <w:widowControl w:val="0"/>
        <w:numPr>
          <w:ilvl w:val="0"/>
          <w:numId w:val="3"/>
        </w:numPr>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截至本次付款周期末已实施工程的价款；</w:t>
      </w:r>
    </w:p>
    <w:p w14:paraId="4262565F">
      <w:pPr>
        <w:pageBreakBefore w:val="0"/>
        <w:widowControl w:val="0"/>
        <w:numPr>
          <w:ilvl w:val="0"/>
          <w:numId w:val="3"/>
        </w:numPr>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根据第15条应增加和扣减的变更金额；</w:t>
      </w:r>
    </w:p>
    <w:p w14:paraId="7099120C">
      <w:pPr>
        <w:pageBreakBefore w:val="0"/>
        <w:widowControl w:val="0"/>
        <w:numPr>
          <w:ilvl w:val="0"/>
          <w:numId w:val="3"/>
        </w:numPr>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根据第23条应增加和扣减的索赔金额；</w:t>
      </w:r>
    </w:p>
    <w:p w14:paraId="1BD43C55">
      <w:pPr>
        <w:pageBreakBefore w:val="0"/>
        <w:widowControl w:val="0"/>
        <w:numPr>
          <w:ilvl w:val="0"/>
          <w:numId w:val="3"/>
        </w:numPr>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根据第17.2款约定应支付的预付款和扣减的返还预付款；</w:t>
      </w:r>
    </w:p>
    <w:p w14:paraId="031F1564">
      <w:pPr>
        <w:pageBreakBefore w:val="0"/>
        <w:widowControl w:val="0"/>
        <w:numPr>
          <w:ilvl w:val="0"/>
          <w:numId w:val="3"/>
        </w:numPr>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根据第17.4.1项约定应扣减的质量保证金；</w:t>
      </w:r>
    </w:p>
    <w:p w14:paraId="136C237F">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（6）根据合同应增加和扣减的其他金额。</w:t>
      </w:r>
    </w:p>
    <w:p w14:paraId="0F1E0AD7">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17.3.3 进度付款证书和支付时间</w:t>
      </w:r>
    </w:p>
    <w:p w14:paraId="43408060">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监理人在收到承包人进度付款申请单以及相应的支持性证明文件后的14天内完成核查,提出发包人到期应支付给承包人的金额以及相应的支持性材料,经发包人审查同意后,由监理人向承包人出具经发包人签认的进度付款证书。监理人有权扣发承包人未能按照合同要求履行任何工作或义务的相应金额。</w:t>
      </w:r>
    </w:p>
    <w:p w14:paraId="428008B9">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(2)发包人应在监理人收到进度付款申请单后的28天内,将进度应付款支付给承包人。发包人不按期支付的,按专用合同条款的约定支付逾期付款违约金。</w:t>
      </w:r>
    </w:p>
    <w:p w14:paraId="15E3F478">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(3)监理人出具进度付款证书,不应视为监理人已同意、批准或接受了承包人完成的该部分工作。</w:t>
      </w:r>
    </w:p>
    <w:p w14:paraId="641A5F1B">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(4)进度付款涉及政府投资资金的,按照国库集中支付等国家相关规定和专用合同条款的约定办理。</w:t>
      </w:r>
    </w:p>
    <w:p w14:paraId="380EE535">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rPr>
        <w:t>17.3.4 工程进度付款</w:t>
      </w:r>
      <w:r>
        <w:rPr>
          <w:rFonts w:hint="eastAsia" w:ascii="宋体" w:hAnsi="宋体" w:eastAsia="宋体" w:cs="宋体"/>
          <w:sz w:val="21"/>
          <w:szCs w:val="21"/>
          <w:highlight w:val="none"/>
          <w:lang w:val="en-US" w:eastAsia="zh-CN"/>
        </w:rPr>
        <w:t>的修正</w:t>
      </w:r>
    </w:p>
    <w:p w14:paraId="0BF71152">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在对以往历次已签发的进度付款证书进行汇总和复核中发现错、漏或重复的，监理人有权予以修正，承包人也有权提出修正申请。经双方复核同意的修正，应在本次进度付款中支付或扣除。</w:t>
      </w:r>
    </w:p>
    <w:p w14:paraId="0C4DA821">
      <w:pPr>
        <w:pStyle w:val="7"/>
        <w:pageBreakBefore w:val="0"/>
        <w:widowControl w:val="0"/>
        <w:numPr>
          <w:ilvl w:val="3"/>
          <w:numId w:val="0"/>
        </w:numPr>
        <w:kinsoku/>
        <w:wordWrap/>
        <w:overflowPunct/>
        <w:topLinePunct w:val="0"/>
        <w:autoSpaceDE/>
        <w:autoSpaceDN/>
        <w:bidi w:val="0"/>
        <w:adjustRightInd/>
        <w:snapToGrid/>
        <w:spacing w:before="0" w:beforeLines="0" w:after="0" w:afterLines="0"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17.4 质量保证金</w:t>
      </w:r>
    </w:p>
    <w:p w14:paraId="1A5F2A81">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rPr>
        <w:t xml:space="preserve">17.4.1 </w:t>
      </w:r>
      <w:r>
        <w:rPr>
          <w:rFonts w:hint="eastAsia" w:ascii="宋体" w:hAnsi="宋体" w:eastAsia="宋体" w:cs="宋体"/>
          <w:color w:val="000000"/>
          <w:sz w:val="21"/>
          <w:szCs w:val="21"/>
          <w:highlight w:val="none"/>
          <w:lang w:val="en-US" w:eastAsia="zh-CN"/>
        </w:rPr>
        <w:t>监理人应从第一个工程进度付款周期开始，在发包人的进度付款中，按专用合同条款的约定扣留质量保证金，直至扣留的工程质量保证金总额达到专用合同条款约定的金额或比例为止。质量保证金的计算额度不包括预付款的支付与扣回金额。</w:t>
      </w:r>
    </w:p>
    <w:p w14:paraId="257CDCC3">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17.4.2 合同工程完工证书颁发后14天内，发包人将质量保证金总额的一半支付给承包人。在第1.1.4.5目约定的缺陷责任期（工程质量保修期） 满时，发包人将在30个工作日内会同承包人按照合同约定的内容核实承包人是否完成保修责任。如无异议，发包人应当在核实后将剩余的质量保证金支付给承包人。</w:t>
      </w:r>
    </w:p>
    <w:p w14:paraId="50211203">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17.4.3 在第1.1.4.5 目约定的缺陷责任期满时，承包人没有完成缺陷责任的，发包人有权扣留与未履行责任剩余工作所需金额相应的质量保证金余额，并有权根据第19.3 款约定要求延长缺陷责任期，直至完成剩余工作为止。</w:t>
      </w:r>
    </w:p>
    <w:p w14:paraId="750C1662">
      <w:pPr>
        <w:pStyle w:val="7"/>
        <w:pageBreakBefore w:val="0"/>
        <w:widowControl w:val="0"/>
        <w:numPr>
          <w:ilvl w:val="3"/>
          <w:numId w:val="0"/>
        </w:numPr>
        <w:kinsoku/>
        <w:wordWrap/>
        <w:overflowPunct/>
        <w:topLinePunct w:val="0"/>
        <w:autoSpaceDE/>
        <w:autoSpaceDN/>
        <w:bidi w:val="0"/>
        <w:adjustRightInd/>
        <w:snapToGrid/>
        <w:spacing w:before="0" w:beforeLines="0" w:after="0" w:afterLines="0" w:line="312" w:lineRule="auto"/>
        <w:ind w:leftChars="0"/>
        <w:textAlignment w:val="auto"/>
        <w:rPr>
          <w:rFonts w:hint="eastAsia" w:ascii="宋体" w:hAnsi="宋体" w:eastAsia="宋体" w:cs="宋体"/>
          <w:b/>
          <w:bCs/>
          <w:sz w:val="21"/>
          <w:szCs w:val="21"/>
          <w:highlight w:val="none"/>
          <w:lang w:eastAsia="zh-CN"/>
        </w:rPr>
      </w:pPr>
      <w:r>
        <w:rPr>
          <w:rFonts w:hint="eastAsia" w:ascii="宋体" w:hAnsi="宋体" w:eastAsia="宋体" w:cs="宋体"/>
          <w:b/>
          <w:bCs/>
          <w:sz w:val="21"/>
          <w:szCs w:val="21"/>
          <w:highlight w:val="none"/>
        </w:rPr>
        <w:t xml:space="preserve">17.5 </w:t>
      </w:r>
      <w:r>
        <w:rPr>
          <w:rFonts w:hint="eastAsia" w:ascii="宋体" w:hAnsi="宋体" w:eastAsia="宋体" w:cs="宋体"/>
          <w:b/>
          <w:bCs/>
          <w:sz w:val="21"/>
          <w:szCs w:val="21"/>
          <w:highlight w:val="none"/>
          <w:lang w:val="en-US" w:eastAsia="zh-CN"/>
        </w:rPr>
        <w:t>竣工结算（完工结算）</w:t>
      </w:r>
    </w:p>
    <w:p w14:paraId="518EA52F">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17.5.1竣工（完工）付款申请单</w:t>
      </w:r>
    </w:p>
    <w:p w14:paraId="141ED9E0">
      <w:pPr>
        <w:pageBreakBefore w:val="0"/>
        <w:widowControl w:val="0"/>
        <w:numPr>
          <w:ilvl w:val="0"/>
          <w:numId w:val="0"/>
        </w:numPr>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kern w:val="2"/>
          <w:sz w:val="21"/>
          <w:szCs w:val="21"/>
          <w:highlight w:val="none"/>
          <w:lang w:val="en-US" w:eastAsia="zh-CN" w:bidi="ar-SA"/>
        </w:rPr>
        <w:t>（1）</w:t>
      </w:r>
      <w:r>
        <w:rPr>
          <w:rFonts w:hint="eastAsia" w:ascii="宋体" w:hAnsi="宋体" w:eastAsia="宋体" w:cs="宋体"/>
          <w:sz w:val="21"/>
          <w:szCs w:val="21"/>
          <w:highlight w:val="none"/>
          <w:lang w:val="en-US" w:eastAsia="zh-CN"/>
        </w:rPr>
        <w:t>承包人应在合同工程完工证书颁发后28天内，按专用合同条款约定的份数向监理人提交完工付款申请单，并提供相关证明材料。完工付款申请单应包括下列内容：完工结算合同总价、发包人已支付承包人的工程价款、应扣留的质量保证金、应支付的完工付款金额。</w:t>
      </w:r>
    </w:p>
    <w:p w14:paraId="16CD68EB">
      <w:pPr>
        <w:pageBreakBefore w:val="0"/>
        <w:widowControl w:val="0"/>
        <w:numPr>
          <w:ilvl w:val="0"/>
          <w:numId w:val="0"/>
        </w:numPr>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kern w:val="2"/>
          <w:sz w:val="21"/>
          <w:szCs w:val="21"/>
          <w:highlight w:val="none"/>
          <w:lang w:val="en-US" w:eastAsia="zh-CN" w:bidi="ar-SA"/>
        </w:rPr>
        <w:t>（2）</w:t>
      </w:r>
      <w:r>
        <w:rPr>
          <w:rFonts w:hint="eastAsia" w:ascii="宋体" w:hAnsi="宋体" w:eastAsia="宋体" w:cs="宋体"/>
          <w:sz w:val="21"/>
          <w:szCs w:val="21"/>
          <w:highlight w:val="none"/>
          <w:lang w:val="en-US" w:eastAsia="zh-CN"/>
        </w:rPr>
        <w:t>监理人对完工付款申请单有异议的，有权要求承包人进行修正和提供补充资料。经监理人和承包人协商后，由承包人向监理人提交修正后的完工付款申请单。</w:t>
      </w:r>
    </w:p>
    <w:p w14:paraId="0612F792">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17.5.2竣工(完工)付款证书及支付时间</w:t>
      </w:r>
    </w:p>
    <w:p w14:paraId="0B6CCAEB">
      <w:pPr>
        <w:pageBreakBefore w:val="0"/>
        <w:widowControl w:val="0"/>
        <w:numPr>
          <w:ilvl w:val="0"/>
          <w:numId w:val="0"/>
        </w:numPr>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(1)监理人在收到承包人提交的完工付款申请单后的14天内完成核查，提出发包人到期应支付给承包人的价款送发包人审核并抄送承包人。发包人应在收到后14天内审核完毕，由监理人向承包人出具经发包人签认的完工付款证书。监理人未在约定时间内核查，又未提出具体意见的，视为承包人提交的完工付款申请单已经监理人核查同意。发包人未在约定时间内审核又未提出具体意见的，监理人提出发包人到期应支付给承包人的价款视为已经发包人同意。</w:t>
      </w:r>
    </w:p>
    <w:p w14:paraId="09F5973E">
      <w:pPr>
        <w:pageBreakBefore w:val="0"/>
        <w:widowControl w:val="0"/>
        <w:numPr>
          <w:ilvl w:val="0"/>
          <w:numId w:val="0"/>
        </w:numPr>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(2)发包人应在监理人出具完工付款证书后的14天内，将应支付款支付给承包人。发包人不按期支付的，按第17.3.3(2)目的约定，将逾期付款违约金支付给承包人。</w:t>
      </w:r>
    </w:p>
    <w:p w14:paraId="6F674BF4">
      <w:pPr>
        <w:pageBreakBefore w:val="0"/>
        <w:widowControl w:val="0"/>
        <w:numPr>
          <w:ilvl w:val="0"/>
          <w:numId w:val="0"/>
        </w:numPr>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(3)承包人对发包人签认的完工付款证书有异议的，发包人可出具完工付款申请单中承包人已同意部分的临时付款证书。存在争议的部分，按第24条的约定办理。</w:t>
      </w:r>
    </w:p>
    <w:p w14:paraId="511355BF">
      <w:pPr>
        <w:pageBreakBefore w:val="0"/>
        <w:widowControl w:val="0"/>
        <w:numPr>
          <w:ilvl w:val="0"/>
          <w:numId w:val="0"/>
        </w:numPr>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(4)完工付款涉及政府投资资金的，按第17.3.3(4)目的约定办理。</w:t>
      </w:r>
    </w:p>
    <w:p w14:paraId="631FBFF6">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17.6 最终结清</w:t>
      </w:r>
    </w:p>
    <w:p w14:paraId="77DAACD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17.6.1 最终结清申请单</w:t>
      </w:r>
    </w:p>
    <w:p w14:paraId="13E4887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（1）工程质量保修责任终止证书签发后，承包人应按监理人批准的格式提交最终结清申请单。提交最终结清申请单的份数在专用合同条款中约定。</w:t>
      </w:r>
    </w:p>
    <w:p w14:paraId="372FEC1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（2）发包人对最终结清申请单内容有异议的，有权要求承包人进行修正和提供补充资料，由承包人向监理人提交修正后的最终结清申请单。</w:t>
      </w:r>
    </w:p>
    <w:p w14:paraId="13E1FEE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17.6.2 最终结清证书和支付时间</w:t>
      </w:r>
    </w:p>
    <w:p w14:paraId="6535F8A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l）监理人收到承包人提交的最终结清申请单后的14天内，提出发包人应支付给承包人的价款送发包人审核并抄送承包人。发包人应在收到后14天内审核完毕，由监理人向承包人出具经发包人签认的最终结清证书。监理人未在约定时间内核查，又未提出具体意见的，视为承包人提交的最终结清申请己经监理人核查同意；发包人未在约定时间内审核又未提出具体意见的，监理人提出应支付给承包人的价款视为已经发包人同意。</w:t>
      </w:r>
    </w:p>
    <w:p w14:paraId="193ACA9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（2）发包人应在监理人出具最终结清证书后的14 天内，将应支付款支付给承包人。</w:t>
      </w:r>
    </w:p>
    <w:p w14:paraId="579F65D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发包人不按期支付的，按第17.3.3（2）目的约定，将逾期付款违约金支付给承包人。</w:t>
      </w:r>
    </w:p>
    <w:p w14:paraId="51BC817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（3）承包人对发包人签认的最终结清证书有异议的，按第24条的约定办理。</w:t>
      </w:r>
    </w:p>
    <w:p w14:paraId="283D1A8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（4）最终结清付款涉及政府投资资金的，按第17.3.3（4）目的约定办理。</w:t>
      </w:r>
    </w:p>
    <w:p w14:paraId="7A6977ED">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17.7 竣工财务决算</w:t>
      </w:r>
    </w:p>
    <w:p w14:paraId="2E05E89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发包人负责编制本工程项目竣工财务决算，承包人应按专用合同条款的约定提供竣工财务决算编制所需的相关材料。</w:t>
      </w:r>
    </w:p>
    <w:p w14:paraId="4DB34B33">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17.8 竣工审计</w:t>
      </w:r>
    </w:p>
    <w:p w14:paraId="63BDADE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发包人负责完成本工程竣工审计手续，承包人应完成相关配合工作。</w:t>
      </w:r>
    </w:p>
    <w:p w14:paraId="0FD67380">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bookmarkStart w:id="17" w:name="_Toc265408507"/>
      <w:r>
        <w:rPr>
          <w:rFonts w:hint="eastAsia" w:ascii="宋体" w:hAnsi="宋体" w:eastAsia="宋体" w:cs="宋体"/>
          <w:b/>
          <w:bCs/>
          <w:sz w:val="21"/>
          <w:szCs w:val="21"/>
          <w:highlight w:val="none"/>
        </w:rPr>
        <w:t>18  竣工验收（验收）</w:t>
      </w:r>
      <w:bookmarkEnd w:id="17"/>
    </w:p>
    <w:p w14:paraId="197CD571">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18.1 验收工作分类</w:t>
      </w:r>
    </w:p>
    <w:p w14:paraId="4A7E685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本工程验收工作按主持单位分为法人验收和政府验收。法人验收和政府验收的类别在专用合同条款中约定。除专用合同条款另有约定外，法人验收由发包人主持。承包人应完成法人验收和政府验收的配合工作，所需费用应含在已标价工程量清单中。</w:t>
      </w:r>
    </w:p>
    <w:p w14:paraId="00E18DEE">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18.2 分部工程验收</w:t>
      </w:r>
    </w:p>
    <w:p w14:paraId="3FBBDD7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18.2.1 分部工程具备验收条件时，承包人应向发包人提交验收申请报告，发包人应在收到验收申请报告之日起</w:t>
      </w:r>
      <w:r>
        <w:rPr>
          <w:rFonts w:hint="eastAsia" w:ascii="宋体" w:hAnsi="宋体" w:cs="宋体"/>
          <w:sz w:val="21"/>
          <w:szCs w:val="21"/>
          <w:highlight w:val="none"/>
          <w:lang w:val="en-US" w:eastAsia="zh-CN"/>
        </w:rPr>
        <w:t>10</w:t>
      </w:r>
      <w:r>
        <w:rPr>
          <w:rFonts w:hint="eastAsia" w:ascii="宋体" w:hAnsi="宋体" w:eastAsia="宋体" w:cs="宋体"/>
          <w:sz w:val="21"/>
          <w:szCs w:val="21"/>
          <w:highlight w:val="none"/>
        </w:rPr>
        <w:t>个工作日内决定是否同意进行验收。</w:t>
      </w:r>
    </w:p>
    <w:p w14:paraId="5F203E6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18.2.2 除专用合同条款另有约定外，监理人主持分部工程验收，承包人应派符合条件的代表参加验收工作组。</w:t>
      </w:r>
    </w:p>
    <w:p w14:paraId="037E973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18.2.3 分部工程验收通过后，发包人向承包人发送分部工程验收鉴定书。承包人应及时完成分部工程验收鉴定书载明应由承包人处理的遗留问题。</w:t>
      </w:r>
    </w:p>
    <w:p w14:paraId="3696C2F3">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18.3 单位工程验收</w:t>
      </w:r>
    </w:p>
    <w:p w14:paraId="30B8B8A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18.3.1 单位工程具备验收条件时，承包人应向发包人提交验收申请报告，发包人应在收到验收申请报告之日起10个工作日内决定是否同意进行验收。</w:t>
      </w:r>
    </w:p>
    <w:p w14:paraId="0B2ED50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18.3.2 发包人主持单位工程验收，承包人应派符合条件的代表参加验收工作组。</w:t>
      </w:r>
    </w:p>
    <w:p w14:paraId="11EB52A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18.3.3 单位工程验收通过后，发包人向承包人发送单位工程验收鉴定书。承包人应及时完成单位工程验收鉴定书载明应由承包人处理的遗留问题。</w:t>
      </w:r>
    </w:p>
    <w:p w14:paraId="186FF18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 8.3.4 需提前投入使用的单位工程在专用合同条款中明确。</w:t>
      </w:r>
    </w:p>
    <w:p w14:paraId="0B953E97">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18.4 合同工程完工验收</w:t>
      </w:r>
    </w:p>
    <w:p w14:paraId="09C0DDA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18.4.1 合同工程具备验收条件时，承包人应向发包人提交验收申请报告，发包人应在收到验收申请报告之日起20个工作日内决定是否同意进行验收。</w:t>
      </w:r>
    </w:p>
    <w:p w14:paraId="41B6310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18.4.2 发包人主持合同工程完工验收，承包人应派代表参加验收工作组。</w:t>
      </w:r>
    </w:p>
    <w:p w14:paraId="070E656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18.4.3 合同工程完工验收通过后，发包人向承包人发送合同工程完工验收鉴定书。承包人应及时完成合同工程完工验收鉴定书载明应由承包人处理的遗留问题。</w:t>
      </w:r>
    </w:p>
    <w:p w14:paraId="4368063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18.4.4 合同工程完工验收通过后，发包人与承包人应在30个工作日内组织专人负责工程交接，双方交接负责人应在交接记录上签字。承包人应按验收鉴定书约定的时间及时移交工程及其档案资料。工程移交时，承包人应向发包人递交工程质量保修书。在承包人递交了工程质量保修书、完成施工场地清理以及提交有关资料后，发包人应在30个工作日内向承包人颁发合同工程完工证书。</w:t>
      </w:r>
    </w:p>
    <w:p w14:paraId="1BD87290">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18.5 阶段验收</w:t>
      </w:r>
    </w:p>
    <w:p w14:paraId="2B835F0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18.5.1 工程建设具备阶段验收条件时，发包人负责提出阶段验收申请报告。承包人应派代表参加阶段验收，并作为被验收单位在验收鉴定书上签字。阶段验收的具体类别在专用合同条款中约定。</w:t>
      </w:r>
    </w:p>
    <w:p w14:paraId="67B9F75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18.5.2 承包人应及时完成阶段验收鉴定书载明应由承包人处理的遗留问题。</w:t>
      </w:r>
    </w:p>
    <w:p w14:paraId="6B5C2CED">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18.6 专项验收</w:t>
      </w:r>
    </w:p>
    <w:p w14:paraId="616D686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18.6.1 发包人负责提出专项验收申请报告。承包人应按专项验收的相关规定参加专项验收。专项验收的具体类别在专用合同条款中约定。</w:t>
      </w:r>
    </w:p>
    <w:p w14:paraId="5EE4A6F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18.6.2 承包人应及时完成专项验收成果性文件载明应由承包人处理的遗留问题。</w:t>
      </w:r>
    </w:p>
    <w:p w14:paraId="1F767060">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18.7 竣工验收</w:t>
      </w:r>
    </w:p>
    <w:p w14:paraId="6A1325C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18.7.1 申请竣工验收前，发包人组织竣工验收自查，承包人应派代表参加。</w:t>
      </w:r>
    </w:p>
    <w:p w14:paraId="547CC7C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18.7.2 竣工验收分为竣工技术预验收和竣工验收两个阶段。发包人应通知承包人派代表参加技术预验收和竣工验收。</w:t>
      </w:r>
    </w:p>
    <w:p w14:paraId="645C515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18.7.3 专用合同条款约定工程需要进行技术鉴定的，承包人应提交有关资料并完成配合工作。</w:t>
      </w:r>
    </w:p>
    <w:p w14:paraId="37B0A61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18.7.4 竣工验收需要进行质量检测的，所需费用由发包人承担，但因承包人原因造成质量不合格的除外。</w:t>
      </w:r>
    </w:p>
    <w:p w14:paraId="596866F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18.7.5 工程质量保修期满以及竣工验收遗留问题和尾工处理完成并通过验收后，发包人负责将处理情况和验收成果报送竣工验收主持单位，申请领取工程竣工证书，并发送承包人。</w:t>
      </w:r>
    </w:p>
    <w:p w14:paraId="5E77A02C">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18.8 施工期运行</w:t>
      </w:r>
    </w:p>
    <w:p w14:paraId="4D2A8A9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18.8.1 施工期运行是指合同工程尚未全部完工，其中某单位工程或部分工程已完工，需要投入施工期运行的，经发包人按第18.2款或第18.3款的约定验收合格，证明能确保安全后，才能在施工期投入运行。需要在施工期运行的单位工程或部分工程在专用合同条款中约定。</w:t>
      </w:r>
    </w:p>
    <w:p w14:paraId="1EF54F1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18.8.2 在施工期运行中发现工程或工程设备损坏或存在缺陷的，由承包人按第19.2款约定进行修复。</w:t>
      </w:r>
    </w:p>
    <w:p w14:paraId="6C95B358">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18.9 试运行</w:t>
      </w:r>
    </w:p>
    <w:p w14:paraId="244938A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18.9.1 除专用合同条款另有约定外，承包人应按规定进行工程及工程设备试运行，负责提供试运行所需的人员、器材和必要的条件，并承担全部试运行费用。</w:t>
      </w:r>
    </w:p>
    <w:p w14:paraId="2EBF41F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18.9.2 由于承包人的原因导致试运行失败的，承包人应采取措施保证试运行合格，并承担相应费用。由于发包人的原因导致试运行失败的，承包人应当采取措施保证试运行合格，发包人应承担由此产生的费用，并支付承包人合理利润。</w:t>
      </w:r>
    </w:p>
    <w:p w14:paraId="3DD080EF">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18.10 竣工（完工）清场</w:t>
      </w:r>
    </w:p>
    <w:p w14:paraId="67C2393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18.10.1 工程项目竣工（完工）清场的工作范围和内容在技术标准和要求（合同技术条款）中约定。</w:t>
      </w:r>
    </w:p>
    <w:p w14:paraId="740CEB2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18.10.2 承包人未按监理人的要求恢复临时占地，或者场地清理未达到合同约定的，发包人有权委托其它人恢复或清理，所发生的金额从拟支付给承包人的款项中扣除。</w:t>
      </w:r>
    </w:p>
    <w:p w14:paraId="34ECBCD8">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18.11 施工队伍的撤离</w:t>
      </w:r>
    </w:p>
    <w:p w14:paraId="7571A47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sz w:val="21"/>
          <w:szCs w:val="21"/>
          <w:highlight w:val="none"/>
        </w:rPr>
        <w:t>合同工程完工证书颁发后的56天内，除了经监理人同意需在缺陷责任期（工程质量保修期）内继续工作和使用的人员、施工设备和临时工程外，其余的人员、施工设备和临时工程均应撤离施工场地或拆除。除合同另有约定外，缺陷责任期（工程质量保修期）满时，承包人的人员和施工设备应全部撤离施工场地。</w:t>
      </w:r>
    </w:p>
    <w:p w14:paraId="61C7D5E6">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bookmarkStart w:id="18" w:name="_Toc265408508"/>
      <w:r>
        <w:rPr>
          <w:rFonts w:hint="eastAsia" w:ascii="宋体" w:hAnsi="宋体" w:eastAsia="宋体" w:cs="宋体"/>
          <w:b/>
          <w:bCs/>
          <w:sz w:val="21"/>
          <w:szCs w:val="21"/>
          <w:highlight w:val="none"/>
        </w:rPr>
        <w:t>19  缺陷责任与保修责任</w:t>
      </w:r>
      <w:bookmarkEnd w:id="18"/>
    </w:p>
    <w:p w14:paraId="6FC70C5E">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19.1 缺陷责任期（工程质量保修期）的起算时间</w:t>
      </w:r>
    </w:p>
    <w:p w14:paraId="782DFE6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除专用合同条款另有约定外，缺陷责任期（工程质量保修期）从工程通过合同工程完工验收后开始计算。在合同工程完工验收前，已经发包人提前验收的单位工程或部分工程，若未投入使用，其缺陷责任期（工程质量保修期）亦从工程通过合同工程完工验收后开始计算；若已投入使用，其缺陷责任期（工程质量保修期）从通过单位工程或部分工程投入使用验收后开始计算。缺陷责任期（工程质量保修期）的期限在专用合同条款中约定。</w:t>
      </w:r>
    </w:p>
    <w:p w14:paraId="5A8E3799">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19.2 缺陷责任</w:t>
      </w:r>
    </w:p>
    <w:p w14:paraId="098CBF2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19.2.1 承包人应在缺陷责任期内对己交付使用的工程承担缺陷责任。</w:t>
      </w:r>
    </w:p>
    <w:p w14:paraId="138B816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19.2.2 缺陷责任期内，发包人对己接收使用的工程负责日常维护工作。发包人在使用过程中，发现己接收的工程存在新的缺陷或已修复的缺陷部位或部件又遭损坏的，承包人应负责修复，直至检验合格为止。</w:t>
      </w:r>
    </w:p>
    <w:p w14:paraId="4834EB6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19.2.3 监理人和承包人应共同查清缺陷和（或）损坏的原因。经查明属承包人原因造成的，应由承包人承担修复和查验的费用。经查验属发包人原因造成的，发包人应承担修复和查验的费用，并支付承包人合理利润。</w:t>
      </w:r>
    </w:p>
    <w:p w14:paraId="330B478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19.2.4 承包人不能在合理时间内修复缺陷的，发包人可自行修复或委托其他人修复，所需费用和利润的承担，按第19.2.3 款约定办理。</w:t>
      </w:r>
    </w:p>
    <w:p w14:paraId="00CD2927">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19.3 缺陷责任期的延长</w:t>
      </w:r>
    </w:p>
    <w:p w14:paraId="13F5482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由于承包人原因造成某项缺陷或损坏使某项工程或工程设备不能按原．定目标使用而需要再次检查、检验和修复的，发包人有权要求承包人相应延长缺陷责任期，但缺陷责任期最长不超过2年。</w:t>
      </w:r>
    </w:p>
    <w:p w14:paraId="0F74BF2E">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19.4 进一步试验和试运行</w:t>
      </w:r>
    </w:p>
    <w:p w14:paraId="02F1D11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任何一项缺陷或损坏修复后，经检查证明其影响了工程或工程设备的使用性能，承包人应重新进行合同约定的试验和试运行，试验和试运行的全部费用应由责任方承担。</w:t>
      </w:r>
    </w:p>
    <w:p w14:paraId="6DEEDD17">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19.5 承包人的进入权</w:t>
      </w:r>
    </w:p>
    <w:p w14:paraId="5AE4321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缺陷责任期内承包人为缺陷修复工作需要，有权进入工程现场，但应遵守发包人的保安和保密规定。</w:t>
      </w:r>
    </w:p>
    <w:p w14:paraId="52C21102">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19.6 缺陷责任期终止证书（工程质量保修责任终止证书）</w:t>
      </w:r>
    </w:p>
    <w:p w14:paraId="5AA91D7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合同工程完工验收或投入使用验收后，发包人与承包人应办理工程交接手续，承包人应向发包人递交工程质量保修书。</w:t>
      </w:r>
    </w:p>
    <w:p w14:paraId="141B74C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缺陷责任期（工程质量保修期）满后30个工作日内，发包人应向承包人颁发工程质量保修责任终止证书，并退还剩余的质量保证金，但保修责任范围内的质量缺陷未处理完成的应除外。</w:t>
      </w:r>
    </w:p>
    <w:p w14:paraId="43A1F533">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19.7 保修责任</w:t>
      </w:r>
    </w:p>
    <w:p w14:paraId="1D9A7BB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合同当事人根据有关法律规定，在专用合同条款中约定工程质量保修范围、期限和责任。保修期自实际竣工日期起计算。在全部工程竣工验收前，已经发包人提前验收的单位工程，其保修期的起算日期相应提前。</w:t>
      </w:r>
    </w:p>
    <w:p w14:paraId="2F460322">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bookmarkStart w:id="19" w:name="_Toc265408509"/>
      <w:r>
        <w:rPr>
          <w:rFonts w:hint="eastAsia" w:ascii="宋体" w:hAnsi="宋体" w:eastAsia="宋体" w:cs="宋体"/>
          <w:b/>
          <w:bCs/>
          <w:sz w:val="21"/>
          <w:szCs w:val="21"/>
          <w:highlight w:val="none"/>
        </w:rPr>
        <w:t>20  保险</w:t>
      </w:r>
      <w:bookmarkEnd w:id="19"/>
    </w:p>
    <w:p w14:paraId="3C19AAA2">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20.1 工程保险</w:t>
      </w:r>
    </w:p>
    <w:p w14:paraId="473335E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除专用合同条款另有约定外，承包人应以发包人和承包人的共同名义向双方同意的保险人投保建筑工程一切险、安装工程一切险。其具体的投保内容、保险金额、保险费率、保险期限等有关内容在专用合同条款中约定。</w:t>
      </w:r>
    </w:p>
    <w:p w14:paraId="066C818F">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20.2 人员工伤事故的保险</w:t>
      </w:r>
    </w:p>
    <w:p w14:paraId="1719C76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20.2.1 承包人员工伤事故的保险</w:t>
      </w:r>
    </w:p>
    <w:p w14:paraId="6C7DB4F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承包人应依照有关法律规定参加工伤保险，为其履行合同所雇佣的全部人员，缴纳工伤保险费，并要求其分包人也进行此项保险。</w:t>
      </w:r>
    </w:p>
    <w:p w14:paraId="24C6994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20.2.2 发包人员工伤事故的保险</w:t>
      </w:r>
    </w:p>
    <w:p w14:paraId="75808F4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发包人应依照有关法律规定参加工伤保险，为其现场机构雇佣的全部人员，缴纳工伤保险费，并要求其监理人也进行此项保险。</w:t>
      </w:r>
    </w:p>
    <w:p w14:paraId="26D25A44">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20.3 人身意外伤害险</w:t>
      </w:r>
    </w:p>
    <w:p w14:paraId="365F401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20.3.1 发包人应在整个施工期间为其现场机构雇用的全部人员，投保人身意外伤害险，缴纳保险费，并要求其监理人也进行此项保险。</w:t>
      </w:r>
    </w:p>
    <w:p w14:paraId="7E3FDEB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20.3.2 承包人应在整个施工期间为其现场机构雇用的全部人员，投保人身意外伤害险，缴纳保险费，并要求其分包人也进行此项保险。</w:t>
      </w:r>
    </w:p>
    <w:p w14:paraId="09EB87FF">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20.4 第三者责任险</w:t>
      </w:r>
    </w:p>
    <w:p w14:paraId="4E558FF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20.4.1 第三者责任系指在保险期内，对因工程意外事故造成的、依法应由被保险人负责的工地上及毗邻地区的第三者人身伤亡、疾病或财产损失（本工程除外），以及被保险人因此而支付的诉讼费用和事先经保险人书面同意支付的其他费用等赔偿责任。</w:t>
      </w:r>
    </w:p>
    <w:p w14:paraId="0F87FB9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20.4.2 在缺陷责任期终止证书颁发前，承包人应以承包人和发包人的共同名义，投保第20.4.1 款约定的第三者责任险，其保险费率、保险金额等有关内容在专用合同条款中约定。</w:t>
      </w:r>
    </w:p>
    <w:p w14:paraId="26A3AFEB">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20.5 其他保险</w:t>
      </w:r>
    </w:p>
    <w:p w14:paraId="6DA68DE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除专用合同条款另有约定外，承包人应为其施工设备、进场的材料和工程设备等办理保险。</w:t>
      </w:r>
    </w:p>
    <w:p w14:paraId="4B072B29">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20.6 对各项保险的一般要求</w:t>
      </w:r>
    </w:p>
    <w:p w14:paraId="4C6859F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20.6.1 保险凭证</w:t>
      </w:r>
    </w:p>
    <w:p w14:paraId="028C438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承包人应在专用合同条款约定的期限内向发包人提交各项保险生效的证据和保险单副本，保险单必须与专用合同条款约定的条件保持一致。</w:t>
      </w:r>
    </w:p>
    <w:p w14:paraId="4692725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20.6.2 保险合同条款的变动</w:t>
      </w:r>
    </w:p>
    <w:p w14:paraId="3F47E44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承包人需要变动保险合同条款时，应事先征得发包人同意，并通知监理人。保险人作出变动的，承包人应在收到保险人通知后立即通知发包人和监理人。</w:t>
      </w:r>
    </w:p>
    <w:p w14:paraId="4795F8D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20.6.3 持续保险</w:t>
      </w:r>
    </w:p>
    <w:p w14:paraId="169CF96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承包人应与保险人保持联系，使保险人能够随时了解工程实施中的变动，并确保按保险合同条款要求持续保险。</w:t>
      </w:r>
    </w:p>
    <w:p w14:paraId="639861B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20.6.4 保险金不足的补偿</w:t>
      </w:r>
    </w:p>
    <w:p w14:paraId="279DBF1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保险金不足以补偿损失时，应由承包人和发包人各自负责补偿的范围和金额在专用合同条款中约定。</w:t>
      </w:r>
    </w:p>
    <w:p w14:paraId="200A6B6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20.6.5 未按约定投保的补救</w:t>
      </w:r>
    </w:p>
    <w:p w14:paraId="1CD0527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（l）由于负有投保义务的一方当事人未按合同约定办理保险，或未能使保险持续有效的，另一方当事人可代为办理，所需费用由对方当事人承担。</w:t>
      </w:r>
    </w:p>
    <w:p w14:paraId="49A5F32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（2）由于负有投保义务的一方当事人未按合同约定办理某项保险，导致受益人未能得到保险人的赔偿，原应从该项保险得到的保险金应由负有投保义务的一方当事人支付。</w:t>
      </w:r>
    </w:p>
    <w:p w14:paraId="1954B25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20.6.6 报告义务</w:t>
      </w:r>
    </w:p>
    <w:p w14:paraId="3C9C031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当保险事故发生时，投保人应按照保险单规定的条件和期限及时向保险人报告。</w:t>
      </w:r>
    </w:p>
    <w:p w14:paraId="5950BF1F">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20.7 风险责任的转移</w:t>
      </w:r>
    </w:p>
    <w:p w14:paraId="46800E9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工程通过合同工程完工验收并移交给发包人后，原由承包人应承担的风险责任，以及保险的责任、权利和义务同时转移给发包人，但承包人在缺陷责任期（工程质量保修期）前造成损失和损坏情形除外。</w:t>
      </w:r>
    </w:p>
    <w:p w14:paraId="4CEFF183">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bookmarkStart w:id="20" w:name="_Toc265408510"/>
      <w:r>
        <w:rPr>
          <w:rFonts w:hint="eastAsia" w:ascii="宋体" w:hAnsi="宋体" w:eastAsia="宋体" w:cs="宋体"/>
          <w:b/>
          <w:bCs/>
          <w:sz w:val="21"/>
          <w:szCs w:val="21"/>
          <w:highlight w:val="none"/>
        </w:rPr>
        <w:t>21  不可抗力</w:t>
      </w:r>
      <w:bookmarkEnd w:id="20"/>
    </w:p>
    <w:p w14:paraId="765D0499">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21.1 不可抗力的确认</w:t>
      </w:r>
    </w:p>
    <w:p w14:paraId="1FA6234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21.1.1 不可抗力是指承包人和发包人在订立合同时不可预见，在工程施工过程中不可避免发生并不能克服的自然灾害和社会性突发事件，如地震、海啸、瘟疫、水灾、骚乱、暴动、战争和专用合同条款约定的其他情形。</w:t>
      </w:r>
    </w:p>
    <w:p w14:paraId="7DF9B10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21.1.2 不可抗力发生后，发包人和承包人应及时认真统计所造成的损失，收集不可抗力造成损失的证据。合同双方对是否属于不可抗力或其损失的意见不一致的，由监理人按第3.5 款商定或确定。发生争议时，按第24条的约定办理。</w:t>
      </w:r>
    </w:p>
    <w:p w14:paraId="1473C449">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21.2 不可抗力的通知</w:t>
      </w:r>
    </w:p>
    <w:p w14:paraId="633B7E3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21.2.1 合同一方当事人遇到不可抗力事件，使其履行合同义务受到阻碍时，应立即通知合同另一方当事人和监理人，书面说明不可抗力和受阻碍的详细情况，并提供必要的证明。</w:t>
      </w:r>
    </w:p>
    <w:p w14:paraId="332C75C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21.2.2 如不可抗力持续发生，合同一方当事人应及时向合同另一方当事人和监理人提交中间报告，说明不可抗力和履行合同受阻的情况，并于不可抗力事件结束后28天内提交最终报告及有关资料。</w:t>
      </w:r>
    </w:p>
    <w:p w14:paraId="1F4768E6">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21.3 不可抗力后果及其处理</w:t>
      </w:r>
    </w:p>
    <w:p w14:paraId="6026EC1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21.3.1 不可抗力造成损害的责任</w:t>
      </w:r>
    </w:p>
    <w:p w14:paraId="4021912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除专用合同条款另有约定外，不可抗力导致的人员伤亡、财产损失、费用增加和（或）工期延误等后果，由合同双方按以下原则承担：</w:t>
      </w:r>
    </w:p>
    <w:p w14:paraId="6EAE91A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（1）永久工程，包括己运至施工场地的材料和工程设备的损害，以及因工程损害造成的第三者人员伤亡和财产损失由发包人承担；</w:t>
      </w:r>
    </w:p>
    <w:p w14:paraId="7FE97E3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（2）承包人设备的损坏由承包人承担；</w:t>
      </w:r>
    </w:p>
    <w:p w14:paraId="2A58D68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（3）发包人和承包人各自承担其人员伤亡和其他财产损失及其相关费用；</w:t>
      </w:r>
    </w:p>
    <w:p w14:paraId="60E6145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（4）承包人的停工损失由承包人承担，但停工期间应监理人要求照管工程和清理、修复工程的金额由发包人承担；</w:t>
      </w:r>
    </w:p>
    <w:p w14:paraId="11CEE4B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（5）不能按期竣工的，应合理延长工期，承包人不需支付逾期竣工违约金。发包人要求赶工的，承包人应采取赶工措施，赶工费用由发包人承担。</w:t>
      </w:r>
    </w:p>
    <w:p w14:paraId="4F956A1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21.3.2 延迟履行期间发生的不可抗力</w:t>
      </w:r>
    </w:p>
    <w:p w14:paraId="6E0A056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合同一方当事人延迟履行，在延迟履行期间发生不可抗力的，不免除其责任。</w:t>
      </w:r>
    </w:p>
    <w:p w14:paraId="1EFB1D0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21.3.3 避免和减少不可抗力损失</w:t>
      </w:r>
    </w:p>
    <w:p w14:paraId="583AB0D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不可抗力发生后，发包人和承包人均应采取措施尽量避免和减少损失的扩大，任何一方没有采取有效措施导致损失扩大的，应对扩大的损失承担责任。</w:t>
      </w:r>
    </w:p>
    <w:p w14:paraId="6F672E4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21.3.4 因不可抗力解除合同</w:t>
      </w:r>
    </w:p>
    <w:p w14:paraId="2D2A313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合同一方当事人因不可抗力不能履行合同的，应当及时通知对方解除合同。合同解除后，承包人应按照第22.2.5 款约定撤离施工场地。已经订货的材料、设备由订货方负责退货或解除订货合同，不能退还的货款和因退货、解除订货合同发生的费用，由发包人承担，因未及时退货造成的损失由责任方承担。合同解除后的付款，参照第22.2.4 款约定，由监理人按第3.5 款商定或确定。</w:t>
      </w:r>
    </w:p>
    <w:p w14:paraId="10736333">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bookmarkStart w:id="21" w:name="_Toc265408511"/>
      <w:r>
        <w:rPr>
          <w:rFonts w:hint="eastAsia" w:ascii="宋体" w:hAnsi="宋体" w:eastAsia="宋体" w:cs="宋体"/>
          <w:b/>
          <w:bCs/>
          <w:sz w:val="21"/>
          <w:szCs w:val="21"/>
          <w:highlight w:val="none"/>
        </w:rPr>
        <w:t>22  违约</w:t>
      </w:r>
      <w:bookmarkEnd w:id="21"/>
    </w:p>
    <w:p w14:paraId="4BD3DE67">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22.1 承包人违约</w:t>
      </w:r>
    </w:p>
    <w:p w14:paraId="592AA90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22.1.1 承包人违约的情形</w:t>
      </w:r>
    </w:p>
    <w:p w14:paraId="575D402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在履行合同过程中发生的下列情况属承包人违约：</w:t>
      </w:r>
    </w:p>
    <w:p w14:paraId="6F22F6D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（1）承包人违反第1.8 款或第4.3 款的约定，私自将合同的全部或部分权利转让给其他人，或私自将合同的全部或部分义务转移给其他人；</w:t>
      </w:r>
    </w:p>
    <w:p w14:paraId="7B6414D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（2）承包人违反第5.3 款或第6.4 款的约定，未经监理人批准，私自将己按合同约定进入施工场地的施工设备、临时设施或材料撤离施工场地；</w:t>
      </w:r>
    </w:p>
    <w:p w14:paraId="5CB9EA4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（3）承包人违反第5.4 款的约定使用了不合格材料或工程设备，工程质量达不到标准要求，又拒绝清除不合格工程；</w:t>
      </w:r>
    </w:p>
    <w:p w14:paraId="00B3B4A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（4）承包人未能按合同进度计划及时完成合同约定的工作，已造成或预期造成工期延误；</w:t>
      </w:r>
    </w:p>
    <w:p w14:paraId="16AED52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（5）承包人在缺陷责任期（工程质量保修期）内，未能对合同工程完工验收鉴定书所列的缺陷清单的内容或缺陷责任期（工程质量保修期）内发生的缺陷进行修复，而又拒绝按监理人指示再进行修补；</w:t>
      </w:r>
    </w:p>
    <w:p w14:paraId="3430A6A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（6）承包人无法继续履行或明确表示不履行或实质上己停止履行合同；</w:t>
      </w:r>
    </w:p>
    <w:p w14:paraId="6A50F84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（7）承包人不按合同约定履行义务的其他情况。</w:t>
      </w:r>
    </w:p>
    <w:p w14:paraId="7394B86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22.1.2 对承包人违约的处理</w:t>
      </w:r>
    </w:p>
    <w:p w14:paraId="6D35100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（l）承包人发生第22.1.1（6）目约定的违约情况时，发包人可通知承包人立即解除合同，并按有关法律处理。</w:t>
      </w:r>
    </w:p>
    <w:p w14:paraId="172A6EC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（2）承包人发生除第22.1.1（6）目约定以外的其他违约情况时，监理人可向承包人发出整改通知，要求其在指定的期限内改正。承包人应承担其违约所引起的费用增加和（或）工期延误。</w:t>
      </w:r>
    </w:p>
    <w:p w14:paraId="2964619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（3）经检查证明承包人已采取了有效措施纠正违约行为，具备复工条件的，可由监理人签发复工通知复工。</w:t>
      </w:r>
    </w:p>
    <w:p w14:paraId="2F4EF63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22.1.3 承包人违约解除合同</w:t>
      </w:r>
    </w:p>
    <w:p w14:paraId="118891E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监理人发出整改通知28天后，承包人仍不纠正违约行为的，发包人可向承包人发出解除合同通知。合同解除后，发包人可派员进驻施工场地，另行组织人员或委托其他承包人施工。发包人因继续完成该工程的需要，有权扣留使用承包人在现场的材料、设备和临时设施。但发包人的这一行动不免除承包人应承担的违约责任，也不影响发包人根据合同约定享有的索赔权利。</w:t>
      </w:r>
    </w:p>
    <w:p w14:paraId="3F86F8D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22.1.4 合同解除后的估价、付款和结清</w:t>
      </w:r>
    </w:p>
    <w:p w14:paraId="5D6F3D4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（1）合同解除后，监理人按第3.5 款商定或确定承包人实际完成工作的价值，以及承包人己提供的材料、施工设备、工程设备和临时工程等的价值。</w:t>
      </w:r>
    </w:p>
    <w:p w14:paraId="0730460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（2）合同解除后，发包人应暂停对承包人的一切付款，查清各项付款和己扣款金额，包括承包人应支付的违约金。</w:t>
      </w:r>
    </w:p>
    <w:p w14:paraId="27B82B3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（3）合同解除后，发包人应按第23.4 款的约定向承包人索赔由于解除合同给发包人造成的损失。</w:t>
      </w:r>
    </w:p>
    <w:p w14:paraId="41AF3EF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（4）合同双方确认上述往来款项后，出具最终结清付款证书，结清全部合同款项。</w:t>
      </w:r>
    </w:p>
    <w:p w14:paraId="1280A46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（5）发包人和承包人未能就解除合同后的结清达成一致而形成争议的，按第24条的约定办理。</w:t>
      </w:r>
    </w:p>
    <w:p w14:paraId="296A691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22.1.5 协议利益的转让</w:t>
      </w:r>
    </w:p>
    <w:p w14:paraId="7D239AA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因承包人违约解除合同的，发包人有权要求承包人将其为实施合同而签订的材料和设备的订货协议或任何服务协议利益转让给发包人，并在解除合同后的14天内，依法办理转让手续。</w:t>
      </w:r>
    </w:p>
    <w:p w14:paraId="2F07696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22.1.6 紧急情况下无能力或不愿进行抢救</w:t>
      </w:r>
    </w:p>
    <w:p w14:paraId="45675C2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在工程实施期间或缺陷责任期内发生危及工程安全的事件，监理人通知承包人进行抢救，承包人声明无能力或不愿立即执行的，发包人有权雇佣其他人员进行抢救。此类抢救按合同约定属于承包人义务的，由此发生的金额和（或）工期延误由承包人承担。</w:t>
      </w:r>
    </w:p>
    <w:p w14:paraId="4526FC4B">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22.2 发包人违约</w:t>
      </w:r>
    </w:p>
    <w:p w14:paraId="41BBFDB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22.2.1 发包人违约的情形</w:t>
      </w:r>
    </w:p>
    <w:p w14:paraId="74389C1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在履行合同过程中发生的下列情形，属发包人违约：</w:t>
      </w:r>
    </w:p>
    <w:p w14:paraId="27F5E25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（l）发包人未能按合同约定支付预付款或合同价款，或拖延、拒绝批准付款申请和支付凭证，导致付款延误的；</w:t>
      </w:r>
    </w:p>
    <w:p w14:paraId="5158B10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（2）发包人原因造成停工的；</w:t>
      </w:r>
    </w:p>
    <w:p w14:paraId="25C1058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（3）监理人无正当理由没有在约定期限内发出复工指示，导致承包人无法复工的；</w:t>
      </w:r>
    </w:p>
    <w:p w14:paraId="5ED7BB9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（4）发包人无法继续履行或明确表示不履行或实质上已停止履行合同的；</w:t>
      </w:r>
    </w:p>
    <w:p w14:paraId="600BF33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（5）发包人不履行合同约定其他义务的。</w:t>
      </w:r>
    </w:p>
    <w:p w14:paraId="4563B34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22.2.2 承包人有权暂停施工</w:t>
      </w:r>
    </w:p>
    <w:p w14:paraId="17F13E7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发包人发生除第22.2.1（4）目以外的违约情况时，承包人可向发包人发出通知，要求发包人采取有效措施纠正违约行为。发包人收到承包人通知后的28天内仍不履行合同义务，承包人有权暂停施工，并通知监理人，发包人应承担由此增加的费用和（或）工期延误，并支付承包人合理利润。</w:t>
      </w:r>
    </w:p>
    <w:p w14:paraId="7049544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22.2.3 发包人违约解除合同</w:t>
      </w:r>
    </w:p>
    <w:p w14:paraId="75C56A1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（1）发生第22.2.1（4）目的违约情况时，承包人可书面通知发包人解除合同。</w:t>
      </w:r>
    </w:p>
    <w:p w14:paraId="1664441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（2）承包人按22.2.2 款暂停施工28天后，发包人仍不纠正违约行为的，承包人可向发包人发出解除合同通知。但承包人的这一行动不免除发包人承担的违约责任，也不影响承包人根据合同约定享有的索赔权利。</w:t>
      </w:r>
    </w:p>
    <w:p w14:paraId="5D633F2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22.2.4 解除合同后的付款</w:t>
      </w:r>
    </w:p>
    <w:p w14:paraId="6391F98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因发包人违约解除合同的，发包人应在解除合同后28天内向承包人支付下列金额，承包人应在此期限内及时向发包人提交要求支付下列金额的有关资料和凭证：</w:t>
      </w:r>
    </w:p>
    <w:p w14:paraId="173DD72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（l）合同解除日以前所完成工作的价款；</w:t>
      </w:r>
    </w:p>
    <w:p w14:paraId="24E2710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（2）承包人为该工程施工订购并己付款的材料、工程设备和其他物品的金额。发包人付还后，该材料、工程设备和其他物品归发包人所有；</w:t>
      </w:r>
    </w:p>
    <w:p w14:paraId="50C28D4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（3）承包人为完成工程所发生的，而发包人未支付的金额；</w:t>
      </w:r>
    </w:p>
    <w:p w14:paraId="6CDEFBF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（4）承包人撤离施工场地以及遣散承包人人员的金额；</w:t>
      </w:r>
    </w:p>
    <w:p w14:paraId="307AA6C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（5）由于解除合同应赔偿的承包人损失；</w:t>
      </w:r>
    </w:p>
    <w:p w14:paraId="1CC1E03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（6）按合同约定在合同解除日前应支付给承包人的其他金额。</w:t>
      </w:r>
    </w:p>
    <w:p w14:paraId="6F5150B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发包人应按本项约定支付上述金额并退还质量保证金和履约担保，但有权要求承包人支付应偿还给发包人的各项金额。</w:t>
      </w:r>
    </w:p>
    <w:p w14:paraId="65513AA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22.2.5 解除合同后的承包人撤离</w:t>
      </w:r>
    </w:p>
    <w:p w14:paraId="4043AF5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因发包人违约而解除合同后，承包人应妥善做好已竣工工程和己购材料、设备的保护和移交工作，按发包人要求将承包人设备和人员撤出施工场地。承包人撤出施工场地应遵守第</w:t>
      </w:r>
    </w:p>
    <w:p w14:paraId="5AEB75A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18.7.1 款的约定，发包人应为承包人撤出提供必要条件。</w:t>
      </w:r>
    </w:p>
    <w:p w14:paraId="2446EFEA">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22.3 第三人造成的违约</w:t>
      </w:r>
    </w:p>
    <w:p w14:paraId="30BA671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在履行合同过程中，一方当事人因第三人的原因造成违约的，应当向对方当事人承担违约责任。一方当事人和第三人之间的纠纷，依照法律规定或者按照约定解决。</w:t>
      </w:r>
    </w:p>
    <w:p w14:paraId="47E7386A">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bookmarkStart w:id="22" w:name="_Toc265408512"/>
      <w:r>
        <w:rPr>
          <w:rFonts w:hint="eastAsia" w:ascii="宋体" w:hAnsi="宋体" w:eastAsia="宋体" w:cs="宋体"/>
          <w:b/>
          <w:bCs/>
          <w:sz w:val="21"/>
          <w:szCs w:val="21"/>
          <w:highlight w:val="none"/>
        </w:rPr>
        <w:t>23  索赔</w:t>
      </w:r>
      <w:bookmarkEnd w:id="22"/>
    </w:p>
    <w:p w14:paraId="64434EB9">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23.1 承包人索赔的提出</w:t>
      </w:r>
    </w:p>
    <w:p w14:paraId="01CBA3E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根据合同约定，承包人认为有权得到追加付款和（或）延长工期的，应按以下程序向发包人提出索赔：</w:t>
      </w:r>
    </w:p>
    <w:p w14:paraId="68DABAB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（l）承包人应在知道或应当知道索赔事件发生后28 天内，向监理人递交索赔意向通知书，并说明发生索赔事件的事由。承包人未在前述28天内发出索赔意向通知书的，丧失要求追加付款和（或）延长工期的权利：</w:t>
      </w:r>
    </w:p>
    <w:p w14:paraId="7D8403C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（2）承包人应在发出索赔意向通知书后28天内，向监理人正式递交索赔通知书。索赔通知书应详细说明索赔理由以及要求追加的付款金额和（或）延长的工期，并附必要的记录和证明材料；</w:t>
      </w:r>
    </w:p>
    <w:p w14:paraId="1C44C6D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（3）索赔事件具有连续影响的，承包人应按合理时间间隔继续递交延续索赔通知，说明连续影响的实际情况和记录，列出累计的追加付款金额和（或）工期延长天数；</w:t>
      </w:r>
    </w:p>
    <w:p w14:paraId="563ACB5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（4）在索赔事件影响结束后的28 天内，承包人应向监理人递交最终索赔通知书，说明最终要求索赔的追加付款金额和延长的工期，并附必要的记录和证明材料。</w:t>
      </w:r>
    </w:p>
    <w:p w14:paraId="7C7AB6FD">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23.2 承包人索赔处理程序</w:t>
      </w:r>
    </w:p>
    <w:p w14:paraId="1C432B0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（1）监理人收到承包人提交的索赔通知书后，应及时审查索赔通知书的内容、杳验承包人的记录和证明材料，必要时监理人可要求承包人提交全部原始记录副本。</w:t>
      </w:r>
    </w:p>
    <w:p w14:paraId="5DB15CB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（2）监理人应按第3.5 款商定或确定追加的付款和（或）延长的工期，并在收到上述索赔通知书或有关索赔的进一步证明材料后的42天内，将索赔处理结果答复承包人。</w:t>
      </w:r>
    </w:p>
    <w:p w14:paraId="72EC434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（3）承包人接受索赔处理结果的，发包人应在作出索赔处理结果答复后28 天内完成赔付。承包人不接受索赔处理结果的，按第24条的约定办理。</w:t>
      </w:r>
    </w:p>
    <w:p w14:paraId="60B107D6">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23.3 承包人提出索赔的期限</w:t>
      </w:r>
    </w:p>
    <w:p w14:paraId="4826CFE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23.3.1 承包人按第17.5 款的约定接受了完工付款后，应被认为已无权再提出在合同工程完工证书颁发前所发生的任何索赔。</w:t>
      </w:r>
    </w:p>
    <w:p w14:paraId="3C44636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23.3.2承包人按第17.6款的约定提交的最终结清申请单中，只限于提出合同工程完工证书颁发后发生的索赔。提出索赔的期限自接受最终结清证书时终止。</w:t>
      </w:r>
    </w:p>
    <w:p w14:paraId="4C9661A9">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23.4 发包人的索赔</w:t>
      </w:r>
    </w:p>
    <w:p w14:paraId="087203D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23.4.1 发生索赔事件后，监理人应及时书面通知承包人，详细说明发包人有权得到的索赔金额和（或）延长缺陷责任期的细节和依据。发包人提出索赔的期限和要求与第23.3 款的约定相同，延长缺陷责任期的通知应在缺陷责任期届满前发出。</w:t>
      </w:r>
    </w:p>
    <w:p w14:paraId="6638A46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23.4.2 监理人按第3.5 款商定或确定发包人从承包人处得到赔付的金额和（或）缺陷责任期的延长期。承包人应付给发包人的金额可从拟支付给承包人的合同价款中扣除，或由承包人以其他方式支付给发包人。</w:t>
      </w:r>
    </w:p>
    <w:p w14:paraId="2ADB8A8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bookmarkStart w:id="23" w:name="_Toc265408513"/>
      <w:r>
        <w:rPr>
          <w:rFonts w:hint="eastAsia" w:ascii="宋体" w:hAnsi="宋体" w:eastAsia="宋体" w:cs="宋体"/>
          <w:sz w:val="21"/>
          <w:szCs w:val="21"/>
          <w:highlight w:val="none"/>
        </w:rPr>
        <w:t xml:space="preserve">23.4.3 </w:t>
      </w:r>
      <w:r>
        <w:rPr>
          <w:rFonts w:hint="eastAsia" w:ascii="宋体" w:hAnsi="宋体" w:eastAsia="宋体" w:cs="宋体"/>
          <w:sz w:val="21"/>
          <w:szCs w:val="21"/>
          <w:highlight w:val="none"/>
          <w:lang w:val="en-US" w:eastAsia="zh-CN"/>
        </w:rPr>
        <w:t>承包</w:t>
      </w:r>
      <w:r>
        <w:rPr>
          <w:rFonts w:hint="eastAsia" w:ascii="宋体" w:hAnsi="宋体" w:eastAsia="宋体" w:cs="宋体"/>
          <w:sz w:val="21"/>
          <w:szCs w:val="21"/>
          <w:highlight w:val="none"/>
        </w:rPr>
        <w:t>人对监理人按第23.4.1发出的索赔书面通知内容持异议时，应在收到书面通知后的14内， 将持有异议的书面报告及其证明材料提交监理人。监理人应在收到承包人书面报告后的14</w:t>
      </w:r>
      <w:r>
        <w:rPr>
          <w:rFonts w:hint="eastAsia" w:ascii="宋体" w:hAnsi="宋体" w:eastAsia="宋体" w:cs="宋体"/>
          <w:sz w:val="21"/>
          <w:szCs w:val="21"/>
          <w:highlight w:val="none"/>
          <w:lang w:val="en-US" w:eastAsia="zh-CN"/>
        </w:rPr>
        <w:t>天内</w:t>
      </w:r>
      <w:r>
        <w:rPr>
          <w:rFonts w:hint="eastAsia" w:ascii="宋体" w:hAnsi="宋体" w:eastAsia="宋体" w:cs="宋体"/>
          <w:sz w:val="21"/>
          <w:szCs w:val="21"/>
          <w:highlight w:val="none"/>
        </w:rPr>
        <w:t>，将异议的处理意见通知承包人，并按第23.4.2款的约定执行赔付。若承包人不接受监理人的索赔处理意见，可按本合同第24条规定办理。</w:t>
      </w:r>
    </w:p>
    <w:p w14:paraId="54D559B8">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24  争议的解决</w:t>
      </w:r>
      <w:bookmarkEnd w:id="23"/>
    </w:p>
    <w:p w14:paraId="5DB0E4D1">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24.1 争议的解决方式</w:t>
      </w:r>
    </w:p>
    <w:p w14:paraId="07E434D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发包人和承包人在履行合同中发生争议的，可以友好协商解决或者提请争议评审组评审。合同当事人友好协商解决不成、不愿提请争议评审或者不接受争议评审组意见的，可在专用合同条款中约定下列一种方式解决。</w:t>
      </w:r>
    </w:p>
    <w:p w14:paraId="4840CEE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（l）向约定的仲裁委员会申请仲裁；</w:t>
      </w:r>
    </w:p>
    <w:p w14:paraId="1290870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（2）向有管辖权的人民法院提起诉讼。</w:t>
      </w:r>
    </w:p>
    <w:p w14:paraId="249E78C5">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24.2 友好解决</w:t>
      </w:r>
    </w:p>
    <w:p w14:paraId="2626C37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在提请争议评审、仲裁或者诉讼前，以及在争议评审、仲裁或诉讼过程中，发包人和承包人均可共同努力友好协商解决争议。</w:t>
      </w:r>
    </w:p>
    <w:p w14:paraId="1F2803F3">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24.3 争议评审</w:t>
      </w:r>
    </w:p>
    <w:p w14:paraId="52C6B4D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24.3.1 采用争议评审的，发包人和承包人应在开工日后的28天内或在争议发生后，协商成立争议评审组。争议评审组由有合同管理和工程实践经验的专家组成。</w:t>
      </w:r>
    </w:p>
    <w:p w14:paraId="0ADFDCA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24.3.2 合同双方的争议，应首先由申请人向争议评审组提交一份详细的评审申请报告，并附必要的文件、图纸和证明材料，申请人还应将上述报告的副本同时提交给被申请人和监理人。</w:t>
      </w:r>
    </w:p>
    <w:p w14:paraId="7232AD8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24.3.3 被申请人在收到申请人评审申请报告副本后的28 天内，向争议评审组提交一份答辩报告，并附证明材料。被申请人应将答辩报告的副本同时提交给申请人和监理人。</w:t>
      </w:r>
    </w:p>
    <w:p w14:paraId="725CC78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24.3.4 除专用合同条款另有约定外，争议评审组在收到合同双方报告后的14天内，邀请双方代表和有关人员举行调查会，向双方调查争议细节；必要时争议评审组可要求双方进一步提供补充材料。</w:t>
      </w:r>
    </w:p>
    <w:p w14:paraId="60E0458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24.3.5 除专用合同条款另有约定外，在调查会结束后的14天内，争议评审组应在不受任何干扰的情况下进行独立、公正的评审，作出书面评审意见，并说明理由。在争议评审期间，争议双方暂按总监理工程师的确定执行。</w:t>
      </w:r>
    </w:p>
    <w:p w14:paraId="4328893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24.3.6 发包人和承包人接受评审意见的，由监理人根据评审意见拟定执行协议，经争议双方签字后作为合同的补充文件，并遵照执行。</w:t>
      </w:r>
    </w:p>
    <w:p w14:paraId="4AE1508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24.3.7 发包人或承包人不接受评审意见，并要求提交仲裁或提起诉讼的，应在收到评审意见后的14 天内将仲裁或起诉意向书面通知另一方，并抄送监理人，但在仲裁或诉讼结束前应暂按总监理工程师的确定执行。</w:t>
      </w:r>
    </w:p>
    <w:p w14:paraId="4A94A43B">
      <w:pPr>
        <w:pStyle w:val="7"/>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24.4 仲裁</w:t>
      </w:r>
    </w:p>
    <w:p w14:paraId="0039FB2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24.4.1 若合同双方商定直接向仲裁机构申请仲裁， 应签订仲裁协议并约定仲裁机构。</w:t>
      </w:r>
    </w:p>
    <w:p w14:paraId="63EBBFE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24.4.2 若合同双方未能达成仲裁协议，则本合同的仲裁条款无效，任一方均有权向人民法院提起诉讼。</w:t>
      </w:r>
    </w:p>
    <w:p w14:paraId="76C0027F">
      <w:pPr>
        <w:pStyle w:val="6"/>
        <w:pageBreakBefore w:val="0"/>
        <w:widowControl w:val="0"/>
        <w:kinsoku/>
        <w:wordWrap/>
        <w:overflowPunct/>
        <w:topLinePunct w:val="0"/>
        <w:autoSpaceDE/>
        <w:autoSpaceDN/>
        <w:bidi w:val="0"/>
        <w:adjustRightInd/>
        <w:snapToGrid/>
        <w:spacing w:line="312" w:lineRule="auto"/>
        <w:jc w:val="center"/>
        <w:textAlignment w:val="auto"/>
        <w:rPr>
          <w:highlight w:val="none"/>
        </w:rPr>
      </w:pPr>
      <w:bookmarkStart w:id="24" w:name="_Toc265408514"/>
      <w:r>
        <w:rPr>
          <w:rFonts w:hAnsi="宋体"/>
          <w:highlight w:val="none"/>
        </w:rPr>
        <w:br w:type="page"/>
      </w:r>
      <w:r>
        <w:rPr>
          <w:rFonts w:hAnsi="宋体"/>
          <w:sz w:val="28"/>
          <w:szCs w:val="28"/>
          <w:highlight w:val="none"/>
        </w:rPr>
        <w:t>第</w:t>
      </w:r>
      <w:r>
        <w:rPr>
          <w:rFonts w:hint="eastAsia"/>
          <w:sz w:val="28"/>
          <w:szCs w:val="28"/>
          <w:highlight w:val="none"/>
          <w:lang w:val="en-US" w:eastAsia="zh-CN"/>
        </w:rPr>
        <w:t>三</w:t>
      </w:r>
      <w:r>
        <w:rPr>
          <w:rFonts w:hint="eastAsia" w:hAnsi="宋体"/>
          <w:sz w:val="28"/>
          <w:szCs w:val="28"/>
          <w:highlight w:val="none"/>
          <w:lang w:val="en-US" w:eastAsia="zh-CN"/>
        </w:rPr>
        <w:t>部分</w:t>
      </w:r>
      <w:r>
        <w:rPr>
          <w:sz w:val="28"/>
          <w:szCs w:val="28"/>
          <w:highlight w:val="none"/>
        </w:rPr>
        <w:t xml:space="preserve">  </w:t>
      </w:r>
      <w:r>
        <w:rPr>
          <w:rFonts w:hAnsi="宋体"/>
          <w:sz w:val="28"/>
          <w:szCs w:val="28"/>
          <w:highlight w:val="none"/>
        </w:rPr>
        <w:t>专用合同条款</w:t>
      </w:r>
      <w:bookmarkEnd w:id="24"/>
    </w:p>
    <w:p w14:paraId="591BEA9B">
      <w:pPr>
        <w:pStyle w:val="6"/>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sz w:val="21"/>
          <w:szCs w:val="21"/>
          <w:highlight w:val="none"/>
        </w:rPr>
      </w:pPr>
      <w:bookmarkStart w:id="25" w:name="_Toc265408515"/>
      <w:r>
        <w:rPr>
          <w:sz w:val="21"/>
          <w:szCs w:val="21"/>
          <w:highlight w:val="none"/>
        </w:rPr>
        <w:t xml:space="preserve">1 </w:t>
      </w:r>
      <w:r>
        <w:rPr>
          <w:rFonts w:hAnsi="宋体"/>
          <w:sz w:val="21"/>
          <w:szCs w:val="21"/>
          <w:highlight w:val="none"/>
        </w:rPr>
        <w:t>一般约定</w:t>
      </w:r>
      <w:bookmarkEnd w:id="25"/>
    </w:p>
    <w:p w14:paraId="609CFB31">
      <w:pPr>
        <w:pStyle w:val="6"/>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1.1 词语定义</w:t>
      </w:r>
    </w:p>
    <w:p w14:paraId="1A2D3AF6">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sz w:val="21"/>
          <w:szCs w:val="21"/>
          <w:highlight w:val="none"/>
        </w:rPr>
        <w:t xml:space="preserve">1.1.2 </w:t>
      </w:r>
      <w:r>
        <w:rPr>
          <w:rFonts w:hAnsi="宋体"/>
          <w:sz w:val="21"/>
          <w:szCs w:val="21"/>
          <w:highlight w:val="none"/>
        </w:rPr>
        <w:t>合同当事人和人员</w:t>
      </w:r>
    </w:p>
    <w:p w14:paraId="5CD3AD46">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default" w:ascii="Times New Roman" w:hAnsi="宋体" w:eastAsia="宋体" w:cs="Times New Roman"/>
          <w:sz w:val="21"/>
          <w:szCs w:val="21"/>
          <w:highlight w:val="none"/>
          <w:u w:val="none"/>
          <w:lang w:val="en-US"/>
        </w:rPr>
      </w:pPr>
      <w:r>
        <w:rPr>
          <w:sz w:val="21"/>
          <w:szCs w:val="21"/>
          <w:highlight w:val="none"/>
        </w:rPr>
        <w:t xml:space="preserve">1.1.2.2 </w:t>
      </w:r>
      <w:r>
        <w:rPr>
          <w:rFonts w:hAnsi="宋体"/>
          <w:sz w:val="21"/>
          <w:szCs w:val="21"/>
          <w:highlight w:val="none"/>
        </w:rPr>
        <w:t>发包人：</w:t>
      </w:r>
      <w:r>
        <w:rPr>
          <w:rFonts w:hint="eastAsia" w:hAnsi="宋体" w:cs="Times New Roman"/>
          <w:szCs w:val="21"/>
          <w:highlight w:val="none"/>
          <w:u w:val="single"/>
          <w:lang w:eastAsia="zh-CN"/>
        </w:rPr>
        <w:t>西安市长安区河道管理中心</w:t>
      </w:r>
      <w:r>
        <w:rPr>
          <w:rFonts w:hint="eastAsia" w:ascii="Times New Roman" w:hAnsi="Times New Roman" w:eastAsia="宋体" w:cs="Times New Roman"/>
          <w:kern w:val="2"/>
          <w:sz w:val="21"/>
          <w:szCs w:val="21"/>
          <w:highlight w:val="none"/>
          <w:u w:val="none"/>
          <w:lang w:val="en-US" w:eastAsia="zh-CN" w:bidi="ar-SA"/>
        </w:rPr>
        <w:t>。</w:t>
      </w:r>
    </w:p>
    <w:p w14:paraId="61B30A13">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sz w:val="21"/>
          <w:szCs w:val="21"/>
          <w:highlight w:val="none"/>
        </w:rPr>
        <w:t xml:space="preserve">1.1.2.3 </w:t>
      </w:r>
      <w:r>
        <w:rPr>
          <w:rFonts w:hAnsi="宋体"/>
          <w:sz w:val="21"/>
          <w:szCs w:val="21"/>
          <w:highlight w:val="none"/>
        </w:rPr>
        <w:t>承包人：</w:t>
      </w:r>
      <w:r>
        <w:rPr>
          <w:sz w:val="21"/>
          <w:szCs w:val="21"/>
          <w:highlight w:val="none"/>
          <w:u w:val="single"/>
        </w:rPr>
        <w:t xml:space="preserve"> </w:t>
      </w:r>
      <w:r>
        <w:rPr>
          <w:rFonts w:hAnsi="宋体"/>
          <w:sz w:val="21"/>
          <w:szCs w:val="21"/>
          <w:highlight w:val="none"/>
          <w:u w:val="single"/>
        </w:rPr>
        <w:t>（签约后填入承包人的名称）</w:t>
      </w:r>
      <w:r>
        <w:rPr>
          <w:sz w:val="21"/>
          <w:szCs w:val="21"/>
          <w:highlight w:val="none"/>
          <w:u w:val="single"/>
        </w:rPr>
        <w:t xml:space="preserve"> </w:t>
      </w:r>
      <w:r>
        <w:rPr>
          <w:rFonts w:hAnsi="宋体"/>
          <w:sz w:val="21"/>
          <w:szCs w:val="21"/>
          <w:highlight w:val="none"/>
        </w:rPr>
        <w:t>。</w:t>
      </w:r>
    </w:p>
    <w:p w14:paraId="56C5FB2B">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sz w:val="21"/>
          <w:szCs w:val="21"/>
          <w:highlight w:val="none"/>
        </w:rPr>
        <w:t xml:space="preserve">1.1.2.5 </w:t>
      </w:r>
      <w:r>
        <w:rPr>
          <w:rFonts w:hAnsi="宋体"/>
          <w:sz w:val="21"/>
          <w:szCs w:val="21"/>
          <w:highlight w:val="none"/>
        </w:rPr>
        <w:t>分包人：</w:t>
      </w:r>
      <w:r>
        <w:rPr>
          <w:rFonts w:hAnsi="宋体"/>
          <w:sz w:val="21"/>
          <w:szCs w:val="21"/>
          <w:highlight w:val="none"/>
          <w:u w:val="single"/>
        </w:rPr>
        <w:t>　　　</w:t>
      </w:r>
      <w:r>
        <w:rPr>
          <w:rFonts w:hint="eastAsia" w:hAnsi="宋体"/>
          <w:sz w:val="21"/>
          <w:szCs w:val="21"/>
          <w:highlight w:val="none"/>
          <w:u w:val="single"/>
        </w:rPr>
        <w:t xml:space="preserve">     不适用</w:t>
      </w:r>
      <w:r>
        <w:rPr>
          <w:sz w:val="21"/>
          <w:szCs w:val="21"/>
          <w:highlight w:val="none"/>
          <w:u w:val="single"/>
        </w:rPr>
        <w:t xml:space="preserve">         </w:t>
      </w:r>
      <w:r>
        <w:rPr>
          <w:rFonts w:hAnsi="宋体"/>
          <w:sz w:val="21"/>
          <w:szCs w:val="21"/>
          <w:highlight w:val="none"/>
          <w:u w:val="single"/>
        </w:rPr>
        <w:t>　</w:t>
      </w:r>
      <w:r>
        <w:rPr>
          <w:rFonts w:hAnsi="宋体"/>
          <w:sz w:val="21"/>
          <w:szCs w:val="21"/>
          <w:highlight w:val="none"/>
        </w:rPr>
        <w:t>。</w:t>
      </w:r>
    </w:p>
    <w:p w14:paraId="192A033D">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sz w:val="21"/>
          <w:szCs w:val="21"/>
          <w:highlight w:val="none"/>
        </w:rPr>
        <w:t xml:space="preserve">1.1.2.6 </w:t>
      </w:r>
      <w:r>
        <w:rPr>
          <w:rFonts w:hAnsi="宋体"/>
          <w:sz w:val="21"/>
          <w:szCs w:val="21"/>
          <w:highlight w:val="none"/>
        </w:rPr>
        <w:t>监理人：</w:t>
      </w:r>
      <w:r>
        <w:rPr>
          <w:rFonts w:hint="eastAsia" w:hAnsi="宋体"/>
          <w:sz w:val="21"/>
          <w:szCs w:val="21"/>
          <w:highlight w:val="none"/>
          <w:u w:val="single"/>
        </w:rPr>
        <w:t xml:space="preserve">     </w:t>
      </w:r>
      <w:r>
        <w:rPr>
          <w:rFonts w:hAnsi="宋体"/>
          <w:sz w:val="21"/>
          <w:szCs w:val="21"/>
          <w:highlight w:val="none"/>
          <w:u w:val="single"/>
        </w:rPr>
        <w:t>（填入监理人名称）</w:t>
      </w:r>
      <w:r>
        <w:rPr>
          <w:rFonts w:hint="eastAsia" w:hAnsi="宋体"/>
          <w:sz w:val="21"/>
          <w:szCs w:val="21"/>
          <w:highlight w:val="none"/>
          <w:u w:val="single"/>
        </w:rPr>
        <w:t xml:space="preserve">   </w:t>
      </w:r>
      <w:r>
        <w:rPr>
          <w:rFonts w:hAnsi="宋体"/>
          <w:sz w:val="21"/>
          <w:szCs w:val="21"/>
          <w:highlight w:val="none"/>
          <w:u w:val="single"/>
        </w:rPr>
        <w:t>　</w:t>
      </w:r>
      <w:r>
        <w:rPr>
          <w:rFonts w:hAnsi="宋体"/>
          <w:sz w:val="21"/>
          <w:szCs w:val="21"/>
          <w:highlight w:val="none"/>
        </w:rPr>
        <w:t>。</w:t>
      </w:r>
    </w:p>
    <w:p w14:paraId="3A72190F">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sz w:val="21"/>
          <w:szCs w:val="21"/>
          <w:highlight w:val="none"/>
        </w:rPr>
        <w:t>1.1.4</w:t>
      </w:r>
      <w:r>
        <w:rPr>
          <w:rFonts w:hAnsi="宋体"/>
          <w:sz w:val="21"/>
          <w:szCs w:val="21"/>
          <w:highlight w:val="none"/>
        </w:rPr>
        <w:t>日期</w:t>
      </w:r>
    </w:p>
    <w:p w14:paraId="29B64F23">
      <w:pPr>
        <w:pageBreakBefore w:val="0"/>
        <w:widowControl w:val="0"/>
        <w:kinsoku/>
        <w:wordWrap/>
        <w:overflowPunct/>
        <w:topLinePunct w:val="0"/>
        <w:autoSpaceDE/>
        <w:autoSpaceDN/>
        <w:bidi w:val="0"/>
        <w:adjustRightInd/>
        <w:snapToGrid/>
        <w:spacing w:line="312" w:lineRule="auto"/>
        <w:ind w:firstLine="420" w:firstLineChars="200"/>
        <w:textAlignment w:val="auto"/>
        <w:rPr>
          <w:rFonts w:hAnsi="宋体"/>
          <w:sz w:val="21"/>
          <w:szCs w:val="21"/>
          <w:highlight w:val="none"/>
        </w:rPr>
      </w:pPr>
      <w:r>
        <w:rPr>
          <w:sz w:val="21"/>
          <w:szCs w:val="21"/>
          <w:highlight w:val="none"/>
        </w:rPr>
        <w:t xml:space="preserve">1.1.4.5 </w:t>
      </w:r>
      <w:r>
        <w:rPr>
          <w:rFonts w:hAnsi="宋体"/>
          <w:sz w:val="21"/>
          <w:szCs w:val="21"/>
          <w:highlight w:val="none"/>
        </w:rPr>
        <w:t>缺陷责任期（工程质量保修期）：</w:t>
      </w:r>
      <w:r>
        <w:rPr>
          <w:rFonts w:hint="eastAsia" w:hAnsi="宋体" w:cs="Times New Roman"/>
          <w:sz w:val="21"/>
          <w:szCs w:val="21"/>
          <w:highlight w:val="none"/>
          <w:u w:val="single"/>
          <w:lang w:eastAsia="zh-CN"/>
        </w:rPr>
        <w:t>通过合同工程验收之日起12个月</w:t>
      </w:r>
      <w:r>
        <w:rPr>
          <w:rFonts w:hint="eastAsia" w:ascii="Times New Roman" w:hAnsi="Times New Roman" w:eastAsia="宋体" w:cs="Times New Roman"/>
          <w:kern w:val="2"/>
          <w:sz w:val="21"/>
          <w:szCs w:val="21"/>
          <w:highlight w:val="none"/>
          <w:lang w:val="en-US" w:eastAsia="zh-CN" w:bidi="ar-SA"/>
        </w:rPr>
        <w:t>。</w:t>
      </w:r>
    </w:p>
    <w:p w14:paraId="64F98949">
      <w:pPr>
        <w:pStyle w:val="6"/>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hint="eastAsia" w:ascii="宋体" w:hAnsi="Times New Roman" w:eastAsia="宋体" w:cs="Times New Roman"/>
          <w:b/>
          <w:bCs/>
          <w:sz w:val="21"/>
          <w:szCs w:val="21"/>
          <w:highlight w:val="none"/>
          <w:lang w:val="en-US" w:eastAsia="zh-CN"/>
        </w:rPr>
      </w:pPr>
      <w:r>
        <w:rPr>
          <w:rFonts w:hint="eastAsia" w:ascii="宋体" w:hAnsi="Times New Roman" w:eastAsia="宋体" w:cs="Times New Roman"/>
          <w:b/>
          <w:bCs/>
          <w:sz w:val="21"/>
          <w:szCs w:val="21"/>
          <w:highlight w:val="none"/>
          <w:lang w:val="en-US" w:eastAsia="zh-CN"/>
        </w:rPr>
        <w:t>1.4 合同文件的优先顺序</w:t>
      </w:r>
    </w:p>
    <w:p w14:paraId="64E55E17">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kern w:val="2"/>
          <w:sz w:val="21"/>
          <w:szCs w:val="21"/>
          <w:highlight w:val="none"/>
          <w:lang w:val="en-US" w:eastAsia="zh-CN" w:bidi="ar-SA"/>
        </w:rPr>
        <w:t>进入合同文件的各项文件及其优先顺序：</w:t>
      </w:r>
    </w:p>
    <w:p w14:paraId="3DF59E14">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kern w:val="2"/>
          <w:sz w:val="21"/>
          <w:szCs w:val="21"/>
          <w:highlight w:val="none"/>
          <w:lang w:val="en-US" w:eastAsia="zh-CN" w:bidi="ar-SA"/>
        </w:rPr>
        <w:t>（l）合同协议书；</w:t>
      </w:r>
    </w:p>
    <w:p w14:paraId="0C6EB2F4">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kern w:val="2"/>
          <w:sz w:val="21"/>
          <w:szCs w:val="21"/>
          <w:highlight w:val="none"/>
          <w:lang w:val="en-US" w:eastAsia="zh-CN" w:bidi="ar-SA"/>
        </w:rPr>
        <w:t>（2）专用合同条款；</w:t>
      </w:r>
    </w:p>
    <w:p w14:paraId="7821FE9F">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kern w:val="2"/>
          <w:sz w:val="21"/>
          <w:szCs w:val="21"/>
          <w:highlight w:val="none"/>
          <w:lang w:val="en-US" w:eastAsia="zh-CN" w:bidi="ar-SA"/>
        </w:rPr>
        <w:t>（3）通用合同条款；</w:t>
      </w:r>
    </w:p>
    <w:p w14:paraId="2A554768">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kern w:val="2"/>
          <w:sz w:val="21"/>
          <w:szCs w:val="21"/>
          <w:highlight w:val="none"/>
          <w:lang w:val="en-US" w:eastAsia="zh-CN" w:bidi="ar-SA"/>
        </w:rPr>
        <w:t>（4）</w:t>
      </w:r>
      <w:r>
        <w:rPr>
          <w:rFonts w:hint="eastAsia" w:cs="Times New Roman"/>
          <w:kern w:val="2"/>
          <w:sz w:val="21"/>
          <w:szCs w:val="21"/>
          <w:highlight w:val="none"/>
          <w:lang w:val="en-US" w:eastAsia="zh-CN" w:bidi="ar-SA"/>
        </w:rPr>
        <w:t>成交</w:t>
      </w:r>
      <w:r>
        <w:rPr>
          <w:rFonts w:hint="eastAsia" w:ascii="Times New Roman" w:hAnsi="Times New Roman" w:eastAsia="宋体" w:cs="Times New Roman"/>
          <w:kern w:val="2"/>
          <w:sz w:val="21"/>
          <w:szCs w:val="21"/>
          <w:highlight w:val="none"/>
          <w:lang w:val="en-US" w:eastAsia="zh-CN" w:bidi="ar-SA"/>
        </w:rPr>
        <w:t>通知书；</w:t>
      </w:r>
    </w:p>
    <w:p w14:paraId="5166B6C1">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kern w:val="2"/>
          <w:sz w:val="21"/>
          <w:szCs w:val="21"/>
          <w:highlight w:val="none"/>
          <w:lang w:val="en-US" w:eastAsia="zh-CN" w:bidi="ar-SA"/>
        </w:rPr>
        <w:t>（5）投标函及投标函附录；</w:t>
      </w:r>
    </w:p>
    <w:p w14:paraId="1BA680E2">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kern w:val="2"/>
          <w:sz w:val="21"/>
          <w:szCs w:val="21"/>
          <w:highlight w:val="none"/>
          <w:lang w:val="en-US" w:eastAsia="zh-CN" w:bidi="ar-SA"/>
        </w:rPr>
        <w:t>（6）技术标准和要求；</w:t>
      </w:r>
    </w:p>
    <w:p w14:paraId="47FBB65E">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kern w:val="2"/>
          <w:sz w:val="21"/>
          <w:szCs w:val="21"/>
          <w:highlight w:val="none"/>
          <w:lang w:val="en-US" w:eastAsia="zh-CN" w:bidi="ar-SA"/>
        </w:rPr>
        <w:t>（7）图纸；</w:t>
      </w:r>
    </w:p>
    <w:p w14:paraId="391BEB30">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kern w:val="2"/>
          <w:sz w:val="21"/>
          <w:szCs w:val="21"/>
          <w:highlight w:val="none"/>
          <w:lang w:val="en-US" w:eastAsia="zh-CN" w:bidi="ar-SA"/>
        </w:rPr>
        <w:t>（8）已标价工程量清单；</w:t>
      </w:r>
    </w:p>
    <w:p w14:paraId="409639C3">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kern w:val="2"/>
          <w:sz w:val="21"/>
          <w:szCs w:val="21"/>
          <w:highlight w:val="none"/>
          <w:lang w:val="en-US" w:eastAsia="zh-CN" w:bidi="ar-SA"/>
        </w:rPr>
        <w:t>（9）其他合同文件。</w:t>
      </w:r>
    </w:p>
    <w:p w14:paraId="650B5185">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lang w:val="en-US" w:eastAsia="zh-CN"/>
        </w:rPr>
      </w:pPr>
      <w:r>
        <w:rPr>
          <w:rFonts w:hint="eastAsia" w:ascii="Times New Roman" w:hAnsi="Times New Roman" w:eastAsia="宋体" w:cs="Times New Roman"/>
          <w:kern w:val="2"/>
          <w:sz w:val="21"/>
          <w:szCs w:val="21"/>
          <w:highlight w:val="none"/>
          <w:lang w:val="en-US" w:eastAsia="zh-CN" w:bidi="ar-SA"/>
        </w:rPr>
        <w:t>以上合同文件就适用效力另有约定的从其约定，没有约定的，相关法律文件及条款法律效力依照本条上述约定在先的优先适用。</w:t>
      </w:r>
    </w:p>
    <w:p w14:paraId="5BA38C82">
      <w:pPr>
        <w:pStyle w:val="6"/>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1.7 联络</w:t>
      </w:r>
    </w:p>
    <w:p w14:paraId="294E9F68">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sz w:val="21"/>
          <w:szCs w:val="21"/>
          <w:highlight w:val="none"/>
        </w:rPr>
        <w:t xml:space="preserve">1.7.2 </w:t>
      </w:r>
      <w:r>
        <w:rPr>
          <w:rFonts w:hAnsi="宋体"/>
          <w:sz w:val="21"/>
          <w:szCs w:val="21"/>
          <w:highlight w:val="none"/>
        </w:rPr>
        <w:t>来往函件均应按技术标准和要求（合同技术条款）约定的期限送达</w:t>
      </w:r>
      <w:r>
        <w:rPr>
          <w:rFonts w:hint="eastAsia" w:hAnsi="宋体"/>
          <w:sz w:val="21"/>
          <w:szCs w:val="21"/>
          <w:highlight w:val="none"/>
          <w:u w:val="single"/>
          <w:lang w:val="en-US" w:eastAsia="zh-CN"/>
        </w:rPr>
        <w:t>发包人</w:t>
      </w:r>
      <w:r>
        <w:rPr>
          <w:rFonts w:hAnsi="宋体"/>
          <w:sz w:val="21"/>
          <w:szCs w:val="21"/>
          <w:highlight w:val="none"/>
          <w:u w:val="none"/>
        </w:rPr>
        <w:t>处</w:t>
      </w:r>
      <w:r>
        <w:rPr>
          <w:rFonts w:hAnsi="宋体"/>
          <w:sz w:val="21"/>
          <w:szCs w:val="21"/>
          <w:highlight w:val="none"/>
        </w:rPr>
        <w:t>。</w:t>
      </w:r>
    </w:p>
    <w:p w14:paraId="35DEB528">
      <w:pPr>
        <w:pStyle w:val="6"/>
        <w:pageBreakBefore w:val="0"/>
        <w:widowControl w:val="0"/>
        <w:kinsoku/>
        <w:wordWrap/>
        <w:overflowPunct/>
        <w:topLinePunct w:val="0"/>
        <w:autoSpaceDE/>
        <w:autoSpaceDN/>
        <w:bidi w:val="0"/>
        <w:adjustRightInd/>
        <w:snapToGrid/>
        <w:spacing w:before="156" w:beforeLines="50" w:after="156" w:afterLines="50" w:line="240" w:lineRule="auto"/>
        <w:jc w:val="both"/>
        <w:textAlignment w:val="auto"/>
        <w:rPr>
          <w:rFonts w:ascii="宋体" w:hAnsi="Times New Roman" w:eastAsia="宋体" w:cs="Times New Roman"/>
          <w:b/>
          <w:bCs/>
          <w:sz w:val="21"/>
          <w:szCs w:val="21"/>
          <w:highlight w:val="none"/>
        </w:rPr>
      </w:pPr>
      <w:bookmarkStart w:id="26" w:name="_Toc265408516"/>
      <w:r>
        <w:rPr>
          <w:rFonts w:ascii="宋体" w:hAnsi="Times New Roman" w:eastAsia="宋体" w:cs="Times New Roman"/>
          <w:b/>
          <w:bCs/>
          <w:sz w:val="21"/>
          <w:szCs w:val="21"/>
          <w:highlight w:val="none"/>
        </w:rPr>
        <w:t>2 发包人义务</w:t>
      </w:r>
      <w:bookmarkEnd w:id="26"/>
    </w:p>
    <w:p w14:paraId="340E201E">
      <w:pPr>
        <w:pStyle w:val="6"/>
        <w:pageBreakBefore w:val="0"/>
        <w:widowControl w:val="0"/>
        <w:kinsoku/>
        <w:wordWrap/>
        <w:overflowPunct/>
        <w:topLinePunct w:val="0"/>
        <w:autoSpaceDE/>
        <w:autoSpaceDN/>
        <w:bidi w:val="0"/>
        <w:adjustRightInd/>
        <w:snapToGrid/>
        <w:spacing w:before="156" w:beforeLines="50" w:after="156" w:afterLines="50" w:line="240"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2.3 提供施工场地</w:t>
      </w:r>
    </w:p>
    <w:p w14:paraId="24D68F27">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sz w:val="21"/>
          <w:szCs w:val="21"/>
          <w:highlight w:val="none"/>
        </w:rPr>
        <w:t xml:space="preserve">2.3.2 </w:t>
      </w:r>
      <w:r>
        <w:rPr>
          <w:rFonts w:hAnsi="宋体"/>
          <w:sz w:val="21"/>
          <w:szCs w:val="21"/>
          <w:highlight w:val="none"/>
        </w:rPr>
        <w:t>发包人提供的施工场地范围为：</w:t>
      </w:r>
      <w:r>
        <w:rPr>
          <w:rFonts w:hAnsi="宋体"/>
          <w:sz w:val="21"/>
          <w:szCs w:val="21"/>
          <w:highlight w:val="none"/>
          <w:u w:val="single"/>
        </w:rPr>
        <w:t>施工图纸指定范围</w:t>
      </w:r>
      <w:r>
        <w:rPr>
          <w:rFonts w:hAnsi="宋体"/>
          <w:sz w:val="21"/>
          <w:szCs w:val="21"/>
          <w:highlight w:val="none"/>
        </w:rPr>
        <w:t>。</w:t>
      </w:r>
    </w:p>
    <w:p w14:paraId="7EAAC9A1">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sz w:val="21"/>
          <w:szCs w:val="21"/>
          <w:highlight w:val="none"/>
        </w:rPr>
        <w:t xml:space="preserve">2.3.3 </w:t>
      </w:r>
      <w:r>
        <w:rPr>
          <w:rFonts w:hAnsi="宋体"/>
          <w:sz w:val="21"/>
          <w:szCs w:val="21"/>
          <w:highlight w:val="none"/>
        </w:rPr>
        <w:t>承包人自行勘察的施工场地范围为：</w:t>
      </w:r>
      <w:r>
        <w:rPr>
          <w:rFonts w:hAnsi="宋体"/>
          <w:sz w:val="21"/>
          <w:szCs w:val="21"/>
          <w:highlight w:val="none"/>
          <w:u w:val="single"/>
        </w:rPr>
        <w:t>施工图纸指定范围</w:t>
      </w:r>
      <w:r>
        <w:rPr>
          <w:rFonts w:hAnsi="宋体"/>
          <w:sz w:val="21"/>
          <w:szCs w:val="21"/>
          <w:highlight w:val="none"/>
        </w:rPr>
        <w:t>。</w:t>
      </w:r>
    </w:p>
    <w:p w14:paraId="19D9B408">
      <w:pPr>
        <w:pStyle w:val="6"/>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2.8 其它义务</w:t>
      </w:r>
    </w:p>
    <w:p w14:paraId="6B48FD8A">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rFonts w:hAnsi="宋体"/>
          <w:sz w:val="21"/>
          <w:szCs w:val="21"/>
          <w:highlight w:val="none"/>
        </w:rPr>
        <w:t>（根据发包人的合同管理要求补充）</w:t>
      </w:r>
    </w:p>
    <w:p w14:paraId="5ABCEDDC">
      <w:pPr>
        <w:pStyle w:val="6"/>
        <w:pageBreakBefore w:val="0"/>
        <w:widowControl w:val="0"/>
        <w:kinsoku/>
        <w:wordWrap/>
        <w:overflowPunct/>
        <w:topLinePunct w:val="0"/>
        <w:autoSpaceDE/>
        <w:autoSpaceDN/>
        <w:bidi w:val="0"/>
        <w:adjustRightInd/>
        <w:snapToGrid/>
        <w:spacing w:before="156" w:beforeLines="50" w:after="156" w:afterLines="50" w:line="240" w:lineRule="auto"/>
        <w:jc w:val="both"/>
        <w:textAlignment w:val="auto"/>
        <w:rPr>
          <w:rFonts w:ascii="宋体" w:hAnsi="Times New Roman" w:eastAsia="宋体" w:cs="Times New Roman"/>
          <w:b/>
          <w:bCs/>
          <w:sz w:val="21"/>
          <w:szCs w:val="21"/>
          <w:highlight w:val="none"/>
        </w:rPr>
      </w:pPr>
      <w:bookmarkStart w:id="27" w:name="_Toc265408517"/>
      <w:r>
        <w:rPr>
          <w:rFonts w:ascii="宋体" w:hAnsi="Times New Roman" w:eastAsia="宋体" w:cs="Times New Roman"/>
          <w:b/>
          <w:bCs/>
          <w:sz w:val="21"/>
          <w:szCs w:val="21"/>
          <w:highlight w:val="none"/>
        </w:rPr>
        <w:t>3 监理人</w:t>
      </w:r>
      <w:bookmarkEnd w:id="27"/>
    </w:p>
    <w:p w14:paraId="1BF609AF">
      <w:pPr>
        <w:pStyle w:val="6"/>
        <w:pageBreakBefore w:val="0"/>
        <w:widowControl w:val="0"/>
        <w:kinsoku/>
        <w:wordWrap/>
        <w:overflowPunct/>
        <w:topLinePunct w:val="0"/>
        <w:autoSpaceDE/>
        <w:autoSpaceDN/>
        <w:bidi w:val="0"/>
        <w:adjustRightInd/>
        <w:snapToGrid/>
        <w:spacing w:before="156" w:beforeLines="50" w:after="156" w:afterLines="50" w:line="240"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3.1 监理人的职责和权力</w:t>
      </w:r>
    </w:p>
    <w:p w14:paraId="7153B375">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sz w:val="21"/>
          <w:szCs w:val="21"/>
          <w:highlight w:val="none"/>
        </w:rPr>
        <w:t xml:space="preserve">3.1.1 </w:t>
      </w:r>
      <w:r>
        <w:rPr>
          <w:rFonts w:hAnsi="宋体"/>
          <w:sz w:val="21"/>
          <w:szCs w:val="21"/>
          <w:highlight w:val="none"/>
        </w:rPr>
        <w:t>监理人须根据发包人事先批准的权力范围行使权力，发包人批准的权力范围：</w:t>
      </w:r>
    </w:p>
    <w:p w14:paraId="5F8B1681">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rFonts w:hAnsi="宋体"/>
          <w:sz w:val="21"/>
          <w:szCs w:val="21"/>
          <w:highlight w:val="none"/>
        </w:rPr>
        <w:t>（１）按第</w:t>
      </w:r>
      <w:r>
        <w:rPr>
          <w:sz w:val="21"/>
          <w:szCs w:val="21"/>
          <w:highlight w:val="none"/>
        </w:rPr>
        <w:t>4.3</w:t>
      </w:r>
      <w:r>
        <w:rPr>
          <w:rFonts w:hAnsi="宋体"/>
          <w:sz w:val="21"/>
          <w:szCs w:val="21"/>
          <w:highlight w:val="none"/>
        </w:rPr>
        <w:t>款约定，批准工程的分包；</w:t>
      </w:r>
    </w:p>
    <w:p w14:paraId="32A1210A">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rFonts w:hAnsi="宋体"/>
          <w:sz w:val="21"/>
          <w:szCs w:val="21"/>
          <w:highlight w:val="none"/>
        </w:rPr>
        <w:t>（２）按第</w:t>
      </w:r>
      <w:r>
        <w:rPr>
          <w:sz w:val="21"/>
          <w:szCs w:val="21"/>
          <w:highlight w:val="none"/>
        </w:rPr>
        <w:t>11.3</w:t>
      </w:r>
      <w:r>
        <w:rPr>
          <w:rFonts w:hAnsi="宋体"/>
          <w:sz w:val="21"/>
          <w:szCs w:val="21"/>
          <w:highlight w:val="none"/>
        </w:rPr>
        <w:t>款约定，确定延长完工期限；</w:t>
      </w:r>
    </w:p>
    <w:p w14:paraId="0950A656">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rFonts w:hAnsi="宋体"/>
          <w:sz w:val="21"/>
          <w:szCs w:val="21"/>
          <w:highlight w:val="none"/>
        </w:rPr>
        <w:t>（３）按第</w:t>
      </w:r>
      <w:r>
        <w:rPr>
          <w:sz w:val="21"/>
          <w:szCs w:val="21"/>
          <w:highlight w:val="none"/>
        </w:rPr>
        <w:t>15.6</w:t>
      </w:r>
      <w:r>
        <w:rPr>
          <w:rFonts w:hAnsi="宋体"/>
          <w:sz w:val="21"/>
          <w:szCs w:val="21"/>
          <w:highlight w:val="none"/>
        </w:rPr>
        <w:t>款约定，批准暂列金额的使用；</w:t>
      </w:r>
    </w:p>
    <w:p w14:paraId="2EDC6C5B">
      <w:pPr>
        <w:pStyle w:val="6"/>
        <w:pageBreakBefore w:val="0"/>
        <w:widowControl w:val="0"/>
        <w:kinsoku/>
        <w:wordWrap/>
        <w:overflowPunct/>
        <w:topLinePunct w:val="0"/>
        <w:autoSpaceDE/>
        <w:autoSpaceDN/>
        <w:bidi w:val="0"/>
        <w:adjustRightInd/>
        <w:snapToGrid/>
        <w:spacing w:before="156" w:beforeLines="50" w:after="156" w:afterLines="50" w:line="240" w:lineRule="auto"/>
        <w:jc w:val="both"/>
        <w:textAlignment w:val="auto"/>
        <w:rPr>
          <w:rFonts w:ascii="宋体" w:hAnsi="Times New Roman" w:eastAsia="宋体" w:cs="Times New Roman"/>
          <w:b/>
          <w:bCs/>
          <w:sz w:val="21"/>
          <w:szCs w:val="21"/>
          <w:highlight w:val="none"/>
        </w:rPr>
      </w:pPr>
      <w:bookmarkStart w:id="28" w:name="_Toc265408518"/>
      <w:r>
        <w:rPr>
          <w:rFonts w:ascii="宋体" w:hAnsi="Times New Roman" w:eastAsia="宋体" w:cs="Times New Roman"/>
          <w:b/>
          <w:bCs/>
          <w:sz w:val="21"/>
          <w:szCs w:val="21"/>
          <w:highlight w:val="none"/>
        </w:rPr>
        <w:t>4 承包人</w:t>
      </w:r>
      <w:bookmarkEnd w:id="28"/>
    </w:p>
    <w:p w14:paraId="73F404BB">
      <w:pPr>
        <w:pStyle w:val="6"/>
        <w:pageBreakBefore w:val="0"/>
        <w:widowControl w:val="0"/>
        <w:kinsoku/>
        <w:wordWrap/>
        <w:overflowPunct/>
        <w:topLinePunct w:val="0"/>
        <w:autoSpaceDE/>
        <w:autoSpaceDN/>
        <w:bidi w:val="0"/>
        <w:adjustRightInd/>
        <w:snapToGrid/>
        <w:spacing w:before="156" w:beforeLines="50" w:after="156" w:afterLines="50" w:line="240"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4.1 承包人的一般义务</w:t>
      </w:r>
    </w:p>
    <w:p w14:paraId="64548D4A">
      <w:pPr>
        <w:pageBreakBefore w:val="0"/>
        <w:widowControl w:val="0"/>
        <w:kinsoku/>
        <w:wordWrap/>
        <w:overflowPunct/>
        <w:topLinePunct w:val="0"/>
        <w:autoSpaceDE/>
        <w:autoSpaceDN/>
        <w:bidi w:val="0"/>
        <w:adjustRightInd/>
        <w:snapToGrid/>
        <w:spacing w:line="360" w:lineRule="auto"/>
        <w:ind w:firstLine="420" w:firstLineChars="200"/>
        <w:textAlignment w:val="auto"/>
        <w:rPr>
          <w:rFonts w:hAnsi="宋体"/>
          <w:sz w:val="21"/>
          <w:szCs w:val="21"/>
          <w:highlight w:val="none"/>
        </w:rPr>
      </w:pPr>
      <w:r>
        <w:rPr>
          <w:sz w:val="21"/>
          <w:szCs w:val="21"/>
          <w:highlight w:val="none"/>
        </w:rPr>
        <w:t xml:space="preserve">4.1.10 </w:t>
      </w:r>
      <w:r>
        <w:rPr>
          <w:rFonts w:hAnsi="宋体"/>
          <w:sz w:val="21"/>
          <w:szCs w:val="21"/>
          <w:highlight w:val="none"/>
        </w:rPr>
        <w:t>其它义务：</w:t>
      </w:r>
    </w:p>
    <w:p w14:paraId="776B6B1A">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宋体" w:eastAsia="宋体" w:cs="Times New Roman"/>
          <w:sz w:val="21"/>
          <w:szCs w:val="21"/>
          <w:highlight w:val="none"/>
          <w:lang w:eastAsia="zh-CN"/>
        </w:rPr>
      </w:pPr>
      <w:r>
        <w:rPr>
          <w:rFonts w:hint="eastAsia" w:ascii="Times New Roman" w:hAnsi="宋体" w:eastAsia="宋体" w:cs="Times New Roman"/>
          <w:sz w:val="21"/>
          <w:szCs w:val="21"/>
          <w:highlight w:val="none"/>
          <w:lang w:eastAsia="zh-CN"/>
        </w:rPr>
        <w:t>（1）办理法律规定和合同约定由承包人办理的许可和批准，将办理结果书面报送发包人留存，并承担因承包人违反法律或合同约定给发包人造成的任何费用和损失；</w:t>
      </w:r>
    </w:p>
    <w:p w14:paraId="14B1CD03">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宋体" w:eastAsia="宋体" w:cs="Times New Roman"/>
          <w:sz w:val="21"/>
          <w:szCs w:val="21"/>
          <w:highlight w:val="none"/>
          <w:lang w:eastAsia="zh-CN"/>
        </w:rPr>
      </w:pPr>
      <w:r>
        <w:rPr>
          <w:rFonts w:hint="eastAsia" w:ascii="Times New Roman" w:hAnsi="宋体" w:eastAsia="宋体" w:cs="Times New Roman"/>
          <w:sz w:val="21"/>
          <w:szCs w:val="21"/>
          <w:highlight w:val="none"/>
          <w:lang w:eastAsia="zh-CN"/>
        </w:rPr>
        <w:t>（2）按法律规定和合同约定制定安全文明施工、职业健康和环境保护措施，负责办理员工工伤保险等相关保险，确保工程及人员、材料、设备和设施的安全，防止因工程实施造成的人身伤害和财产损失；承包人承担工程施工期间的一切安全责任，承担因工程施工造成的一切人员伤亡和财产损失的全部责任；</w:t>
      </w:r>
    </w:p>
    <w:p w14:paraId="47A03AB4">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宋体" w:eastAsia="宋体" w:cs="Times New Roman"/>
          <w:sz w:val="21"/>
          <w:szCs w:val="21"/>
          <w:highlight w:val="none"/>
          <w:lang w:eastAsia="zh-CN"/>
        </w:rPr>
      </w:pPr>
      <w:r>
        <w:rPr>
          <w:rFonts w:hint="eastAsia" w:ascii="Times New Roman" w:hAnsi="宋体" w:eastAsia="宋体" w:cs="Times New Roman"/>
          <w:sz w:val="21"/>
          <w:szCs w:val="21"/>
          <w:highlight w:val="none"/>
          <w:lang w:eastAsia="zh-CN"/>
        </w:rPr>
        <w:t>（3）</w:t>
      </w:r>
      <w:r>
        <w:rPr>
          <w:rFonts w:hint="eastAsia" w:ascii="Times New Roman" w:hAnsi="宋体" w:eastAsia="宋体" w:cs="Times New Roman"/>
          <w:sz w:val="21"/>
          <w:szCs w:val="21"/>
          <w:highlight w:val="none"/>
          <w:lang w:val="en-US" w:eastAsia="zh-CN"/>
        </w:rPr>
        <w:t>承包人应严格遵守西安市人民政府《西安市农民工工资保障办法》(西安市人民政府令65号)、中华人民共和国国务院《保障农民工工资支付条例》(中华人民共和国国务院令第724号)的规定，做好农民工工资支付工作。</w:t>
      </w:r>
      <w:r>
        <w:rPr>
          <w:rFonts w:hint="eastAsia" w:ascii="Times New Roman" w:hAnsi="宋体" w:eastAsia="宋体" w:cs="Times New Roman"/>
          <w:sz w:val="21"/>
          <w:szCs w:val="21"/>
          <w:highlight w:val="none"/>
          <w:lang w:eastAsia="zh-CN"/>
        </w:rPr>
        <w:t>因雇佣人员索要劳务费用给发包人造成损失的，承包人承担全部责任，发包人有权从应付工程款中直接扣除相关人员工资或劳务费用直接支付，承包人对此放弃一切抗辩；</w:t>
      </w:r>
    </w:p>
    <w:p w14:paraId="29522F25">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宋体" w:eastAsia="宋体" w:cs="Times New Roman"/>
          <w:sz w:val="21"/>
          <w:szCs w:val="21"/>
          <w:highlight w:val="none"/>
          <w:lang w:eastAsia="zh-CN"/>
        </w:rPr>
      </w:pPr>
      <w:r>
        <w:rPr>
          <w:rFonts w:hint="eastAsia" w:ascii="Times New Roman" w:hAnsi="宋体" w:eastAsia="宋体" w:cs="Times New Roman"/>
          <w:sz w:val="21"/>
          <w:szCs w:val="21"/>
          <w:highlight w:val="none"/>
          <w:lang w:eastAsia="zh-CN"/>
        </w:rPr>
        <w:t>（4）在进行合同约定的各项工作时，不得侵害发包人使用公用道路、水源、市政管网等公共设施的权利，避免对邻近的公共设施产生干扰，否则给发包人造成的损失由承包人赔偿；</w:t>
      </w:r>
    </w:p>
    <w:p w14:paraId="6EE0E9D6">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宋体" w:eastAsia="宋体" w:cs="Times New Roman"/>
          <w:sz w:val="21"/>
          <w:szCs w:val="21"/>
          <w:highlight w:val="none"/>
          <w:lang w:eastAsia="zh-CN"/>
        </w:rPr>
      </w:pPr>
      <w:r>
        <w:rPr>
          <w:rFonts w:hint="eastAsia" w:ascii="Times New Roman" w:hAnsi="宋体" w:eastAsia="宋体" w:cs="Times New Roman"/>
          <w:sz w:val="21"/>
          <w:szCs w:val="21"/>
          <w:highlight w:val="none"/>
          <w:lang w:eastAsia="zh-CN"/>
        </w:rPr>
        <w:t>（</w:t>
      </w:r>
      <w:r>
        <w:rPr>
          <w:rFonts w:hint="eastAsia" w:ascii="Times New Roman" w:hAnsi="宋体" w:eastAsia="宋体" w:cs="Times New Roman"/>
          <w:sz w:val="21"/>
          <w:szCs w:val="21"/>
          <w:highlight w:val="none"/>
          <w:lang w:val="en-US" w:eastAsia="zh-CN"/>
        </w:rPr>
        <w:t>5</w:t>
      </w:r>
      <w:r>
        <w:rPr>
          <w:rFonts w:hint="eastAsia" w:ascii="Times New Roman" w:hAnsi="宋体" w:eastAsia="宋体" w:cs="Times New Roman"/>
          <w:sz w:val="21"/>
          <w:szCs w:val="21"/>
          <w:highlight w:val="none"/>
          <w:lang w:eastAsia="zh-CN"/>
        </w:rPr>
        <w:t>）承包人应做的其它工作：施工现场的“三通一平”工作由承包人自行解决，投标人在投标报价中予以考虑。发包人协助承包人负责市容、环保、交通、派出所、街道办等部门和周边邻居的协调工作，保证施工正常进行；</w:t>
      </w:r>
    </w:p>
    <w:p w14:paraId="2AAC4277">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宋体" w:eastAsia="宋体" w:cs="Times New Roman"/>
          <w:sz w:val="21"/>
          <w:szCs w:val="21"/>
          <w:highlight w:val="none"/>
          <w:lang w:val="en-US" w:eastAsia="zh-CN"/>
        </w:rPr>
      </w:pPr>
      <w:r>
        <w:rPr>
          <w:rFonts w:hint="eastAsia" w:ascii="Times New Roman" w:hAnsi="宋体" w:eastAsia="宋体" w:cs="Times New Roman"/>
          <w:sz w:val="21"/>
          <w:szCs w:val="21"/>
          <w:highlight w:val="none"/>
          <w:lang w:val="en-US" w:eastAsia="zh-CN"/>
        </w:rPr>
        <w:t>（6）本项目施工所用临水、临电等施工保障工作由承包人自行解决；</w:t>
      </w:r>
    </w:p>
    <w:p w14:paraId="5286273D">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宋体" w:eastAsia="宋体" w:cs="Times New Roman"/>
          <w:sz w:val="21"/>
          <w:szCs w:val="21"/>
          <w:highlight w:val="none"/>
          <w:lang w:val="en-US" w:eastAsia="zh-CN"/>
        </w:rPr>
      </w:pPr>
      <w:r>
        <w:rPr>
          <w:rFonts w:hint="eastAsia" w:ascii="Times New Roman" w:hAnsi="宋体" w:eastAsia="宋体" w:cs="Times New Roman"/>
          <w:sz w:val="21"/>
          <w:szCs w:val="21"/>
          <w:highlight w:val="none"/>
          <w:lang w:val="en-US" w:eastAsia="zh-CN"/>
        </w:rPr>
        <w:t>（7）承包人严格执行国家、陕西省、西安市有关治污减霾的规定和要求，按照《西安市扬尘污染防治条例》，扬尘污染防治应达到文件要求的达到6个百分百，7个到位。严格执行“西安市重污染天气响应措施”，落实《西安市机动车和非道路移动机械排气污染防治条例》，进场机械设备必须达到《非道路柴油移动机械排气烟度限值及测量方法》（GB36886-2018）规定的Ⅲ类限值标准。如不能达到相关标准则发包人结算时将对相应的费用予以扣除；</w:t>
      </w:r>
    </w:p>
    <w:p w14:paraId="57393EE8">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宋体" w:eastAsia="宋体" w:cs="Times New Roman"/>
          <w:sz w:val="21"/>
          <w:szCs w:val="21"/>
          <w:highlight w:val="none"/>
          <w:lang w:eastAsia="zh-CN"/>
        </w:rPr>
      </w:pPr>
      <w:r>
        <w:rPr>
          <w:rFonts w:hint="eastAsia" w:ascii="Times New Roman" w:hAnsi="宋体" w:eastAsia="宋体" w:cs="Times New Roman"/>
          <w:sz w:val="21"/>
          <w:szCs w:val="21"/>
          <w:highlight w:val="none"/>
          <w:lang w:eastAsia="zh-CN"/>
        </w:rPr>
        <w:t>（</w:t>
      </w:r>
      <w:r>
        <w:rPr>
          <w:rFonts w:hint="eastAsia" w:ascii="Times New Roman" w:hAnsi="宋体" w:eastAsia="宋体" w:cs="Times New Roman"/>
          <w:sz w:val="21"/>
          <w:szCs w:val="21"/>
          <w:highlight w:val="none"/>
          <w:lang w:val="en-US" w:eastAsia="zh-CN"/>
        </w:rPr>
        <w:t>8</w:t>
      </w:r>
      <w:r>
        <w:rPr>
          <w:rFonts w:hint="eastAsia" w:ascii="Times New Roman" w:hAnsi="宋体" w:eastAsia="宋体" w:cs="Times New Roman"/>
          <w:sz w:val="21"/>
          <w:szCs w:val="21"/>
          <w:highlight w:val="none"/>
          <w:lang w:eastAsia="zh-CN"/>
        </w:rPr>
        <w:t>）在项目建设过程中，不得以工程之名行采砂之实；</w:t>
      </w:r>
    </w:p>
    <w:p w14:paraId="69F1BB7F">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宋体" w:eastAsia="宋体" w:cs="Times New Roman"/>
          <w:sz w:val="21"/>
          <w:szCs w:val="21"/>
          <w:highlight w:val="none"/>
          <w:lang w:eastAsia="zh-CN"/>
        </w:rPr>
      </w:pPr>
      <w:r>
        <w:rPr>
          <w:rFonts w:hint="eastAsia" w:ascii="Times New Roman" w:hAnsi="宋体" w:eastAsia="宋体" w:cs="Times New Roman"/>
          <w:sz w:val="21"/>
          <w:szCs w:val="21"/>
          <w:highlight w:val="none"/>
          <w:lang w:eastAsia="zh-CN"/>
        </w:rPr>
        <w:t>（</w:t>
      </w:r>
      <w:r>
        <w:rPr>
          <w:rFonts w:hint="eastAsia" w:ascii="Times New Roman" w:hAnsi="宋体" w:eastAsia="宋体" w:cs="Times New Roman"/>
          <w:sz w:val="21"/>
          <w:szCs w:val="21"/>
          <w:highlight w:val="none"/>
          <w:lang w:val="en-US" w:eastAsia="zh-CN"/>
        </w:rPr>
        <w:t>9</w:t>
      </w:r>
      <w:r>
        <w:rPr>
          <w:rFonts w:hint="eastAsia" w:ascii="Times New Roman" w:hAnsi="宋体" w:eastAsia="宋体" w:cs="Times New Roman"/>
          <w:sz w:val="21"/>
          <w:szCs w:val="21"/>
          <w:highlight w:val="none"/>
          <w:lang w:eastAsia="zh-CN"/>
        </w:rPr>
        <w:t>）按照档案验收规范准备资料，配合发包人完成档案验收工作。项目合同工程完工验收通过后2个月内完成工程结算上报工作。</w:t>
      </w:r>
    </w:p>
    <w:p w14:paraId="148337D6">
      <w:pPr>
        <w:pageBreakBefore w:val="0"/>
        <w:widowControl w:val="0"/>
        <w:kinsoku/>
        <w:wordWrap/>
        <w:overflowPunct/>
        <w:topLinePunct w:val="0"/>
        <w:autoSpaceDE/>
        <w:autoSpaceDN/>
        <w:bidi w:val="0"/>
        <w:adjustRightInd/>
        <w:snapToGrid/>
        <w:spacing w:line="360" w:lineRule="auto"/>
        <w:textAlignment w:val="auto"/>
        <w:rPr>
          <w:rFonts w:hint="eastAsia" w:ascii="Times New Roman" w:hAnsi="宋体" w:eastAsia="宋体" w:cs="Times New Roman"/>
          <w:sz w:val="21"/>
          <w:szCs w:val="21"/>
          <w:highlight w:val="none"/>
          <w:lang w:eastAsia="zh-CN"/>
        </w:rPr>
      </w:pPr>
      <w:r>
        <w:rPr>
          <w:rFonts w:hint="eastAsia" w:ascii="Times New Roman" w:hAnsi="宋体" w:eastAsia="宋体" w:cs="Times New Roman"/>
          <w:sz w:val="21"/>
          <w:szCs w:val="21"/>
          <w:highlight w:val="none"/>
          <w:lang w:eastAsia="zh-CN"/>
        </w:rPr>
        <w:t>4.3 分包</w:t>
      </w:r>
    </w:p>
    <w:p w14:paraId="5CA4029A">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宋体" w:eastAsia="宋体" w:cs="Times New Roman"/>
          <w:sz w:val="21"/>
          <w:szCs w:val="21"/>
          <w:highlight w:val="none"/>
          <w:lang w:eastAsia="zh-CN"/>
        </w:rPr>
      </w:pPr>
      <w:r>
        <w:rPr>
          <w:rFonts w:hint="eastAsia" w:ascii="Times New Roman" w:hAnsi="宋体" w:eastAsia="宋体" w:cs="Times New Roman"/>
          <w:sz w:val="21"/>
          <w:szCs w:val="21"/>
          <w:highlight w:val="none"/>
          <w:lang w:eastAsia="zh-CN"/>
        </w:rPr>
        <w:t>未经发包人书面同意，承包人不得将任何项目分包给第三人，否则承包人向发包人支付合同总价款10%的违约金。因分包给第三人的工作内容，承包人承担连带责任，给发包人造成损失的，由承包人足额赔偿</w:t>
      </w:r>
      <w:r>
        <w:rPr>
          <w:rFonts w:hint="eastAsia" w:ascii="Times New Roman" w:hAnsi="宋体" w:eastAsia="宋体" w:cs="Times New Roman"/>
          <w:sz w:val="21"/>
          <w:szCs w:val="21"/>
          <w:highlight w:val="none"/>
          <w:lang w:val="en-US" w:eastAsia="zh-CN"/>
        </w:rPr>
        <w:t>发包人</w:t>
      </w:r>
      <w:r>
        <w:rPr>
          <w:rFonts w:hint="eastAsia" w:ascii="Times New Roman" w:hAnsi="宋体" w:eastAsia="宋体" w:cs="Times New Roman"/>
          <w:sz w:val="21"/>
          <w:szCs w:val="21"/>
          <w:highlight w:val="none"/>
          <w:lang w:eastAsia="zh-CN"/>
        </w:rPr>
        <w:t>的直接损失、</w:t>
      </w:r>
      <w:r>
        <w:rPr>
          <w:rFonts w:hint="eastAsia" w:ascii="Times New Roman" w:hAnsi="宋体" w:eastAsia="宋体" w:cs="Times New Roman"/>
          <w:sz w:val="21"/>
          <w:szCs w:val="21"/>
          <w:highlight w:val="none"/>
          <w:lang w:val="en-US" w:eastAsia="zh-CN"/>
        </w:rPr>
        <w:t>发包</w:t>
      </w:r>
      <w:r>
        <w:rPr>
          <w:rFonts w:hint="eastAsia" w:ascii="Times New Roman" w:hAnsi="宋体" w:eastAsia="宋体" w:cs="Times New Roman"/>
          <w:sz w:val="21"/>
          <w:szCs w:val="21"/>
          <w:highlight w:val="none"/>
          <w:lang w:eastAsia="zh-CN"/>
        </w:rPr>
        <w:t>人因此开支的仲裁费、鉴定费、公证费、律师费、诉讼费、差旅费、保全费、保全保险费等一切费用。</w:t>
      </w:r>
    </w:p>
    <w:p w14:paraId="52C13DBC">
      <w:pPr>
        <w:pageBreakBefore w:val="0"/>
        <w:widowControl w:val="0"/>
        <w:kinsoku/>
        <w:wordWrap/>
        <w:overflowPunct/>
        <w:topLinePunct w:val="0"/>
        <w:autoSpaceDE/>
        <w:autoSpaceDN/>
        <w:bidi w:val="0"/>
        <w:adjustRightInd/>
        <w:snapToGrid/>
        <w:spacing w:line="360" w:lineRule="auto"/>
        <w:textAlignment w:val="auto"/>
        <w:rPr>
          <w:rFonts w:hint="eastAsia" w:ascii="Times New Roman" w:hAnsi="宋体" w:eastAsia="宋体" w:cs="Times New Roman"/>
          <w:sz w:val="21"/>
          <w:szCs w:val="21"/>
          <w:highlight w:val="none"/>
          <w:lang w:eastAsia="zh-CN"/>
        </w:rPr>
      </w:pPr>
      <w:r>
        <w:rPr>
          <w:rFonts w:hint="eastAsia" w:ascii="Times New Roman" w:hAnsi="宋体" w:eastAsia="宋体" w:cs="Times New Roman"/>
          <w:sz w:val="21"/>
          <w:szCs w:val="21"/>
          <w:highlight w:val="none"/>
          <w:lang w:eastAsia="zh-CN"/>
        </w:rPr>
        <w:t>4.6 承包人人员的管理</w:t>
      </w:r>
    </w:p>
    <w:p w14:paraId="0C81A588">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宋体" w:eastAsia="宋体" w:cs="Times New Roman"/>
          <w:sz w:val="21"/>
          <w:szCs w:val="21"/>
          <w:highlight w:val="none"/>
          <w:lang w:eastAsia="zh-CN"/>
        </w:rPr>
      </w:pPr>
      <w:r>
        <w:rPr>
          <w:rFonts w:hint="eastAsia" w:ascii="Times New Roman" w:hAnsi="宋体" w:eastAsia="宋体" w:cs="Times New Roman"/>
          <w:sz w:val="21"/>
          <w:szCs w:val="21"/>
          <w:highlight w:val="none"/>
          <w:lang w:eastAsia="zh-CN"/>
        </w:rPr>
        <w:t>4.6.5 承包人的主要施工管理人员离开施工现场连续超过天数的其他约定：无。</w:t>
      </w:r>
    </w:p>
    <w:p w14:paraId="4654BA48">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宋体" w:eastAsia="宋体" w:cs="Times New Roman"/>
          <w:sz w:val="21"/>
          <w:szCs w:val="21"/>
          <w:highlight w:val="none"/>
          <w:lang w:eastAsia="zh-CN"/>
        </w:rPr>
      </w:pPr>
      <w:r>
        <w:rPr>
          <w:rFonts w:hint="eastAsia" w:ascii="Times New Roman" w:hAnsi="宋体" w:eastAsia="宋体" w:cs="Times New Roman"/>
          <w:sz w:val="21"/>
          <w:szCs w:val="21"/>
          <w:highlight w:val="none"/>
          <w:lang w:eastAsia="zh-CN"/>
        </w:rPr>
        <w:t>承包人人员管理的违约责任：</w:t>
      </w:r>
    </w:p>
    <w:p w14:paraId="6295902F">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宋体" w:eastAsia="宋体" w:cs="Times New Roman"/>
          <w:sz w:val="21"/>
          <w:szCs w:val="21"/>
          <w:highlight w:val="none"/>
          <w:lang w:eastAsia="zh-CN"/>
        </w:rPr>
      </w:pPr>
      <w:r>
        <w:rPr>
          <w:rFonts w:hint="eastAsia" w:ascii="Times New Roman" w:hAnsi="宋体" w:eastAsia="宋体" w:cs="Times New Roman"/>
          <w:sz w:val="21"/>
          <w:szCs w:val="21"/>
          <w:highlight w:val="none"/>
          <w:lang w:eastAsia="zh-CN"/>
        </w:rPr>
        <w:t>（1）承包人</w:t>
      </w:r>
      <w:r>
        <w:rPr>
          <w:rFonts w:hint="eastAsia" w:ascii="Times New Roman" w:hAnsi="宋体" w:eastAsia="宋体" w:cs="Times New Roman"/>
          <w:sz w:val="21"/>
          <w:szCs w:val="21"/>
          <w:highlight w:val="none"/>
          <w:lang w:val="en-US" w:eastAsia="zh-CN"/>
        </w:rPr>
        <w:t>不得</w:t>
      </w:r>
      <w:r>
        <w:rPr>
          <w:rFonts w:hint="eastAsia" w:ascii="Times New Roman" w:hAnsi="宋体" w:eastAsia="宋体" w:cs="Times New Roman"/>
          <w:sz w:val="21"/>
          <w:szCs w:val="21"/>
          <w:highlight w:val="none"/>
          <w:lang w:eastAsia="zh-CN"/>
        </w:rPr>
        <w:t>擅自更换项目经理、项目副经理或主要施工管理人员，</w:t>
      </w:r>
      <w:r>
        <w:rPr>
          <w:rFonts w:hint="eastAsia" w:ascii="Times New Roman" w:hAnsi="宋体" w:eastAsia="宋体" w:cs="Times New Roman"/>
          <w:sz w:val="21"/>
          <w:szCs w:val="21"/>
          <w:highlight w:val="none"/>
          <w:lang w:val="en-US" w:eastAsia="zh-CN"/>
        </w:rPr>
        <w:t>确需更换</w:t>
      </w:r>
      <w:r>
        <w:rPr>
          <w:rFonts w:hint="eastAsia" w:ascii="Times New Roman" w:hAnsi="宋体" w:eastAsia="宋体" w:cs="Times New Roman"/>
          <w:sz w:val="21"/>
          <w:szCs w:val="21"/>
          <w:highlight w:val="none"/>
          <w:lang w:eastAsia="zh-CN"/>
        </w:rPr>
        <w:t>的，</w:t>
      </w:r>
      <w:r>
        <w:rPr>
          <w:rFonts w:hint="eastAsia" w:ascii="Times New Roman" w:hAnsi="宋体" w:eastAsia="宋体" w:cs="Times New Roman"/>
          <w:sz w:val="21"/>
          <w:szCs w:val="21"/>
          <w:highlight w:val="none"/>
          <w:lang w:val="en-US" w:eastAsia="zh-CN"/>
        </w:rPr>
        <w:t>须经监理及</w:t>
      </w:r>
      <w:r>
        <w:rPr>
          <w:rFonts w:hint="eastAsia" w:ascii="Times New Roman" w:hAnsi="宋体" w:eastAsia="宋体" w:cs="Times New Roman"/>
          <w:sz w:val="21"/>
          <w:szCs w:val="21"/>
          <w:highlight w:val="none"/>
          <w:lang w:eastAsia="zh-CN"/>
        </w:rPr>
        <w:t>发包人</w:t>
      </w:r>
      <w:r>
        <w:rPr>
          <w:rFonts w:hint="eastAsia" w:ascii="Times New Roman" w:hAnsi="宋体" w:eastAsia="宋体" w:cs="Times New Roman"/>
          <w:sz w:val="21"/>
          <w:szCs w:val="21"/>
          <w:highlight w:val="none"/>
          <w:lang w:val="en-US" w:eastAsia="zh-CN"/>
        </w:rPr>
        <w:t>同意。</w:t>
      </w:r>
    </w:p>
    <w:p w14:paraId="25EF6988">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宋体" w:eastAsia="宋体" w:cs="Times New Roman"/>
          <w:sz w:val="21"/>
          <w:szCs w:val="21"/>
          <w:highlight w:val="none"/>
          <w:lang w:eastAsia="zh-CN"/>
        </w:rPr>
      </w:pPr>
      <w:r>
        <w:rPr>
          <w:rFonts w:hint="eastAsia" w:ascii="Times New Roman" w:hAnsi="宋体" w:eastAsia="宋体" w:cs="Times New Roman"/>
          <w:sz w:val="21"/>
          <w:szCs w:val="21"/>
          <w:highlight w:val="none"/>
          <w:lang w:eastAsia="zh-CN"/>
        </w:rPr>
        <w:t>（2）正常施工期间项目经理、项目副经理未经监理和发包方许可擅自离开施工现场的，发包人按</w:t>
      </w:r>
      <w:r>
        <w:rPr>
          <w:rFonts w:hint="eastAsia" w:ascii="Times New Roman" w:hAnsi="宋体" w:eastAsia="宋体" w:cs="Times New Roman"/>
          <w:sz w:val="21"/>
          <w:szCs w:val="21"/>
          <w:highlight w:val="none"/>
          <w:lang w:val="en-US" w:eastAsia="zh-CN"/>
        </w:rPr>
        <w:t>10</w:t>
      </w:r>
      <w:r>
        <w:rPr>
          <w:rFonts w:hint="eastAsia" w:ascii="Times New Roman" w:hAnsi="宋体" w:eastAsia="宋体" w:cs="Times New Roman"/>
          <w:sz w:val="21"/>
          <w:szCs w:val="21"/>
          <w:highlight w:val="none"/>
          <w:lang w:eastAsia="zh-CN"/>
        </w:rPr>
        <w:t>00元/人·次对承包人进行罚款；</w:t>
      </w:r>
    </w:p>
    <w:p w14:paraId="3A351D6C">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宋体" w:eastAsia="宋体" w:cs="Times New Roman"/>
          <w:sz w:val="21"/>
          <w:szCs w:val="21"/>
          <w:highlight w:val="none"/>
          <w:lang w:eastAsia="zh-CN"/>
        </w:rPr>
      </w:pPr>
      <w:r>
        <w:rPr>
          <w:rFonts w:hint="eastAsia" w:ascii="Times New Roman" w:hAnsi="宋体" w:eastAsia="宋体" w:cs="Times New Roman"/>
          <w:sz w:val="21"/>
          <w:szCs w:val="21"/>
          <w:highlight w:val="none"/>
          <w:lang w:eastAsia="zh-CN"/>
        </w:rPr>
        <w:t>（</w:t>
      </w:r>
      <w:r>
        <w:rPr>
          <w:rFonts w:hint="eastAsia" w:ascii="Times New Roman" w:hAnsi="宋体" w:eastAsia="宋体" w:cs="Times New Roman"/>
          <w:sz w:val="21"/>
          <w:szCs w:val="21"/>
          <w:highlight w:val="none"/>
          <w:lang w:val="en-US" w:eastAsia="zh-CN"/>
        </w:rPr>
        <w:t>3</w:t>
      </w:r>
      <w:r>
        <w:rPr>
          <w:rFonts w:hint="eastAsia" w:ascii="Times New Roman" w:hAnsi="宋体" w:eastAsia="宋体" w:cs="Times New Roman"/>
          <w:sz w:val="21"/>
          <w:szCs w:val="21"/>
          <w:highlight w:val="none"/>
          <w:lang w:eastAsia="zh-CN"/>
        </w:rPr>
        <w:t>）正常施工期间项目经理、项目副经理或主要施工管理人员每月在工地现场时间不得少于26天(春节假日除外),当每人累计请假时间超过20天时，超出的天数按2000元/人·天进行罚款。上述罚款，发包人或管理人在进度款结算款中直接扣除。</w:t>
      </w:r>
    </w:p>
    <w:p w14:paraId="3C284770">
      <w:pPr>
        <w:pageBreakBefore w:val="0"/>
        <w:widowControl w:val="0"/>
        <w:kinsoku/>
        <w:wordWrap/>
        <w:overflowPunct/>
        <w:topLinePunct w:val="0"/>
        <w:autoSpaceDE/>
        <w:autoSpaceDN/>
        <w:bidi w:val="0"/>
        <w:adjustRightInd/>
        <w:snapToGrid/>
        <w:spacing w:line="360" w:lineRule="auto"/>
        <w:textAlignment w:val="auto"/>
        <w:rPr>
          <w:rFonts w:hint="eastAsia" w:ascii="Times New Roman" w:hAnsi="宋体" w:eastAsia="宋体" w:cs="Times New Roman"/>
          <w:sz w:val="21"/>
          <w:szCs w:val="21"/>
          <w:highlight w:val="none"/>
          <w:lang w:eastAsia="zh-CN"/>
        </w:rPr>
      </w:pPr>
      <w:r>
        <w:rPr>
          <w:rFonts w:hint="eastAsia" w:ascii="Times New Roman" w:hAnsi="宋体" w:eastAsia="宋体" w:cs="Times New Roman"/>
          <w:sz w:val="21"/>
          <w:szCs w:val="21"/>
          <w:highlight w:val="none"/>
          <w:lang w:eastAsia="zh-CN"/>
        </w:rPr>
        <w:t>4.7 撤换承包人项目经理</w:t>
      </w:r>
      <w:r>
        <w:rPr>
          <w:rFonts w:hint="eastAsia" w:ascii="Times New Roman" w:hAnsi="宋体" w:eastAsia="宋体" w:cs="Times New Roman"/>
          <w:sz w:val="21"/>
          <w:szCs w:val="21"/>
          <w:highlight w:val="none"/>
          <w:lang w:val="en-US" w:eastAsia="zh-CN"/>
        </w:rPr>
        <w:t>或项目副经理</w:t>
      </w:r>
      <w:r>
        <w:rPr>
          <w:rFonts w:hint="eastAsia" w:ascii="Times New Roman" w:hAnsi="宋体" w:eastAsia="宋体" w:cs="Times New Roman"/>
          <w:sz w:val="21"/>
          <w:szCs w:val="21"/>
          <w:highlight w:val="none"/>
          <w:lang w:eastAsia="zh-CN"/>
        </w:rPr>
        <w:t>和其他人员</w:t>
      </w:r>
    </w:p>
    <w:p w14:paraId="5CA49134">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宋体" w:eastAsia="宋体" w:cs="Times New Roman"/>
          <w:sz w:val="21"/>
          <w:szCs w:val="21"/>
          <w:highlight w:val="none"/>
          <w:lang w:eastAsia="zh-CN"/>
        </w:rPr>
      </w:pPr>
      <w:r>
        <w:rPr>
          <w:rFonts w:hint="eastAsia" w:ascii="Times New Roman" w:hAnsi="宋体" w:eastAsia="宋体" w:cs="Times New Roman"/>
          <w:sz w:val="21"/>
          <w:szCs w:val="21"/>
          <w:highlight w:val="none"/>
          <w:lang w:eastAsia="zh-CN"/>
        </w:rPr>
        <w:t>承包人不予以撤换的违约责任：若撤换每延误一天，承包人向发包人支付违约金人民币3万元。</w:t>
      </w:r>
    </w:p>
    <w:p w14:paraId="368A98CB">
      <w:pPr>
        <w:pStyle w:val="6"/>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4.11 不利物质条件</w:t>
      </w:r>
    </w:p>
    <w:p w14:paraId="0BFAB305">
      <w:pPr>
        <w:pageBreakBefore w:val="0"/>
        <w:widowControl w:val="0"/>
        <w:kinsoku/>
        <w:wordWrap/>
        <w:overflowPunct/>
        <w:topLinePunct w:val="0"/>
        <w:autoSpaceDE/>
        <w:autoSpaceDN/>
        <w:bidi w:val="0"/>
        <w:adjustRightInd/>
        <w:snapToGrid/>
        <w:spacing w:line="312" w:lineRule="auto"/>
        <w:ind w:firstLine="420" w:firstLineChars="200"/>
        <w:textAlignment w:val="auto"/>
        <w:rPr>
          <w:rFonts w:hAnsi="宋体"/>
          <w:sz w:val="21"/>
          <w:szCs w:val="21"/>
          <w:highlight w:val="none"/>
        </w:rPr>
      </w:pPr>
      <w:r>
        <w:rPr>
          <w:sz w:val="21"/>
          <w:szCs w:val="21"/>
          <w:highlight w:val="none"/>
        </w:rPr>
        <w:t>4.11.1</w:t>
      </w:r>
      <w:r>
        <w:rPr>
          <w:rFonts w:hAnsi="宋体"/>
          <w:sz w:val="21"/>
          <w:szCs w:val="21"/>
          <w:highlight w:val="none"/>
        </w:rPr>
        <w:t>不利物质条件的范围：</w:t>
      </w:r>
      <w:r>
        <w:rPr>
          <w:rFonts w:hAnsi="宋体"/>
          <w:sz w:val="21"/>
          <w:szCs w:val="21"/>
          <w:highlight w:val="none"/>
          <w:u w:val="single"/>
        </w:rPr>
        <w:t>施工图纸指定范围</w:t>
      </w:r>
      <w:r>
        <w:rPr>
          <w:rFonts w:hAnsi="宋体"/>
          <w:sz w:val="21"/>
          <w:szCs w:val="21"/>
          <w:highlight w:val="none"/>
        </w:rPr>
        <w:t>。</w:t>
      </w:r>
    </w:p>
    <w:p w14:paraId="4F9725DF">
      <w:pPr>
        <w:pageBreakBefore w:val="0"/>
        <w:widowControl w:val="0"/>
        <w:kinsoku/>
        <w:wordWrap/>
        <w:overflowPunct/>
        <w:topLinePunct w:val="0"/>
        <w:autoSpaceDE/>
        <w:autoSpaceDN/>
        <w:bidi w:val="0"/>
        <w:adjustRightInd/>
        <w:snapToGrid/>
        <w:spacing w:line="312" w:lineRule="auto"/>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5 材料和工程设备</w:t>
      </w:r>
    </w:p>
    <w:p w14:paraId="6E8CF010">
      <w:pPr>
        <w:pStyle w:val="6"/>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5.1 承包人提供的材料和工程设备</w:t>
      </w:r>
    </w:p>
    <w:p w14:paraId="233DA67B">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sz w:val="21"/>
          <w:szCs w:val="21"/>
          <w:highlight w:val="none"/>
        </w:rPr>
        <w:t>5.1.3</w:t>
      </w:r>
      <w:r>
        <w:rPr>
          <w:rFonts w:hAnsi="宋体"/>
          <w:sz w:val="21"/>
          <w:szCs w:val="21"/>
          <w:highlight w:val="none"/>
        </w:rPr>
        <w:t>对承包人提供的材料和工程设备，承包人除</w:t>
      </w:r>
      <w:r>
        <w:rPr>
          <w:sz w:val="21"/>
          <w:szCs w:val="21"/>
          <w:highlight w:val="none"/>
          <w:u w:val="single"/>
        </w:rPr>
        <w:t xml:space="preserve"> </w:t>
      </w:r>
      <w:r>
        <w:rPr>
          <w:rFonts w:hAnsi="宋体"/>
          <w:sz w:val="21"/>
          <w:szCs w:val="21"/>
          <w:highlight w:val="none"/>
          <w:u w:val="single"/>
        </w:rPr>
        <w:t>执行通用条款</w:t>
      </w:r>
      <w:r>
        <w:rPr>
          <w:sz w:val="21"/>
          <w:szCs w:val="21"/>
          <w:highlight w:val="none"/>
          <w:u w:val="single"/>
        </w:rPr>
        <w:t xml:space="preserve"> </w:t>
      </w:r>
      <w:r>
        <w:rPr>
          <w:rFonts w:hAnsi="宋体"/>
          <w:sz w:val="21"/>
          <w:szCs w:val="21"/>
          <w:highlight w:val="none"/>
        </w:rPr>
        <w:t>的约定外，发包人还可以采取以下措施，加强对材料和工程施工的全面质量进行如下控制：</w:t>
      </w:r>
    </w:p>
    <w:p w14:paraId="10AA081E">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rFonts w:hAnsi="宋体"/>
          <w:sz w:val="21"/>
          <w:szCs w:val="21"/>
          <w:highlight w:val="none"/>
        </w:rPr>
        <w:t>（</w:t>
      </w:r>
      <w:r>
        <w:rPr>
          <w:sz w:val="21"/>
          <w:szCs w:val="21"/>
          <w:highlight w:val="none"/>
        </w:rPr>
        <w:t>1</w:t>
      </w:r>
      <w:r>
        <w:rPr>
          <w:rFonts w:hAnsi="宋体"/>
          <w:sz w:val="21"/>
          <w:szCs w:val="21"/>
          <w:highlight w:val="none"/>
        </w:rPr>
        <w:t>）发包人和监理人监督承包人健全其施工全过程的质量自检制度；承包人按监理人的指示，做好材料和工程质量检查的同期纪录；</w:t>
      </w:r>
    </w:p>
    <w:p w14:paraId="3998DD07">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rFonts w:hAnsi="宋体"/>
          <w:sz w:val="21"/>
          <w:szCs w:val="21"/>
          <w:highlight w:val="none"/>
        </w:rPr>
        <w:t>（</w:t>
      </w:r>
      <w:r>
        <w:rPr>
          <w:sz w:val="21"/>
          <w:szCs w:val="21"/>
          <w:highlight w:val="none"/>
        </w:rPr>
        <w:t>2</w:t>
      </w:r>
      <w:r>
        <w:rPr>
          <w:rFonts w:hAnsi="宋体"/>
          <w:sz w:val="21"/>
          <w:szCs w:val="21"/>
          <w:highlight w:val="none"/>
        </w:rPr>
        <w:t>）承包人应建立完善的材料和工程质量检查、检验和验收制度，发包人和监理人有权对材料采购进货、运输、存储进行严格检查以及现场施工用材的全过程监控。尤其是工程中所用重要材料：格宾网、水泥、砂子及石块等重要材料在采购前必须通知发包人及监理人，发包人及监理人对其质量及技术要求按照图纸及国家相关规定进行确认，经发包人及监理人确认后方可采购进场；</w:t>
      </w:r>
    </w:p>
    <w:p w14:paraId="370444BF">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rFonts w:hAnsi="宋体"/>
          <w:sz w:val="21"/>
          <w:szCs w:val="21"/>
          <w:highlight w:val="none"/>
        </w:rPr>
        <w:t>（</w:t>
      </w:r>
      <w:r>
        <w:rPr>
          <w:sz w:val="21"/>
          <w:szCs w:val="21"/>
          <w:highlight w:val="none"/>
        </w:rPr>
        <w:t>3</w:t>
      </w:r>
      <w:r>
        <w:rPr>
          <w:rFonts w:hAnsi="宋体"/>
          <w:sz w:val="21"/>
          <w:szCs w:val="21"/>
          <w:highlight w:val="none"/>
        </w:rPr>
        <w:t>）承包人负责采购的材料和工程设备，一经与供货人签订供货协议，应将协议副本提交给发包人及监理人，使发包人及监理人及时了解承包人订货情况是否满足工程需要；</w:t>
      </w:r>
    </w:p>
    <w:p w14:paraId="07DE4CCB">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rFonts w:hAnsi="宋体"/>
          <w:sz w:val="21"/>
          <w:szCs w:val="21"/>
          <w:highlight w:val="none"/>
        </w:rPr>
        <w:t>（</w:t>
      </w:r>
      <w:r>
        <w:rPr>
          <w:sz w:val="21"/>
          <w:szCs w:val="21"/>
          <w:highlight w:val="none"/>
        </w:rPr>
        <w:t>4</w:t>
      </w:r>
      <w:r>
        <w:rPr>
          <w:rFonts w:hAnsi="宋体"/>
          <w:sz w:val="21"/>
          <w:szCs w:val="21"/>
          <w:highlight w:val="none"/>
        </w:rPr>
        <w:t>）承包人提供的材料和工程设备只有经检验合格后才能用于工程施工。依据《建设工程质量管理条例》第</w:t>
      </w:r>
      <w:r>
        <w:rPr>
          <w:sz w:val="21"/>
          <w:szCs w:val="21"/>
          <w:highlight w:val="none"/>
        </w:rPr>
        <w:t>37</w:t>
      </w:r>
      <w:r>
        <w:rPr>
          <w:rFonts w:hAnsi="宋体"/>
          <w:sz w:val="21"/>
          <w:szCs w:val="21"/>
          <w:highlight w:val="none"/>
        </w:rPr>
        <w:t>条规定，未经监理工程师签字，建筑材料、建筑构配件和设备不得在工程上使用或者安装，施工单位不得进行下一道工序的施工。</w:t>
      </w:r>
    </w:p>
    <w:p w14:paraId="743BB31A">
      <w:pPr>
        <w:pStyle w:val="6"/>
        <w:pageBreakBefore w:val="0"/>
        <w:widowControl w:val="0"/>
        <w:kinsoku/>
        <w:wordWrap/>
        <w:overflowPunct/>
        <w:topLinePunct w:val="0"/>
        <w:autoSpaceDE/>
        <w:autoSpaceDN/>
        <w:bidi w:val="0"/>
        <w:adjustRightInd/>
        <w:snapToGrid/>
        <w:spacing w:before="156" w:beforeLines="50" w:after="156" w:afterLines="50" w:line="240" w:lineRule="auto"/>
        <w:jc w:val="both"/>
        <w:textAlignment w:val="auto"/>
        <w:rPr>
          <w:rFonts w:ascii="宋体" w:hAnsi="Times New Roman" w:eastAsia="宋体" w:cs="Times New Roman"/>
          <w:b/>
          <w:bCs/>
          <w:sz w:val="21"/>
          <w:szCs w:val="21"/>
          <w:highlight w:val="none"/>
        </w:rPr>
      </w:pPr>
      <w:bookmarkStart w:id="29" w:name="_Toc265408521"/>
      <w:r>
        <w:rPr>
          <w:rFonts w:ascii="宋体" w:hAnsi="Times New Roman" w:eastAsia="宋体" w:cs="Times New Roman"/>
          <w:b/>
          <w:bCs/>
          <w:sz w:val="21"/>
          <w:szCs w:val="21"/>
          <w:highlight w:val="none"/>
        </w:rPr>
        <w:t>7 交通运输</w:t>
      </w:r>
      <w:bookmarkEnd w:id="29"/>
    </w:p>
    <w:p w14:paraId="3406CEED">
      <w:pPr>
        <w:pStyle w:val="6"/>
        <w:pageBreakBefore w:val="0"/>
        <w:widowControl w:val="0"/>
        <w:kinsoku/>
        <w:wordWrap/>
        <w:overflowPunct/>
        <w:topLinePunct w:val="0"/>
        <w:autoSpaceDE/>
        <w:autoSpaceDN/>
        <w:bidi w:val="0"/>
        <w:adjustRightInd/>
        <w:snapToGrid/>
        <w:spacing w:before="156" w:beforeLines="50" w:after="156" w:afterLines="50" w:line="240"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7.1 道路通行权和场外设施</w:t>
      </w:r>
    </w:p>
    <w:p w14:paraId="3E3B6953">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rFonts w:hAnsi="宋体"/>
          <w:sz w:val="21"/>
          <w:szCs w:val="21"/>
          <w:highlight w:val="none"/>
        </w:rPr>
        <w:t>道路通行权和场外设施的约定：</w:t>
      </w:r>
      <w:r>
        <w:rPr>
          <w:rFonts w:hAnsi="宋体"/>
          <w:sz w:val="21"/>
          <w:szCs w:val="21"/>
          <w:highlight w:val="none"/>
          <w:u w:val="single"/>
        </w:rPr>
        <w:t>执行通用条款</w:t>
      </w:r>
      <w:r>
        <w:rPr>
          <w:rFonts w:hAnsi="宋体"/>
          <w:sz w:val="21"/>
          <w:szCs w:val="21"/>
          <w:highlight w:val="none"/>
        </w:rPr>
        <w:t>。</w:t>
      </w:r>
      <w:bookmarkStart w:id="46" w:name="_GoBack"/>
      <w:bookmarkEnd w:id="46"/>
    </w:p>
    <w:p w14:paraId="525231A1">
      <w:pPr>
        <w:pStyle w:val="6"/>
        <w:pageBreakBefore w:val="0"/>
        <w:widowControl w:val="0"/>
        <w:kinsoku/>
        <w:wordWrap/>
        <w:overflowPunct/>
        <w:topLinePunct w:val="0"/>
        <w:autoSpaceDE/>
        <w:autoSpaceDN/>
        <w:bidi w:val="0"/>
        <w:adjustRightInd/>
        <w:snapToGrid/>
        <w:spacing w:before="156" w:beforeLines="50" w:after="156" w:afterLines="50" w:line="240" w:lineRule="auto"/>
        <w:jc w:val="both"/>
        <w:textAlignment w:val="auto"/>
        <w:rPr>
          <w:rFonts w:ascii="宋体" w:hAnsi="Times New Roman" w:eastAsia="宋体" w:cs="Times New Roman"/>
          <w:b/>
          <w:bCs/>
          <w:sz w:val="21"/>
          <w:szCs w:val="21"/>
          <w:highlight w:val="none"/>
        </w:rPr>
      </w:pPr>
      <w:bookmarkStart w:id="30" w:name="_Toc265408522"/>
      <w:r>
        <w:rPr>
          <w:rFonts w:ascii="宋体" w:hAnsi="Times New Roman" w:eastAsia="宋体" w:cs="Times New Roman"/>
          <w:b/>
          <w:bCs/>
          <w:sz w:val="21"/>
          <w:szCs w:val="21"/>
          <w:highlight w:val="none"/>
        </w:rPr>
        <w:t>8 测量放线</w:t>
      </w:r>
      <w:bookmarkEnd w:id="30"/>
    </w:p>
    <w:p w14:paraId="7F80176A">
      <w:pPr>
        <w:pStyle w:val="6"/>
        <w:pageBreakBefore w:val="0"/>
        <w:widowControl w:val="0"/>
        <w:kinsoku/>
        <w:wordWrap/>
        <w:overflowPunct/>
        <w:topLinePunct w:val="0"/>
        <w:autoSpaceDE/>
        <w:autoSpaceDN/>
        <w:bidi w:val="0"/>
        <w:adjustRightInd/>
        <w:snapToGrid/>
        <w:spacing w:before="156" w:beforeLines="50" w:after="156" w:afterLines="50" w:line="240"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8.1 施工控制网</w:t>
      </w:r>
    </w:p>
    <w:p w14:paraId="018B9369">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sz w:val="21"/>
          <w:szCs w:val="21"/>
          <w:highlight w:val="none"/>
        </w:rPr>
        <w:t xml:space="preserve">8.1.1 </w:t>
      </w:r>
      <w:r>
        <w:rPr>
          <w:rFonts w:hAnsi="宋体"/>
          <w:sz w:val="21"/>
          <w:szCs w:val="21"/>
          <w:highlight w:val="none"/>
        </w:rPr>
        <w:t>施工控制网的约定：</w:t>
      </w:r>
      <w:r>
        <w:rPr>
          <w:rFonts w:hAnsi="宋体"/>
          <w:sz w:val="21"/>
          <w:szCs w:val="21"/>
          <w:highlight w:val="none"/>
          <w:u w:val="single"/>
        </w:rPr>
        <w:t>执行通用条款</w:t>
      </w:r>
      <w:r>
        <w:rPr>
          <w:rFonts w:hAnsi="宋体"/>
          <w:sz w:val="21"/>
          <w:szCs w:val="21"/>
          <w:highlight w:val="none"/>
        </w:rPr>
        <w:t>。</w:t>
      </w:r>
    </w:p>
    <w:p w14:paraId="1259989C">
      <w:pPr>
        <w:pStyle w:val="6"/>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bookmarkStart w:id="31" w:name="_Toc265408523"/>
      <w:r>
        <w:rPr>
          <w:rFonts w:ascii="宋体" w:hAnsi="Times New Roman" w:eastAsia="宋体" w:cs="Times New Roman"/>
          <w:b/>
          <w:bCs/>
          <w:sz w:val="21"/>
          <w:szCs w:val="21"/>
          <w:highlight w:val="none"/>
        </w:rPr>
        <w:t>9 施工安全、治安保卫和环境保护</w:t>
      </w:r>
      <w:bookmarkEnd w:id="31"/>
    </w:p>
    <w:p w14:paraId="050C8F54">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9.1发包人的施工安全责任</w:t>
      </w:r>
    </w:p>
    <w:p w14:paraId="127E04AC">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　 9.1.4发包人提供</w:t>
      </w:r>
      <w:r>
        <w:rPr>
          <w:rFonts w:hint="eastAsia" w:ascii="宋体" w:hAnsi="宋体" w:eastAsia="宋体" w:cs="宋体"/>
          <w:sz w:val="21"/>
          <w:szCs w:val="21"/>
          <w:highlight w:val="none"/>
          <w:u w:val="single"/>
        </w:rPr>
        <w:t>通用条款约定</w:t>
      </w:r>
      <w:r>
        <w:rPr>
          <w:rFonts w:hint="eastAsia" w:ascii="宋体" w:hAnsi="宋体" w:eastAsia="宋体" w:cs="宋体"/>
          <w:sz w:val="21"/>
          <w:szCs w:val="21"/>
          <w:highlight w:val="none"/>
        </w:rPr>
        <w:t>资料，其余资料由承包人负责收集。</w:t>
      </w:r>
    </w:p>
    <w:p w14:paraId="029E0947">
      <w:pPr>
        <w:spacing w:line="360" w:lineRule="auto"/>
        <w:ind w:firstLine="210" w:firstLineChars="100"/>
        <w:rPr>
          <w:rFonts w:hint="eastAsia" w:ascii="宋体" w:hAnsi="宋体" w:eastAsia="宋体" w:cs="宋体"/>
          <w:sz w:val="21"/>
          <w:szCs w:val="21"/>
          <w:highlight w:val="none"/>
        </w:rPr>
      </w:pPr>
      <w:r>
        <w:rPr>
          <w:rFonts w:hint="eastAsia" w:ascii="宋体" w:hAnsi="宋体" w:eastAsia="宋体" w:cs="宋体"/>
          <w:sz w:val="21"/>
          <w:szCs w:val="21"/>
          <w:highlight w:val="none"/>
        </w:rPr>
        <w:t>9.2承包人的施工安全责任</w:t>
      </w:r>
    </w:p>
    <w:p w14:paraId="69FD92E5">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9.2.12下列工程应编制专项施工方案：</w:t>
      </w:r>
      <w:r>
        <w:rPr>
          <w:rFonts w:hint="eastAsia" w:ascii="宋体" w:hAnsi="宋体" w:eastAsia="宋体" w:cs="宋体"/>
          <w:sz w:val="21"/>
          <w:szCs w:val="21"/>
          <w:highlight w:val="none"/>
          <w:u w:val="single"/>
          <w:lang w:val="en-US" w:eastAsia="zh-CN"/>
        </w:rPr>
        <w:t>按照国家相关规定执行</w:t>
      </w:r>
      <w:r>
        <w:rPr>
          <w:rFonts w:hint="eastAsia" w:ascii="宋体" w:hAnsi="宋体" w:eastAsia="宋体" w:cs="宋体"/>
          <w:sz w:val="21"/>
          <w:szCs w:val="21"/>
          <w:highlight w:val="none"/>
        </w:rPr>
        <w:t>。</w:t>
      </w:r>
    </w:p>
    <w:p w14:paraId="26E3CFDD">
      <w:pPr>
        <w:spacing w:line="36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9.2.13承包人要加强安全管理，严禁无证及不规范操作行为，若出现不安全事故由承包人负责，并按《安全生产合同》进行处理。</w:t>
      </w:r>
    </w:p>
    <w:p w14:paraId="532A9001">
      <w:pPr>
        <w:spacing w:line="36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9.2.14若施工期间适逢汛期，承包人应做好施工期间的防汛度汛工作。</w:t>
      </w:r>
    </w:p>
    <w:p w14:paraId="69046988">
      <w:pPr>
        <w:spacing w:line="360" w:lineRule="auto"/>
        <w:ind w:firstLine="210" w:firstLineChars="100"/>
        <w:rPr>
          <w:rFonts w:hint="eastAsia" w:ascii="宋体" w:hAnsi="宋体" w:eastAsia="宋体" w:cs="宋体"/>
          <w:sz w:val="21"/>
          <w:szCs w:val="21"/>
          <w:highlight w:val="none"/>
        </w:rPr>
      </w:pPr>
      <w:r>
        <w:rPr>
          <w:rFonts w:hint="eastAsia" w:ascii="宋体" w:hAnsi="宋体" w:eastAsia="宋体" w:cs="宋体"/>
          <w:sz w:val="21"/>
          <w:szCs w:val="21"/>
          <w:highlight w:val="none"/>
        </w:rPr>
        <w:t>9.7文明工地</w:t>
      </w:r>
    </w:p>
    <w:p w14:paraId="0096EF13">
      <w:pPr>
        <w:spacing w:line="360" w:lineRule="auto"/>
        <w:rPr>
          <w:rFonts w:hint="eastAsia" w:ascii="宋体" w:hAnsi="宋体" w:eastAsia="宋体" w:cs="宋体"/>
          <w:b/>
          <w:sz w:val="21"/>
          <w:szCs w:val="21"/>
          <w:highlight w:val="none"/>
        </w:rPr>
      </w:pPr>
      <w:r>
        <w:rPr>
          <w:rFonts w:hint="eastAsia" w:ascii="宋体" w:hAnsi="宋体" w:eastAsia="宋体" w:cs="宋体"/>
          <w:sz w:val="21"/>
          <w:szCs w:val="21"/>
          <w:highlight w:val="none"/>
        </w:rPr>
        <w:t>　　9.7.1本合同文明工地的约定：</w:t>
      </w:r>
      <w:r>
        <w:rPr>
          <w:rFonts w:hint="eastAsia" w:ascii="宋体" w:hAnsi="宋体" w:eastAsia="宋体" w:cs="宋体"/>
          <w:sz w:val="21"/>
          <w:szCs w:val="21"/>
          <w:highlight w:val="none"/>
          <w:u w:val="single"/>
          <w:lang w:val="en-US" w:eastAsia="zh-CN"/>
        </w:rPr>
        <w:t>执行国家或地方标准</w:t>
      </w:r>
      <w:r>
        <w:rPr>
          <w:rFonts w:hint="eastAsia" w:ascii="宋体" w:hAnsi="宋体" w:eastAsia="宋体" w:cs="宋体"/>
          <w:sz w:val="21"/>
          <w:szCs w:val="21"/>
          <w:highlight w:val="none"/>
        </w:rPr>
        <w:t>。</w:t>
      </w:r>
      <w:bookmarkStart w:id="32" w:name="第04章合同条款及格式0211"/>
      <w:bookmarkEnd w:id="32"/>
    </w:p>
    <w:p w14:paraId="34212D34">
      <w:pPr>
        <w:pStyle w:val="6"/>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bookmarkStart w:id="33" w:name="_Toc265408524"/>
      <w:r>
        <w:rPr>
          <w:rFonts w:ascii="宋体" w:hAnsi="Times New Roman" w:eastAsia="宋体" w:cs="Times New Roman"/>
          <w:b/>
          <w:bCs/>
          <w:sz w:val="21"/>
          <w:szCs w:val="21"/>
          <w:highlight w:val="none"/>
        </w:rPr>
        <w:t>11 开工和竣工（完工）</w:t>
      </w:r>
      <w:bookmarkEnd w:id="33"/>
    </w:p>
    <w:p w14:paraId="1551BAC4">
      <w:pPr>
        <w:pStyle w:val="6"/>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11.4</w:t>
      </w:r>
      <w:r>
        <w:rPr>
          <w:rFonts w:hint="eastAsia" w:ascii="宋体" w:hAnsi="Times New Roman" w:eastAsia="宋体" w:cs="Times New Roman"/>
          <w:b/>
          <w:bCs/>
          <w:sz w:val="21"/>
          <w:szCs w:val="21"/>
          <w:highlight w:val="none"/>
          <w:lang w:val="en-US" w:eastAsia="zh-CN"/>
        </w:rPr>
        <w:t xml:space="preserve"> </w:t>
      </w:r>
      <w:r>
        <w:rPr>
          <w:rFonts w:ascii="宋体" w:hAnsi="Times New Roman" w:eastAsia="宋体" w:cs="Times New Roman"/>
          <w:b/>
          <w:bCs/>
          <w:sz w:val="21"/>
          <w:szCs w:val="21"/>
          <w:highlight w:val="none"/>
        </w:rPr>
        <w:t>异常恶劣的气候条件</w:t>
      </w:r>
    </w:p>
    <w:p w14:paraId="2019D22E">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hAnsi="宋体"/>
          <w:sz w:val="21"/>
          <w:szCs w:val="21"/>
          <w:highlight w:val="none"/>
        </w:rPr>
      </w:pPr>
      <w:r>
        <w:rPr>
          <w:sz w:val="21"/>
          <w:szCs w:val="21"/>
          <w:highlight w:val="none"/>
        </w:rPr>
        <w:t xml:space="preserve">11.4.3 </w:t>
      </w:r>
      <w:r>
        <w:rPr>
          <w:rFonts w:hAnsi="宋体"/>
          <w:sz w:val="21"/>
          <w:szCs w:val="21"/>
          <w:highlight w:val="none"/>
        </w:rPr>
        <w:t>本合同工程界定异常恶劣气候条件的范围为：</w:t>
      </w:r>
    </w:p>
    <w:p w14:paraId="556E5E32">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sz w:val="21"/>
          <w:szCs w:val="21"/>
          <w:highlight w:val="none"/>
        </w:rPr>
      </w:pPr>
      <w:r>
        <w:rPr>
          <w:rFonts w:hint="eastAsia"/>
          <w:sz w:val="21"/>
          <w:szCs w:val="21"/>
          <w:highlight w:val="none"/>
        </w:rPr>
        <w:t>（1）日降雨量大于</w:t>
      </w:r>
      <w:r>
        <w:rPr>
          <w:rFonts w:hint="eastAsia" w:ascii="Times New Roman" w:hAnsi="Times New Roman" w:eastAsia="宋体" w:cs="Times New Roman"/>
          <w:sz w:val="21"/>
          <w:szCs w:val="21"/>
          <w:highlight w:val="none"/>
          <w:u w:val="single"/>
          <w:lang w:val="en-US" w:eastAsia="zh-CN"/>
        </w:rPr>
        <w:t>_50_</w:t>
      </w:r>
      <w:r>
        <w:rPr>
          <w:rFonts w:hint="eastAsia"/>
          <w:sz w:val="21"/>
          <w:szCs w:val="21"/>
          <w:highlight w:val="none"/>
        </w:rPr>
        <w:t>mm的雨日超过</w:t>
      </w:r>
      <w:r>
        <w:rPr>
          <w:rFonts w:hint="eastAsia"/>
          <w:sz w:val="21"/>
          <w:szCs w:val="21"/>
          <w:highlight w:val="none"/>
          <w:u w:val="single"/>
          <w:lang w:val="en-US" w:eastAsia="zh-CN"/>
        </w:rPr>
        <w:t xml:space="preserve"> </w:t>
      </w:r>
      <w:r>
        <w:rPr>
          <w:rFonts w:hint="eastAsia"/>
          <w:sz w:val="21"/>
          <w:szCs w:val="21"/>
          <w:highlight w:val="none"/>
          <w:u w:val="single"/>
        </w:rPr>
        <w:t>3</w:t>
      </w:r>
      <w:r>
        <w:rPr>
          <w:rFonts w:hint="eastAsia"/>
          <w:sz w:val="21"/>
          <w:szCs w:val="21"/>
          <w:highlight w:val="none"/>
          <w:u w:val="single"/>
          <w:lang w:val="en-US" w:eastAsia="zh-CN"/>
        </w:rPr>
        <w:t xml:space="preserve"> </w:t>
      </w:r>
      <w:r>
        <w:rPr>
          <w:rFonts w:hint="eastAsia"/>
          <w:sz w:val="21"/>
          <w:szCs w:val="21"/>
          <w:highlight w:val="none"/>
        </w:rPr>
        <w:t>天；</w:t>
      </w:r>
    </w:p>
    <w:p w14:paraId="000D858B">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sz w:val="21"/>
          <w:szCs w:val="21"/>
          <w:highlight w:val="none"/>
        </w:rPr>
      </w:pPr>
      <w:r>
        <w:rPr>
          <w:rFonts w:hint="eastAsia"/>
          <w:sz w:val="21"/>
          <w:szCs w:val="21"/>
          <w:highlight w:val="none"/>
        </w:rPr>
        <w:t>（2）风速大于_</w:t>
      </w:r>
      <w:r>
        <w:rPr>
          <w:rFonts w:hint="eastAsia"/>
          <w:sz w:val="21"/>
          <w:szCs w:val="21"/>
          <w:highlight w:val="none"/>
          <w:u w:val="single"/>
        </w:rPr>
        <w:t>50</w:t>
      </w:r>
      <w:r>
        <w:rPr>
          <w:rFonts w:hint="eastAsia"/>
          <w:sz w:val="21"/>
          <w:szCs w:val="21"/>
          <w:highlight w:val="none"/>
        </w:rPr>
        <w:t>_m/s的八级以上台风灾害；</w:t>
      </w:r>
    </w:p>
    <w:p w14:paraId="5A1746FB">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sz w:val="21"/>
          <w:szCs w:val="21"/>
          <w:highlight w:val="none"/>
        </w:rPr>
      </w:pPr>
      <w:r>
        <w:rPr>
          <w:rFonts w:hint="eastAsia"/>
          <w:sz w:val="21"/>
          <w:szCs w:val="21"/>
          <w:highlight w:val="none"/>
        </w:rPr>
        <w:t>（3）日气温超过</w:t>
      </w:r>
      <w:r>
        <w:rPr>
          <w:rFonts w:hint="eastAsia"/>
          <w:sz w:val="21"/>
          <w:szCs w:val="21"/>
          <w:highlight w:val="none"/>
          <w:u w:val="single"/>
          <w:lang w:val="en-US" w:eastAsia="zh-CN"/>
        </w:rPr>
        <w:t xml:space="preserve"> </w:t>
      </w:r>
      <w:r>
        <w:rPr>
          <w:rFonts w:hint="eastAsia"/>
          <w:sz w:val="21"/>
          <w:szCs w:val="21"/>
          <w:highlight w:val="none"/>
          <w:u w:val="single"/>
        </w:rPr>
        <w:t>39</w:t>
      </w:r>
      <w:r>
        <w:rPr>
          <w:rFonts w:hint="eastAsia"/>
          <w:sz w:val="21"/>
          <w:szCs w:val="21"/>
          <w:highlight w:val="none"/>
          <w:u w:val="single"/>
          <w:lang w:val="en-US" w:eastAsia="zh-CN"/>
        </w:rPr>
        <w:t xml:space="preserve"> </w:t>
      </w:r>
      <w:r>
        <w:rPr>
          <w:rFonts w:hint="eastAsia"/>
          <w:sz w:val="21"/>
          <w:szCs w:val="21"/>
          <w:highlight w:val="none"/>
        </w:rPr>
        <w:t>℃的高温大于</w:t>
      </w:r>
      <w:r>
        <w:rPr>
          <w:rFonts w:hint="eastAsia"/>
          <w:sz w:val="21"/>
          <w:szCs w:val="21"/>
          <w:highlight w:val="none"/>
          <w:u w:val="single"/>
          <w:lang w:val="en-US" w:eastAsia="zh-CN"/>
        </w:rPr>
        <w:t xml:space="preserve"> </w:t>
      </w:r>
      <w:r>
        <w:rPr>
          <w:rFonts w:hint="eastAsia"/>
          <w:sz w:val="21"/>
          <w:szCs w:val="21"/>
          <w:highlight w:val="none"/>
          <w:u w:val="single"/>
        </w:rPr>
        <w:t>3</w:t>
      </w:r>
      <w:r>
        <w:rPr>
          <w:rFonts w:hint="eastAsia"/>
          <w:sz w:val="21"/>
          <w:szCs w:val="21"/>
          <w:highlight w:val="none"/>
          <w:u w:val="single"/>
          <w:lang w:val="en-US" w:eastAsia="zh-CN"/>
        </w:rPr>
        <w:t xml:space="preserve"> </w:t>
      </w:r>
      <w:r>
        <w:rPr>
          <w:rFonts w:hint="eastAsia"/>
          <w:sz w:val="21"/>
          <w:szCs w:val="21"/>
          <w:highlight w:val="none"/>
        </w:rPr>
        <w:t>天；</w:t>
      </w:r>
    </w:p>
    <w:p w14:paraId="3F05A65C">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sz w:val="21"/>
          <w:szCs w:val="21"/>
          <w:highlight w:val="none"/>
        </w:rPr>
      </w:pPr>
      <w:r>
        <w:rPr>
          <w:rFonts w:hint="eastAsia"/>
          <w:sz w:val="21"/>
          <w:szCs w:val="21"/>
          <w:highlight w:val="none"/>
        </w:rPr>
        <w:t>（4）日气温低于</w:t>
      </w:r>
      <w:r>
        <w:rPr>
          <w:rFonts w:hint="eastAsia"/>
          <w:sz w:val="21"/>
          <w:szCs w:val="21"/>
          <w:highlight w:val="none"/>
          <w:u w:val="single"/>
          <w:lang w:val="en-US" w:eastAsia="zh-CN"/>
        </w:rPr>
        <w:t xml:space="preserve"> </w:t>
      </w:r>
      <w:r>
        <w:rPr>
          <w:rFonts w:hint="eastAsia"/>
          <w:sz w:val="21"/>
          <w:szCs w:val="21"/>
          <w:highlight w:val="none"/>
          <w:u w:val="single"/>
        </w:rPr>
        <w:t xml:space="preserve">-10 </w:t>
      </w:r>
      <w:r>
        <w:rPr>
          <w:rFonts w:hint="eastAsia"/>
          <w:sz w:val="21"/>
          <w:szCs w:val="21"/>
          <w:highlight w:val="none"/>
          <w:u w:val="single"/>
          <w:lang w:val="en-US" w:eastAsia="zh-CN"/>
        </w:rPr>
        <w:t xml:space="preserve"> </w:t>
      </w:r>
      <w:r>
        <w:rPr>
          <w:rFonts w:hint="eastAsia"/>
          <w:sz w:val="21"/>
          <w:szCs w:val="21"/>
          <w:highlight w:val="none"/>
        </w:rPr>
        <w:t>℃的严寒大于</w:t>
      </w:r>
      <w:r>
        <w:rPr>
          <w:rFonts w:hint="eastAsia"/>
          <w:sz w:val="21"/>
          <w:szCs w:val="21"/>
          <w:highlight w:val="none"/>
          <w:u w:val="single"/>
          <w:lang w:val="en-US" w:eastAsia="zh-CN"/>
        </w:rPr>
        <w:t xml:space="preserve"> </w:t>
      </w:r>
      <w:r>
        <w:rPr>
          <w:rFonts w:hint="eastAsia"/>
          <w:sz w:val="21"/>
          <w:szCs w:val="21"/>
          <w:highlight w:val="none"/>
          <w:u w:val="single"/>
        </w:rPr>
        <w:t>3</w:t>
      </w:r>
      <w:r>
        <w:rPr>
          <w:rFonts w:hint="eastAsia"/>
          <w:sz w:val="21"/>
          <w:szCs w:val="21"/>
          <w:highlight w:val="none"/>
          <w:u w:val="single"/>
          <w:lang w:val="en-US" w:eastAsia="zh-CN"/>
        </w:rPr>
        <w:t xml:space="preserve"> </w:t>
      </w:r>
      <w:r>
        <w:rPr>
          <w:rFonts w:hint="eastAsia"/>
          <w:sz w:val="21"/>
          <w:szCs w:val="21"/>
          <w:highlight w:val="none"/>
        </w:rPr>
        <w:t>天；</w:t>
      </w:r>
    </w:p>
    <w:p w14:paraId="0EC76527">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sz w:val="21"/>
          <w:szCs w:val="21"/>
          <w:highlight w:val="none"/>
        </w:rPr>
      </w:pPr>
      <w:r>
        <w:rPr>
          <w:rFonts w:hint="eastAsia"/>
          <w:sz w:val="21"/>
          <w:szCs w:val="21"/>
          <w:highlight w:val="none"/>
        </w:rPr>
        <w:t>（5）造成工程损坏的冰雹和大雪灾害：一周内无法正常施工；</w:t>
      </w:r>
    </w:p>
    <w:p w14:paraId="3CCD9CE6">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sz w:val="21"/>
          <w:szCs w:val="21"/>
          <w:highlight w:val="none"/>
        </w:rPr>
      </w:pPr>
      <w:r>
        <w:rPr>
          <w:rFonts w:hint="eastAsia"/>
          <w:sz w:val="21"/>
          <w:szCs w:val="21"/>
          <w:highlight w:val="none"/>
        </w:rPr>
        <w:t>（6）其它异常恶劣气候灾害。</w:t>
      </w:r>
    </w:p>
    <w:p w14:paraId="29277146">
      <w:pPr>
        <w:pStyle w:val="6"/>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11.5承包人工期延误</w:t>
      </w:r>
    </w:p>
    <w:tbl>
      <w:tblPr>
        <w:tblStyle w:val="9"/>
        <w:tblW w:w="9072"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70"/>
        <w:gridCol w:w="3300"/>
        <w:gridCol w:w="2531"/>
        <w:gridCol w:w="2371"/>
      </w:tblGrid>
      <w:tr w14:paraId="788F32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870" w:type="dxa"/>
            <w:noWrap w:val="0"/>
            <w:vAlign w:val="center"/>
          </w:tcPr>
          <w:p w14:paraId="52F532AE">
            <w:pPr>
              <w:pageBreakBefore w:val="0"/>
              <w:widowControl w:val="0"/>
              <w:kinsoku/>
              <w:wordWrap/>
              <w:overflowPunct/>
              <w:topLinePunct w:val="0"/>
              <w:autoSpaceDE/>
              <w:autoSpaceDN/>
              <w:bidi w:val="0"/>
              <w:adjustRightInd/>
              <w:snapToGrid/>
              <w:spacing w:line="312" w:lineRule="auto"/>
              <w:jc w:val="center"/>
              <w:textAlignment w:val="auto"/>
              <w:rPr>
                <w:rFonts w:hint="eastAsia"/>
                <w:sz w:val="21"/>
                <w:szCs w:val="21"/>
                <w:highlight w:val="none"/>
              </w:rPr>
            </w:pPr>
            <w:r>
              <w:rPr>
                <w:rFonts w:hint="eastAsia"/>
                <w:sz w:val="21"/>
                <w:szCs w:val="21"/>
                <w:highlight w:val="none"/>
              </w:rPr>
              <w:t>序号</w:t>
            </w:r>
          </w:p>
        </w:tc>
        <w:tc>
          <w:tcPr>
            <w:tcW w:w="3300" w:type="dxa"/>
            <w:noWrap w:val="0"/>
            <w:vAlign w:val="center"/>
          </w:tcPr>
          <w:p w14:paraId="3136BCA4">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rFonts w:hint="eastAsia"/>
                <w:sz w:val="21"/>
                <w:szCs w:val="21"/>
                <w:highlight w:val="none"/>
              </w:rPr>
            </w:pPr>
            <w:r>
              <w:rPr>
                <w:rFonts w:hint="eastAsia"/>
                <w:sz w:val="21"/>
                <w:szCs w:val="21"/>
                <w:highlight w:val="none"/>
              </w:rPr>
              <w:t>项目及其说明</w:t>
            </w:r>
          </w:p>
        </w:tc>
        <w:tc>
          <w:tcPr>
            <w:tcW w:w="2531" w:type="dxa"/>
            <w:noWrap w:val="0"/>
            <w:vAlign w:val="center"/>
          </w:tcPr>
          <w:p w14:paraId="59B7825D">
            <w:pPr>
              <w:pageBreakBefore w:val="0"/>
              <w:widowControl w:val="0"/>
              <w:kinsoku/>
              <w:wordWrap/>
              <w:overflowPunct/>
              <w:topLinePunct w:val="0"/>
              <w:autoSpaceDE/>
              <w:autoSpaceDN/>
              <w:bidi w:val="0"/>
              <w:adjustRightInd/>
              <w:snapToGrid/>
              <w:spacing w:line="312" w:lineRule="auto"/>
              <w:jc w:val="center"/>
              <w:textAlignment w:val="auto"/>
              <w:rPr>
                <w:rFonts w:hint="eastAsia"/>
                <w:sz w:val="21"/>
                <w:szCs w:val="21"/>
                <w:highlight w:val="none"/>
              </w:rPr>
            </w:pPr>
            <w:r>
              <w:rPr>
                <w:rFonts w:hint="eastAsia"/>
                <w:sz w:val="21"/>
                <w:szCs w:val="21"/>
                <w:highlight w:val="none"/>
              </w:rPr>
              <w:t>要求完工日期</w:t>
            </w:r>
          </w:p>
        </w:tc>
        <w:tc>
          <w:tcPr>
            <w:tcW w:w="2371" w:type="dxa"/>
            <w:noWrap w:val="0"/>
            <w:vAlign w:val="center"/>
          </w:tcPr>
          <w:p w14:paraId="75DADCB6">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rFonts w:hint="eastAsia"/>
                <w:sz w:val="21"/>
                <w:szCs w:val="21"/>
                <w:highlight w:val="none"/>
              </w:rPr>
            </w:pPr>
            <w:r>
              <w:rPr>
                <w:rFonts w:hint="eastAsia"/>
                <w:sz w:val="21"/>
                <w:szCs w:val="21"/>
                <w:highlight w:val="none"/>
              </w:rPr>
              <w:t>违约金(元/天)</w:t>
            </w:r>
          </w:p>
        </w:tc>
      </w:tr>
      <w:tr w14:paraId="1DAD60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70" w:type="dxa"/>
            <w:noWrap w:val="0"/>
            <w:vAlign w:val="center"/>
          </w:tcPr>
          <w:p w14:paraId="48FC7949">
            <w:pPr>
              <w:pageBreakBefore w:val="0"/>
              <w:widowControl w:val="0"/>
              <w:kinsoku/>
              <w:wordWrap/>
              <w:overflowPunct/>
              <w:topLinePunct w:val="0"/>
              <w:autoSpaceDE/>
              <w:autoSpaceDN/>
              <w:bidi w:val="0"/>
              <w:adjustRightInd/>
              <w:snapToGrid/>
              <w:spacing w:line="312" w:lineRule="auto"/>
              <w:jc w:val="center"/>
              <w:textAlignment w:val="auto"/>
              <w:rPr>
                <w:rFonts w:hint="eastAsia"/>
                <w:sz w:val="21"/>
                <w:szCs w:val="21"/>
                <w:highlight w:val="none"/>
                <w:lang w:val="en-US" w:eastAsia="zh-CN"/>
              </w:rPr>
            </w:pPr>
            <w:r>
              <w:rPr>
                <w:rFonts w:hint="eastAsia"/>
                <w:sz w:val="21"/>
                <w:szCs w:val="21"/>
                <w:highlight w:val="none"/>
                <w:lang w:val="en-US" w:eastAsia="zh-CN"/>
              </w:rPr>
              <w:t>1</w:t>
            </w:r>
          </w:p>
        </w:tc>
        <w:tc>
          <w:tcPr>
            <w:tcW w:w="3300" w:type="dxa"/>
            <w:noWrap w:val="0"/>
            <w:vAlign w:val="center"/>
          </w:tcPr>
          <w:p w14:paraId="51D545A4">
            <w:pPr>
              <w:pageBreakBefore w:val="0"/>
              <w:widowControl w:val="0"/>
              <w:kinsoku/>
              <w:wordWrap/>
              <w:overflowPunct/>
              <w:topLinePunct w:val="0"/>
              <w:autoSpaceDE/>
              <w:autoSpaceDN/>
              <w:bidi w:val="0"/>
              <w:adjustRightInd/>
              <w:snapToGrid/>
              <w:spacing w:line="312" w:lineRule="auto"/>
              <w:jc w:val="center"/>
              <w:textAlignment w:val="auto"/>
              <w:rPr>
                <w:rFonts w:hint="eastAsia"/>
                <w:sz w:val="21"/>
                <w:szCs w:val="21"/>
                <w:highlight w:val="none"/>
                <w:lang w:val="en-US" w:eastAsia="zh-CN"/>
              </w:rPr>
            </w:pPr>
            <w:r>
              <w:rPr>
                <w:rFonts w:hint="eastAsia"/>
                <w:sz w:val="21"/>
                <w:szCs w:val="21"/>
                <w:highlight w:val="none"/>
                <w:lang w:val="en-US" w:eastAsia="zh-CN"/>
              </w:rPr>
              <w:t>因承包人单方面原因造成的工期延误</w:t>
            </w:r>
          </w:p>
        </w:tc>
        <w:tc>
          <w:tcPr>
            <w:tcW w:w="2531" w:type="dxa"/>
            <w:noWrap w:val="0"/>
            <w:vAlign w:val="center"/>
          </w:tcPr>
          <w:p w14:paraId="4E346A8D">
            <w:pPr>
              <w:keepNext w:val="0"/>
              <w:keepLines w:val="0"/>
              <w:pageBreakBefore w:val="0"/>
              <w:widowControl w:val="0"/>
              <w:kinsoku/>
              <w:wordWrap/>
              <w:overflowPunct/>
              <w:topLinePunct w:val="0"/>
              <w:autoSpaceDE/>
              <w:autoSpaceDN/>
              <w:bidi w:val="0"/>
              <w:adjustRightInd/>
              <w:snapToGrid/>
              <w:spacing w:line="336" w:lineRule="auto"/>
              <w:jc w:val="center"/>
              <w:textAlignment w:val="auto"/>
              <w:rPr>
                <w:rFonts w:hint="eastAsia"/>
                <w:sz w:val="21"/>
                <w:szCs w:val="21"/>
                <w:highlight w:val="none"/>
              </w:rPr>
            </w:pPr>
            <w:r>
              <w:rPr>
                <w:rFonts w:hint="eastAsia" w:ascii="宋体" w:hAnsi="宋体" w:cs="宋体"/>
                <w:color w:val="000000"/>
                <w:lang w:val="en-US" w:eastAsia="zh-CN"/>
              </w:rPr>
              <w:t>90</w:t>
            </w:r>
            <w:r>
              <w:rPr>
                <w:rFonts w:hint="eastAsia" w:ascii="宋体" w:hAnsi="宋体" w:eastAsia="宋体" w:cs="宋体"/>
                <w:color w:val="000000"/>
              </w:rPr>
              <w:t>日历天</w:t>
            </w:r>
            <w:r>
              <w:rPr>
                <w:rFonts w:hint="eastAsia"/>
                <w:sz w:val="21"/>
                <w:szCs w:val="21"/>
                <w:highlight w:val="none"/>
              </w:rPr>
              <w:t>，以下达开工令</w:t>
            </w:r>
            <w:r>
              <w:rPr>
                <w:rFonts w:hint="eastAsia"/>
                <w:sz w:val="21"/>
                <w:szCs w:val="21"/>
                <w:highlight w:val="none"/>
                <w:lang w:val="en-US" w:eastAsia="zh-CN"/>
              </w:rPr>
              <w:t>之日</w:t>
            </w:r>
            <w:r>
              <w:rPr>
                <w:rFonts w:hint="eastAsia"/>
                <w:sz w:val="21"/>
                <w:szCs w:val="21"/>
                <w:highlight w:val="none"/>
              </w:rPr>
              <w:t>起算</w:t>
            </w:r>
          </w:p>
        </w:tc>
        <w:tc>
          <w:tcPr>
            <w:tcW w:w="2371" w:type="dxa"/>
            <w:noWrap w:val="0"/>
            <w:vAlign w:val="center"/>
          </w:tcPr>
          <w:p w14:paraId="435DF675">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rFonts w:hint="eastAsia"/>
                <w:sz w:val="21"/>
                <w:szCs w:val="21"/>
                <w:highlight w:val="none"/>
              </w:rPr>
            </w:pPr>
          </w:p>
        </w:tc>
      </w:tr>
      <w:tr w14:paraId="049136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870" w:type="dxa"/>
            <w:noWrap w:val="0"/>
            <w:vAlign w:val="center"/>
          </w:tcPr>
          <w:p w14:paraId="1240F8C1">
            <w:pPr>
              <w:pageBreakBefore w:val="0"/>
              <w:widowControl w:val="0"/>
              <w:kinsoku/>
              <w:wordWrap/>
              <w:overflowPunct/>
              <w:topLinePunct w:val="0"/>
              <w:autoSpaceDE/>
              <w:autoSpaceDN/>
              <w:bidi w:val="0"/>
              <w:adjustRightInd/>
              <w:snapToGrid/>
              <w:spacing w:line="312" w:lineRule="auto"/>
              <w:jc w:val="center"/>
              <w:textAlignment w:val="auto"/>
              <w:rPr>
                <w:rFonts w:hint="eastAsia"/>
                <w:sz w:val="21"/>
                <w:szCs w:val="21"/>
                <w:highlight w:val="none"/>
                <w:lang w:val="en-US" w:eastAsia="zh-CN"/>
              </w:rPr>
            </w:pPr>
            <w:r>
              <w:rPr>
                <w:rFonts w:hint="eastAsia"/>
                <w:sz w:val="21"/>
                <w:szCs w:val="21"/>
                <w:highlight w:val="none"/>
                <w:lang w:val="en-US" w:eastAsia="zh-CN"/>
              </w:rPr>
              <w:t>2</w:t>
            </w:r>
          </w:p>
        </w:tc>
        <w:tc>
          <w:tcPr>
            <w:tcW w:w="3300" w:type="dxa"/>
            <w:noWrap w:val="0"/>
            <w:vAlign w:val="center"/>
          </w:tcPr>
          <w:p w14:paraId="68C04CE0">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rFonts w:hint="eastAsia"/>
                <w:sz w:val="21"/>
                <w:szCs w:val="21"/>
                <w:highlight w:val="none"/>
              </w:rPr>
            </w:pPr>
          </w:p>
        </w:tc>
        <w:tc>
          <w:tcPr>
            <w:tcW w:w="2531" w:type="dxa"/>
            <w:noWrap w:val="0"/>
            <w:vAlign w:val="center"/>
          </w:tcPr>
          <w:p w14:paraId="6956D7AE">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rFonts w:hint="eastAsia"/>
                <w:sz w:val="21"/>
                <w:szCs w:val="21"/>
                <w:highlight w:val="none"/>
              </w:rPr>
            </w:pPr>
          </w:p>
        </w:tc>
        <w:tc>
          <w:tcPr>
            <w:tcW w:w="2371" w:type="dxa"/>
            <w:noWrap w:val="0"/>
            <w:vAlign w:val="center"/>
          </w:tcPr>
          <w:p w14:paraId="2DB43A87">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rFonts w:hint="eastAsia"/>
                <w:sz w:val="21"/>
                <w:szCs w:val="21"/>
                <w:highlight w:val="none"/>
              </w:rPr>
            </w:pPr>
          </w:p>
        </w:tc>
      </w:tr>
    </w:tbl>
    <w:p w14:paraId="4EDF7DB9">
      <w:pPr>
        <w:pageBreakBefore w:val="0"/>
        <w:widowControl w:val="0"/>
        <w:kinsoku/>
        <w:wordWrap/>
        <w:overflowPunct/>
        <w:topLinePunct w:val="0"/>
        <w:autoSpaceDE/>
        <w:autoSpaceDN/>
        <w:bidi w:val="0"/>
        <w:adjustRightInd/>
        <w:snapToGrid/>
        <w:spacing w:line="360" w:lineRule="auto"/>
        <w:ind w:firstLine="420" w:firstLineChars="200"/>
        <w:textAlignment w:val="auto"/>
        <w:rPr>
          <w:sz w:val="21"/>
          <w:szCs w:val="21"/>
          <w:highlight w:val="none"/>
        </w:rPr>
      </w:pPr>
      <w:r>
        <w:rPr>
          <w:rFonts w:hAnsi="宋体"/>
          <w:sz w:val="21"/>
          <w:szCs w:val="21"/>
          <w:highlight w:val="none"/>
        </w:rPr>
        <w:t>全部逾期完工违约金的总限额为</w:t>
      </w:r>
      <w:r>
        <w:rPr>
          <w:rFonts w:hAnsi="宋体"/>
          <w:sz w:val="21"/>
          <w:szCs w:val="21"/>
          <w:highlight w:val="none"/>
          <w:u w:val="single"/>
        </w:rPr>
        <w:t>（不超过签约合同价的</w:t>
      </w:r>
      <w:r>
        <w:rPr>
          <w:rFonts w:hint="eastAsia" w:hAnsi="宋体"/>
          <w:sz w:val="21"/>
          <w:szCs w:val="21"/>
          <w:highlight w:val="none"/>
          <w:u w:val="single"/>
        </w:rPr>
        <w:t>10</w:t>
      </w:r>
      <w:r>
        <w:rPr>
          <w:rFonts w:hAnsi="宋体"/>
          <w:sz w:val="21"/>
          <w:szCs w:val="21"/>
          <w:highlight w:val="none"/>
          <w:u w:val="single"/>
        </w:rPr>
        <w:t>％）</w:t>
      </w:r>
      <w:r>
        <w:rPr>
          <w:rFonts w:hAnsi="宋体"/>
          <w:sz w:val="21"/>
          <w:szCs w:val="21"/>
          <w:highlight w:val="none"/>
        </w:rPr>
        <w:t>。</w:t>
      </w:r>
    </w:p>
    <w:p w14:paraId="34A48F25">
      <w:pPr>
        <w:pStyle w:val="6"/>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11.6 工期提前</w:t>
      </w:r>
    </w:p>
    <w:p w14:paraId="64313C77">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rFonts w:hAnsi="宋体"/>
          <w:sz w:val="21"/>
          <w:szCs w:val="21"/>
          <w:highlight w:val="none"/>
        </w:rPr>
        <w:t>工期提前的奖金约定：</w:t>
      </w:r>
      <w:r>
        <w:rPr>
          <w:rFonts w:hAnsi="宋体"/>
          <w:sz w:val="21"/>
          <w:szCs w:val="21"/>
          <w:highlight w:val="none"/>
          <w:u w:val="single"/>
        </w:rPr>
        <w:t>无</w:t>
      </w:r>
      <w:r>
        <w:rPr>
          <w:rFonts w:hAnsi="宋体"/>
          <w:sz w:val="21"/>
          <w:szCs w:val="21"/>
          <w:highlight w:val="none"/>
        </w:rPr>
        <w:t>。</w:t>
      </w:r>
    </w:p>
    <w:p w14:paraId="2453E124">
      <w:pPr>
        <w:pStyle w:val="6"/>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bookmarkStart w:id="34" w:name="_Toc265408526"/>
      <w:r>
        <w:rPr>
          <w:rFonts w:ascii="宋体" w:hAnsi="Times New Roman" w:eastAsia="宋体" w:cs="Times New Roman"/>
          <w:b/>
          <w:bCs/>
          <w:sz w:val="21"/>
          <w:szCs w:val="21"/>
          <w:highlight w:val="none"/>
        </w:rPr>
        <w:t>13 工程质量</w:t>
      </w:r>
      <w:bookmarkEnd w:id="34"/>
    </w:p>
    <w:p w14:paraId="2FD0E0A0">
      <w:pPr>
        <w:pStyle w:val="6"/>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13.7 质量评定</w:t>
      </w:r>
    </w:p>
    <w:p w14:paraId="70074E27">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sz w:val="21"/>
          <w:szCs w:val="21"/>
          <w:highlight w:val="none"/>
        </w:rPr>
        <w:t xml:space="preserve">13.7.4 </w:t>
      </w:r>
      <w:r>
        <w:rPr>
          <w:rFonts w:hAnsi="宋体"/>
          <w:sz w:val="21"/>
          <w:szCs w:val="21"/>
          <w:highlight w:val="none"/>
        </w:rPr>
        <w:t>重要隐蔽单元工程和关键部位单元工程质量评定的约定：</w:t>
      </w:r>
      <w:r>
        <w:rPr>
          <w:rFonts w:hAnsi="宋体"/>
          <w:sz w:val="21"/>
          <w:szCs w:val="21"/>
          <w:highlight w:val="none"/>
          <w:u w:val="single"/>
        </w:rPr>
        <w:t>执行通用条款</w:t>
      </w:r>
      <w:r>
        <w:rPr>
          <w:rFonts w:hAnsi="宋体"/>
          <w:sz w:val="21"/>
          <w:szCs w:val="21"/>
          <w:highlight w:val="none"/>
        </w:rPr>
        <w:t>。</w:t>
      </w:r>
    </w:p>
    <w:p w14:paraId="2670093E">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sz w:val="21"/>
          <w:szCs w:val="21"/>
          <w:highlight w:val="none"/>
        </w:rPr>
        <w:t xml:space="preserve">13.7.7 </w:t>
      </w:r>
      <w:r>
        <w:rPr>
          <w:rFonts w:hAnsi="宋体"/>
          <w:sz w:val="21"/>
          <w:szCs w:val="21"/>
          <w:highlight w:val="none"/>
        </w:rPr>
        <w:t>工程合格标准为：</w:t>
      </w:r>
      <w:r>
        <w:rPr>
          <w:rFonts w:hint="eastAsia" w:hAnsi="宋体"/>
          <w:sz w:val="21"/>
          <w:szCs w:val="21"/>
          <w:highlight w:val="none"/>
          <w:u w:val="single"/>
        </w:rPr>
        <w:t>相关规范和规程验收标准</w:t>
      </w:r>
      <w:r>
        <w:rPr>
          <w:rFonts w:hAnsi="宋体"/>
          <w:sz w:val="21"/>
          <w:szCs w:val="21"/>
          <w:highlight w:val="none"/>
        </w:rPr>
        <w:t>；优良标准为：</w:t>
      </w:r>
      <w:r>
        <w:rPr>
          <w:rFonts w:hint="eastAsia"/>
          <w:sz w:val="21"/>
          <w:szCs w:val="21"/>
          <w:highlight w:val="none"/>
          <w:u w:val="single"/>
        </w:rPr>
        <w:t>相关规范和规程验收标准</w:t>
      </w:r>
      <w:r>
        <w:rPr>
          <w:rFonts w:hAnsi="宋体"/>
          <w:sz w:val="21"/>
          <w:szCs w:val="21"/>
          <w:highlight w:val="none"/>
        </w:rPr>
        <w:t>。达到优良的奖金为：</w:t>
      </w:r>
      <w:r>
        <w:rPr>
          <w:sz w:val="21"/>
          <w:szCs w:val="21"/>
          <w:highlight w:val="none"/>
          <w:u w:val="single"/>
        </w:rPr>
        <w:t xml:space="preserve">  </w:t>
      </w:r>
      <w:r>
        <w:rPr>
          <w:rFonts w:hint="eastAsia"/>
          <w:sz w:val="21"/>
          <w:szCs w:val="21"/>
          <w:highlight w:val="none"/>
          <w:u w:val="single"/>
          <w:lang w:eastAsia="zh-CN"/>
        </w:rPr>
        <w:t>无</w:t>
      </w:r>
      <w:r>
        <w:rPr>
          <w:sz w:val="21"/>
          <w:szCs w:val="21"/>
          <w:highlight w:val="none"/>
          <w:u w:val="single"/>
        </w:rPr>
        <w:t xml:space="preserve">  </w:t>
      </w:r>
      <w:r>
        <w:rPr>
          <w:rFonts w:hAnsi="宋体"/>
          <w:sz w:val="21"/>
          <w:szCs w:val="21"/>
          <w:highlight w:val="none"/>
        </w:rPr>
        <w:t>。</w:t>
      </w:r>
    </w:p>
    <w:p w14:paraId="6322B276">
      <w:pPr>
        <w:pStyle w:val="6"/>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13.8 质量事故处理</w:t>
      </w:r>
    </w:p>
    <w:p w14:paraId="6C36D00B">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sz w:val="21"/>
          <w:szCs w:val="21"/>
          <w:highlight w:val="none"/>
        </w:rPr>
        <w:t xml:space="preserve">13.8.4 </w:t>
      </w:r>
      <w:r>
        <w:rPr>
          <w:rFonts w:hAnsi="宋体"/>
          <w:sz w:val="21"/>
          <w:szCs w:val="21"/>
          <w:highlight w:val="none"/>
        </w:rPr>
        <w:t>工程竣工验收时，</w:t>
      </w:r>
      <w:r>
        <w:rPr>
          <w:rFonts w:hAnsi="宋体"/>
          <w:sz w:val="21"/>
          <w:szCs w:val="21"/>
          <w:highlight w:val="none"/>
          <w:u w:val="single"/>
        </w:rPr>
        <w:t>承包人协助发包人</w:t>
      </w:r>
      <w:r>
        <w:rPr>
          <w:rFonts w:hAnsi="宋体"/>
          <w:sz w:val="21"/>
          <w:szCs w:val="21"/>
          <w:highlight w:val="none"/>
        </w:rPr>
        <w:t>向竣工验收委员会汇报并提交历次质量缺陷处理的备案资料。</w:t>
      </w:r>
    </w:p>
    <w:p w14:paraId="097F0B7E">
      <w:pPr>
        <w:pStyle w:val="6"/>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bookmarkStart w:id="35" w:name="_Toc265408527"/>
      <w:r>
        <w:rPr>
          <w:rFonts w:ascii="宋体" w:hAnsi="Times New Roman" w:eastAsia="宋体" w:cs="Times New Roman"/>
          <w:b/>
          <w:bCs/>
          <w:sz w:val="21"/>
          <w:szCs w:val="21"/>
          <w:highlight w:val="none"/>
        </w:rPr>
        <w:t>14 试验和检验</w:t>
      </w:r>
      <w:bookmarkEnd w:id="35"/>
    </w:p>
    <w:p w14:paraId="15C7B52E">
      <w:pPr>
        <w:pStyle w:val="6"/>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14.1 材料、工程设备和工程的试验和检验</w:t>
      </w:r>
    </w:p>
    <w:p w14:paraId="5DC91AE6">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sz w:val="21"/>
          <w:szCs w:val="21"/>
          <w:highlight w:val="none"/>
        </w:rPr>
        <w:t>14.1.5</w:t>
      </w:r>
      <w:r>
        <w:rPr>
          <w:rFonts w:hAnsi="宋体"/>
          <w:sz w:val="21"/>
          <w:szCs w:val="21"/>
          <w:highlight w:val="none"/>
        </w:rPr>
        <w:t>水工金属结构、启闭机及机电产品进场后的交货检查和验收中，</w:t>
      </w:r>
      <w:r>
        <w:rPr>
          <w:sz w:val="21"/>
          <w:szCs w:val="21"/>
          <w:highlight w:val="none"/>
        </w:rPr>
        <w:t xml:space="preserve"> </w:t>
      </w:r>
      <w:r>
        <w:rPr>
          <w:rFonts w:hAnsi="宋体"/>
          <w:sz w:val="21"/>
          <w:szCs w:val="21"/>
          <w:highlight w:val="none"/>
        </w:rPr>
        <w:t>承包人负责</w:t>
      </w:r>
      <w:r>
        <w:rPr>
          <w:rFonts w:hAnsi="宋体"/>
          <w:sz w:val="21"/>
          <w:szCs w:val="21"/>
          <w:highlight w:val="none"/>
          <w:u w:val="single"/>
        </w:rPr>
        <w:t>执行通用条款</w:t>
      </w:r>
      <w:r>
        <w:rPr>
          <w:rFonts w:hAnsi="宋体"/>
          <w:sz w:val="21"/>
          <w:szCs w:val="21"/>
          <w:highlight w:val="none"/>
        </w:rPr>
        <w:t>。</w:t>
      </w:r>
    </w:p>
    <w:p w14:paraId="3B367AFC">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sz w:val="21"/>
          <w:szCs w:val="21"/>
          <w:highlight w:val="none"/>
        </w:rPr>
        <w:t xml:space="preserve">14.1.6 </w:t>
      </w:r>
      <w:r>
        <w:rPr>
          <w:rFonts w:hAnsi="宋体"/>
          <w:sz w:val="21"/>
          <w:szCs w:val="21"/>
          <w:highlight w:val="none"/>
        </w:rPr>
        <w:t>本工程实行见证取样的试块、试件及有关材料：</w:t>
      </w:r>
      <w:r>
        <w:rPr>
          <w:rFonts w:hAnsi="宋体"/>
          <w:sz w:val="21"/>
          <w:szCs w:val="21"/>
          <w:highlight w:val="none"/>
          <w:u w:val="single"/>
        </w:rPr>
        <w:t>执行通用条款</w:t>
      </w:r>
      <w:r>
        <w:rPr>
          <w:rFonts w:hAnsi="宋体"/>
          <w:sz w:val="21"/>
          <w:szCs w:val="21"/>
          <w:highlight w:val="none"/>
        </w:rPr>
        <w:t>。</w:t>
      </w:r>
    </w:p>
    <w:p w14:paraId="40AEF068">
      <w:pPr>
        <w:pStyle w:val="6"/>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bookmarkStart w:id="36" w:name="_Toc265408528"/>
      <w:r>
        <w:rPr>
          <w:rFonts w:ascii="宋体" w:hAnsi="Times New Roman" w:eastAsia="宋体" w:cs="Times New Roman"/>
          <w:b/>
          <w:bCs/>
          <w:sz w:val="21"/>
          <w:szCs w:val="21"/>
          <w:highlight w:val="none"/>
        </w:rPr>
        <w:t>15 变更</w:t>
      </w:r>
      <w:bookmarkEnd w:id="36"/>
    </w:p>
    <w:p w14:paraId="5F0F573E">
      <w:pPr>
        <w:pStyle w:val="6"/>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15.1 变更的范围和内容</w:t>
      </w:r>
    </w:p>
    <w:p w14:paraId="2489B896">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color w:val="000000"/>
          <w:sz w:val="21"/>
          <w:szCs w:val="21"/>
          <w:highlight w:val="none"/>
        </w:rPr>
      </w:pPr>
      <w:r>
        <w:rPr>
          <w:rFonts w:hint="eastAsia" w:ascii="Times New Roman" w:hAnsi="Times New Roman" w:eastAsia="宋体" w:cs="Times New Roman"/>
          <w:sz w:val="21"/>
          <w:szCs w:val="21"/>
          <w:highlight w:val="none"/>
          <w:lang w:eastAsia="zh-CN"/>
        </w:rPr>
        <w:t>（</w:t>
      </w:r>
      <w:r>
        <w:rPr>
          <w:rFonts w:hint="eastAsia" w:ascii="Times New Roman" w:hAnsi="Times New Roman" w:eastAsia="宋体" w:cs="Times New Roman"/>
          <w:sz w:val="21"/>
          <w:szCs w:val="21"/>
          <w:highlight w:val="none"/>
          <w:lang w:val="en-US" w:eastAsia="zh-CN"/>
        </w:rPr>
        <w:t>6）</w:t>
      </w:r>
      <w:r>
        <w:rPr>
          <w:rFonts w:hint="eastAsia" w:ascii="Times New Roman" w:hAnsi="Times New Roman" w:eastAsia="宋体" w:cs="Times New Roman"/>
          <w:sz w:val="21"/>
          <w:szCs w:val="21"/>
          <w:highlight w:val="none"/>
        </w:rPr>
        <w:t>增</w:t>
      </w:r>
      <w:r>
        <w:rPr>
          <w:rFonts w:hint="eastAsia"/>
          <w:sz w:val="21"/>
          <w:szCs w:val="21"/>
          <w:highlight w:val="none"/>
        </w:rPr>
        <w:t>加或</w:t>
      </w:r>
      <w:r>
        <w:rPr>
          <w:rFonts w:hint="eastAsia"/>
          <w:color w:val="000000"/>
          <w:sz w:val="21"/>
          <w:szCs w:val="21"/>
          <w:highlight w:val="none"/>
        </w:rPr>
        <w:t>减少合同中关键项目的工程量超过其工程总量的</w:t>
      </w:r>
      <w:r>
        <w:rPr>
          <w:rFonts w:hint="eastAsia"/>
          <w:color w:val="000000"/>
          <w:sz w:val="21"/>
          <w:szCs w:val="21"/>
          <w:highlight w:val="none"/>
          <w:u w:val="single"/>
        </w:rPr>
        <w:t>（合同签订时另行约定）</w:t>
      </w:r>
      <w:r>
        <w:rPr>
          <w:rFonts w:hint="eastAsia"/>
          <w:color w:val="000000"/>
          <w:sz w:val="21"/>
          <w:szCs w:val="21"/>
          <w:highlight w:val="none"/>
          <w:u w:val="single"/>
          <w:lang w:val="en-US" w:eastAsia="zh-CN"/>
        </w:rPr>
        <w:t>%</w:t>
      </w:r>
      <w:r>
        <w:rPr>
          <w:rFonts w:hint="eastAsia"/>
          <w:color w:val="000000"/>
          <w:sz w:val="21"/>
          <w:szCs w:val="21"/>
          <w:highlight w:val="none"/>
        </w:rPr>
        <w:t>，关键项目</w:t>
      </w:r>
      <w:r>
        <w:rPr>
          <w:rFonts w:hint="eastAsia"/>
          <w:color w:val="000000"/>
          <w:sz w:val="21"/>
          <w:szCs w:val="21"/>
          <w:highlight w:val="none"/>
          <w:u w:val="single"/>
        </w:rPr>
        <w:t>（合同签订时另行约定）</w:t>
      </w:r>
      <w:r>
        <w:rPr>
          <w:rFonts w:hint="eastAsia"/>
          <w:color w:val="000000"/>
          <w:sz w:val="21"/>
          <w:szCs w:val="21"/>
          <w:highlight w:val="none"/>
        </w:rPr>
        <w:t>，单价调整方式：</w:t>
      </w:r>
      <w:r>
        <w:rPr>
          <w:rFonts w:hint="eastAsia"/>
          <w:color w:val="000000"/>
          <w:sz w:val="21"/>
          <w:szCs w:val="21"/>
          <w:highlight w:val="none"/>
          <w:u w:val="single"/>
        </w:rPr>
        <w:t>（1）承包人中标报价中已有适用的综合单价，按合同中已有的综合单价确定；（2）承包人中标报价中有类似工程项目单价的，可参照其中类似的综合单价确定；（3）承包人中标报价中没有类似工程项目单价的，应依据承包人中标价中人工、材料、机械以及各项取费为基础，由承包人提出适当的综合单价，经监理工程师以及发包人审定后执行</w:t>
      </w:r>
      <w:r>
        <w:rPr>
          <w:rFonts w:hint="eastAsia"/>
          <w:color w:val="000000"/>
          <w:sz w:val="21"/>
          <w:szCs w:val="21"/>
          <w:highlight w:val="none"/>
        </w:rPr>
        <w:t>。</w:t>
      </w:r>
    </w:p>
    <w:p w14:paraId="433DDF82">
      <w:pPr>
        <w:pStyle w:val="6"/>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15.5 承包人的合理化建议</w:t>
      </w:r>
    </w:p>
    <w:p w14:paraId="4DF1DF94">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sz w:val="21"/>
          <w:szCs w:val="21"/>
          <w:highlight w:val="none"/>
        </w:rPr>
        <w:t xml:space="preserve">15.5.2 </w:t>
      </w:r>
      <w:r>
        <w:rPr>
          <w:rFonts w:hAnsi="宋体"/>
          <w:sz w:val="21"/>
          <w:szCs w:val="21"/>
          <w:highlight w:val="none"/>
        </w:rPr>
        <w:t>承包人实现合理化建议的奖励金额为：</w:t>
      </w:r>
      <w:r>
        <w:rPr>
          <w:rFonts w:hint="eastAsia" w:hAnsi="宋体"/>
          <w:sz w:val="21"/>
          <w:szCs w:val="21"/>
          <w:highlight w:val="none"/>
          <w:u w:val="single"/>
        </w:rPr>
        <w:t xml:space="preserve">不适用 </w:t>
      </w:r>
      <w:r>
        <w:rPr>
          <w:rFonts w:hAnsi="宋体"/>
          <w:sz w:val="21"/>
          <w:szCs w:val="21"/>
          <w:highlight w:val="none"/>
        </w:rPr>
        <w:t>。</w:t>
      </w:r>
    </w:p>
    <w:p w14:paraId="5A2E5506">
      <w:pPr>
        <w:pStyle w:val="6"/>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15.8 暂估价</w:t>
      </w:r>
    </w:p>
    <w:p w14:paraId="55CB7138">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bookmarkStart w:id="37" w:name="_Toc265408529"/>
      <w:r>
        <w:rPr>
          <w:sz w:val="21"/>
          <w:szCs w:val="21"/>
          <w:highlight w:val="none"/>
        </w:rPr>
        <w:t xml:space="preserve">15.8.1 </w:t>
      </w:r>
      <w:r>
        <w:rPr>
          <w:rFonts w:hAnsi="宋体"/>
          <w:sz w:val="21"/>
          <w:szCs w:val="21"/>
          <w:highlight w:val="none"/>
        </w:rPr>
        <w:t>发包人在工程量清单中给定暂估价的材料、工程设备和专业工程属于依法必须招标的范围并达到规定的规模标准的，若承包人不具备承担暂估价项目的能力或具备承担暂估价项目的能力但明确不参与投标的，由发包人和承包人组织招标；若承包人具备承担暂估价项目的能力且明确参与投标的，由发包人组织招标。暂估价项目中标金额与工程量清单中所列金额差以及相应的税金等其它费用列入合同价格。必须招标的暂估价项目招标组织形式、发包人和承包人组织招标时双方的权利义务关系在专用合同条款中约定。</w:t>
      </w:r>
    </w:p>
    <w:p w14:paraId="74200F8A">
      <w:pPr>
        <w:pStyle w:val="6"/>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16 价格调整</w:t>
      </w:r>
      <w:bookmarkEnd w:id="37"/>
    </w:p>
    <w:p w14:paraId="4C3CCDA3">
      <w:pPr>
        <w:pStyle w:val="6"/>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16.1 物价波动引起的价格调整</w:t>
      </w:r>
    </w:p>
    <w:p w14:paraId="733E2F74">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rFonts w:hAnsi="宋体"/>
          <w:sz w:val="21"/>
          <w:szCs w:val="21"/>
          <w:highlight w:val="none"/>
        </w:rPr>
        <w:t>物价波动引起的价格调整方式：</w:t>
      </w:r>
      <w:r>
        <w:rPr>
          <w:sz w:val="21"/>
          <w:szCs w:val="21"/>
          <w:highlight w:val="none"/>
          <w:u w:val="single"/>
        </w:rPr>
        <w:t xml:space="preserve"> </w:t>
      </w:r>
      <w:r>
        <w:rPr>
          <w:rFonts w:hAnsi="宋体"/>
          <w:sz w:val="21"/>
          <w:szCs w:val="21"/>
          <w:highlight w:val="none"/>
          <w:u w:val="single"/>
        </w:rPr>
        <w:t>不调整</w:t>
      </w:r>
      <w:r>
        <w:rPr>
          <w:sz w:val="21"/>
          <w:szCs w:val="21"/>
          <w:highlight w:val="none"/>
          <w:u w:val="single"/>
        </w:rPr>
        <w:t xml:space="preserve">  </w:t>
      </w:r>
      <w:r>
        <w:rPr>
          <w:rFonts w:hAnsi="宋体"/>
          <w:sz w:val="21"/>
          <w:szCs w:val="21"/>
          <w:highlight w:val="none"/>
        </w:rPr>
        <w:t>。</w:t>
      </w:r>
    </w:p>
    <w:p w14:paraId="2D8E1BD4">
      <w:pPr>
        <w:pStyle w:val="6"/>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bookmarkStart w:id="38" w:name="_Toc265408530"/>
      <w:r>
        <w:rPr>
          <w:rFonts w:ascii="宋体" w:hAnsi="Times New Roman" w:eastAsia="宋体" w:cs="Times New Roman"/>
          <w:b/>
          <w:bCs/>
          <w:sz w:val="21"/>
          <w:szCs w:val="21"/>
          <w:highlight w:val="none"/>
        </w:rPr>
        <w:t>17 计量与支付</w:t>
      </w:r>
      <w:bookmarkEnd w:id="38"/>
    </w:p>
    <w:p w14:paraId="11962351">
      <w:pPr>
        <w:pageBreakBefore w:val="0"/>
        <w:widowControl w:val="0"/>
        <w:kinsoku/>
        <w:wordWrap/>
        <w:overflowPunct/>
        <w:topLinePunct w:val="0"/>
        <w:autoSpaceDE/>
        <w:autoSpaceDN/>
        <w:bidi w:val="0"/>
        <w:adjustRightInd/>
        <w:snapToGrid/>
        <w:spacing w:line="312" w:lineRule="auto"/>
        <w:textAlignment w:val="auto"/>
        <w:rPr>
          <w:rFonts w:hint="eastAsia" w:ascii="Times New Roman" w:hAnsi="Times New Roman" w:eastAsia="宋体" w:cs="Times New Roman"/>
          <w:b/>
          <w:bCs/>
          <w:sz w:val="21"/>
          <w:szCs w:val="21"/>
          <w:highlight w:val="none"/>
        </w:rPr>
      </w:pPr>
      <w:r>
        <w:rPr>
          <w:rFonts w:hint="eastAsia" w:ascii="Times New Roman" w:hAnsi="Times New Roman" w:eastAsia="宋体" w:cs="Times New Roman"/>
          <w:b/>
          <w:bCs/>
          <w:sz w:val="21"/>
          <w:szCs w:val="21"/>
          <w:highlight w:val="none"/>
        </w:rPr>
        <w:t>17.2 预付款</w:t>
      </w:r>
    </w:p>
    <w:p w14:paraId="484284A3">
      <w:pPr>
        <w:pageBreakBefore w:val="0"/>
        <w:widowControl w:val="0"/>
        <w:kinsoku/>
        <w:wordWrap/>
        <w:overflowPunct/>
        <w:topLinePunct w:val="0"/>
        <w:autoSpaceDE/>
        <w:autoSpaceDN/>
        <w:bidi w:val="0"/>
        <w:adjustRightInd/>
        <w:snapToGrid/>
        <w:spacing w:line="312" w:lineRule="auto"/>
        <w:ind w:firstLine="420" w:firstLineChars="200"/>
        <w:textAlignment w:val="auto"/>
        <w:rPr>
          <w:color w:val="000000"/>
          <w:sz w:val="21"/>
          <w:szCs w:val="21"/>
          <w:highlight w:val="none"/>
        </w:rPr>
      </w:pPr>
      <w:r>
        <w:rPr>
          <w:rFonts w:hint="eastAsia"/>
          <w:color w:val="000000"/>
          <w:sz w:val="21"/>
          <w:szCs w:val="21"/>
          <w:highlight w:val="none"/>
        </w:rPr>
        <w:t>17.2.1 预付款：</w:t>
      </w:r>
    </w:p>
    <w:p w14:paraId="7C6635D8">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color w:val="000000"/>
          <w:sz w:val="21"/>
          <w:szCs w:val="21"/>
          <w:highlight w:val="none"/>
        </w:rPr>
      </w:pPr>
      <w:r>
        <w:rPr>
          <w:rFonts w:hint="eastAsia"/>
          <w:color w:val="000000"/>
          <w:sz w:val="21"/>
          <w:szCs w:val="21"/>
          <w:highlight w:val="none"/>
        </w:rPr>
        <w:t>（1）预付款支付比例或金额：</w:t>
      </w:r>
      <w:r>
        <w:rPr>
          <w:rFonts w:hint="eastAsia"/>
          <w:color w:val="000000"/>
          <w:highlight w:val="none"/>
          <w:u w:val="single"/>
          <w:lang w:val="en-US" w:eastAsia="zh-CN"/>
        </w:rPr>
        <w:t xml:space="preserve">   无   </w:t>
      </w:r>
      <w:r>
        <w:rPr>
          <w:rFonts w:hint="eastAsia"/>
          <w:color w:val="000000"/>
          <w:highlight w:val="none"/>
        </w:rPr>
        <w:t>。</w:t>
      </w:r>
    </w:p>
    <w:p w14:paraId="4AEE3A75">
      <w:pPr>
        <w:pStyle w:val="6"/>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17.3 进度付款</w:t>
      </w:r>
    </w:p>
    <w:p w14:paraId="756C8621">
      <w:pPr>
        <w:pageBreakBefore w:val="0"/>
        <w:widowControl w:val="0"/>
        <w:kinsoku/>
        <w:wordWrap/>
        <w:overflowPunct/>
        <w:topLinePunct w:val="0"/>
        <w:autoSpaceDE/>
        <w:autoSpaceDN/>
        <w:bidi w:val="0"/>
        <w:adjustRightInd/>
        <w:snapToGrid/>
        <w:spacing w:line="312" w:lineRule="auto"/>
        <w:textAlignment w:val="auto"/>
        <w:rPr>
          <w:color w:val="000000"/>
          <w:sz w:val="21"/>
          <w:szCs w:val="21"/>
          <w:highlight w:val="none"/>
        </w:rPr>
      </w:pPr>
      <w:r>
        <w:rPr>
          <w:color w:val="000000"/>
          <w:sz w:val="21"/>
          <w:szCs w:val="21"/>
          <w:highlight w:val="none"/>
        </w:rPr>
        <w:t xml:space="preserve">17.3.1 </w:t>
      </w:r>
      <w:r>
        <w:rPr>
          <w:rFonts w:hAnsi="宋体"/>
          <w:color w:val="000000"/>
          <w:sz w:val="21"/>
          <w:szCs w:val="21"/>
          <w:highlight w:val="none"/>
        </w:rPr>
        <w:t>付款周期</w:t>
      </w:r>
    </w:p>
    <w:p w14:paraId="158CC465">
      <w:pPr>
        <w:pageBreakBefore w:val="0"/>
        <w:widowControl w:val="0"/>
        <w:kinsoku/>
        <w:wordWrap/>
        <w:overflowPunct/>
        <w:topLinePunct w:val="0"/>
        <w:autoSpaceDE/>
        <w:autoSpaceDN/>
        <w:bidi w:val="0"/>
        <w:adjustRightInd/>
        <w:snapToGrid/>
        <w:spacing w:line="312" w:lineRule="auto"/>
        <w:ind w:firstLine="420" w:firstLineChars="200"/>
        <w:textAlignment w:val="auto"/>
        <w:rPr>
          <w:color w:val="000000"/>
          <w:sz w:val="21"/>
          <w:szCs w:val="21"/>
          <w:highlight w:val="none"/>
        </w:rPr>
      </w:pPr>
      <w:r>
        <w:rPr>
          <w:rFonts w:hAnsi="宋体"/>
          <w:color w:val="000000"/>
          <w:sz w:val="21"/>
          <w:szCs w:val="21"/>
          <w:highlight w:val="none"/>
        </w:rPr>
        <w:t>（</w:t>
      </w:r>
      <w:r>
        <w:rPr>
          <w:color w:val="000000"/>
          <w:sz w:val="21"/>
          <w:szCs w:val="21"/>
          <w:highlight w:val="none"/>
        </w:rPr>
        <w:t>1</w:t>
      </w:r>
      <w:r>
        <w:rPr>
          <w:rFonts w:hAnsi="宋体"/>
          <w:color w:val="000000"/>
          <w:sz w:val="21"/>
          <w:szCs w:val="21"/>
          <w:highlight w:val="none"/>
        </w:rPr>
        <w:t>）本项目工程款按月支付。</w:t>
      </w:r>
    </w:p>
    <w:p w14:paraId="1BB7AF56">
      <w:pPr>
        <w:pageBreakBefore w:val="0"/>
        <w:widowControl w:val="0"/>
        <w:kinsoku/>
        <w:wordWrap/>
        <w:overflowPunct/>
        <w:topLinePunct w:val="0"/>
        <w:autoSpaceDE/>
        <w:autoSpaceDN/>
        <w:bidi w:val="0"/>
        <w:adjustRightInd/>
        <w:snapToGrid/>
        <w:spacing w:line="312" w:lineRule="auto"/>
        <w:ind w:firstLine="420" w:firstLineChars="200"/>
        <w:textAlignment w:val="auto"/>
        <w:rPr>
          <w:rFonts w:hAnsi="宋体"/>
          <w:color w:val="000000"/>
          <w:sz w:val="21"/>
          <w:szCs w:val="21"/>
          <w:highlight w:val="none"/>
        </w:rPr>
      </w:pPr>
      <w:r>
        <w:rPr>
          <w:rFonts w:hAnsi="宋体"/>
          <w:color w:val="000000"/>
          <w:sz w:val="21"/>
          <w:szCs w:val="21"/>
          <w:highlight w:val="none"/>
        </w:rPr>
        <w:t>（</w:t>
      </w:r>
      <w:r>
        <w:rPr>
          <w:color w:val="000000"/>
          <w:sz w:val="21"/>
          <w:szCs w:val="21"/>
          <w:highlight w:val="none"/>
        </w:rPr>
        <w:t>2</w:t>
      </w:r>
      <w:r>
        <w:rPr>
          <w:rFonts w:hAnsi="宋体"/>
          <w:color w:val="000000"/>
          <w:sz w:val="21"/>
          <w:szCs w:val="21"/>
          <w:highlight w:val="none"/>
        </w:rPr>
        <w:t>）每月经监理工程师及发包方代表对所报已完工程的工作量核定后，将质量合格工程的进度款在</w:t>
      </w:r>
      <w:r>
        <w:rPr>
          <w:color w:val="000000"/>
          <w:sz w:val="21"/>
          <w:szCs w:val="21"/>
          <w:highlight w:val="none"/>
        </w:rPr>
        <w:t>15</w:t>
      </w:r>
      <w:r>
        <w:rPr>
          <w:rFonts w:hAnsi="宋体"/>
          <w:color w:val="000000"/>
          <w:sz w:val="21"/>
          <w:szCs w:val="21"/>
          <w:highlight w:val="none"/>
        </w:rPr>
        <w:t>天内支付。</w:t>
      </w:r>
    </w:p>
    <w:p w14:paraId="617A5713">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17.3.3进度付款证书和支付时间</w:t>
      </w:r>
    </w:p>
    <w:p w14:paraId="116026D4">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color w:val="000000"/>
          <w:sz w:val="21"/>
          <w:szCs w:val="21"/>
          <w:highlight w:val="none"/>
          <w:lang w:eastAsia="zh-CN"/>
        </w:rPr>
      </w:pPr>
      <w:r>
        <w:rPr>
          <w:rFonts w:hint="eastAsia" w:ascii="宋体" w:hAnsi="宋体" w:eastAsia="宋体" w:cs="宋体"/>
          <w:color w:val="000000"/>
          <w:sz w:val="21"/>
          <w:szCs w:val="21"/>
          <w:highlight w:val="none"/>
          <w:u w:val="none"/>
        </w:rPr>
        <w:t>监理人在收到工程计量证书和进度支付报表后，经审核确认所报内容及工程量属实，向发包人提出认为应当到期支付给承包人的金额。发包人收到监理人签证的工程计量证书和进度支付报表后，28天内审批并支付给承包人。若发包人资金暂时不到位，可推迟付款，承包人应继续施工，不得拖延工期</w:t>
      </w:r>
      <w:r>
        <w:rPr>
          <w:rFonts w:hint="eastAsia" w:ascii="宋体" w:hAnsi="宋体" w:eastAsia="宋体" w:cs="宋体"/>
          <w:color w:val="000000"/>
          <w:sz w:val="21"/>
          <w:szCs w:val="21"/>
          <w:highlight w:val="none"/>
          <w:u w:val="none"/>
          <w:lang w:eastAsia="zh-CN"/>
        </w:rPr>
        <w:t>。</w:t>
      </w:r>
    </w:p>
    <w:p w14:paraId="49334784">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17.3.4工程进度付款</w:t>
      </w:r>
    </w:p>
    <w:p w14:paraId="31DB184D">
      <w:pPr>
        <w:pageBreakBefore w:val="0"/>
        <w:widowControl w:val="0"/>
        <w:kinsoku/>
        <w:wordWrap/>
        <w:overflowPunct/>
        <w:topLinePunct w:val="0"/>
        <w:bidi w:val="0"/>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u w:val="single"/>
          <w:lang w:val="en-US" w:eastAsia="zh-CN"/>
        </w:rPr>
        <w:t>根据工程进度，支付至合同价款的</w:t>
      </w:r>
      <w:r>
        <w:rPr>
          <w:rFonts w:hint="eastAsia" w:ascii="宋体" w:hAnsi="宋体" w:cs="宋体"/>
          <w:color w:val="auto"/>
          <w:sz w:val="21"/>
          <w:szCs w:val="21"/>
          <w:highlight w:val="none"/>
          <w:u w:val="single"/>
          <w:lang w:val="en-US" w:eastAsia="zh-CN"/>
        </w:rPr>
        <w:t>8</w:t>
      </w:r>
      <w:r>
        <w:rPr>
          <w:rFonts w:hint="eastAsia" w:ascii="宋体" w:hAnsi="宋体" w:eastAsia="宋体" w:cs="宋体"/>
          <w:color w:val="auto"/>
          <w:sz w:val="21"/>
          <w:szCs w:val="21"/>
          <w:highlight w:val="none"/>
          <w:u w:val="single"/>
          <w:lang w:val="en-US" w:eastAsia="zh-CN"/>
        </w:rPr>
        <w:t>0%时暂停支付，项目完工后，承包人提供结算资料，由发包人向审计部门报送竣工决算资料进行决算审计，审计结束后，发包人按照决算审定价，支付剩余款项</w:t>
      </w:r>
      <w:r>
        <w:rPr>
          <w:rFonts w:hint="eastAsia" w:ascii="宋体" w:hAnsi="宋体" w:eastAsia="宋体" w:cs="宋体"/>
          <w:color w:val="auto"/>
          <w:sz w:val="21"/>
          <w:szCs w:val="21"/>
          <w:highlight w:val="none"/>
          <w:lang w:val="en-US" w:eastAsia="zh-CN"/>
        </w:rPr>
        <w:t>；</w:t>
      </w:r>
    </w:p>
    <w:p w14:paraId="3A487465">
      <w:pPr>
        <w:spacing w:line="360" w:lineRule="auto"/>
        <w:ind w:firstLine="420" w:firstLineChars="200"/>
        <w:rPr>
          <w:rFonts w:hint="eastAsia" w:ascii="Times New Roman" w:hAnsi="宋体" w:eastAsia="宋体" w:cs="Times New Roman"/>
          <w:color w:val="000000"/>
          <w:szCs w:val="21"/>
          <w:highlight w:val="none"/>
          <w:lang w:val="en-US" w:eastAsia="zh-CN"/>
        </w:rPr>
      </w:pPr>
      <w:r>
        <w:rPr>
          <w:rFonts w:hint="eastAsia" w:ascii="Times New Roman" w:hAnsi="宋体" w:eastAsia="宋体" w:cs="Times New Roman"/>
          <w:color w:val="000000"/>
          <w:szCs w:val="21"/>
          <w:highlight w:val="none"/>
          <w:lang w:val="en-US" w:eastAsia="zh-CN"/>
        </w:rPr>
        <w:t>（2）</w:t>
      </w:r>
      <w:r>
        <w:rPr>
          <w:rFonts w:hint="eastAsia" w:ascii="Times New Roman" w:hAnsi="宋体" w:eastAsia="宋体" w:cs="Times New Roman"/>
          <w:color w:val="000000"/>
          <w:szCs w:val="21"/>
          <w:highlight w:val="none"/>
          <w:u w:val="single"/>
          <w:lang w:val="en-US" w:eastAsia="zh-CN"/>
        </w:rPr>
        <w:t>每期付款时供应商提供等额发票申请款项</w:t>
      </w:r>
      <w:r>
        <w:rPr>
          <w:rFonts w:hint="eastAsia" w:ascii="Times New Roman" w:hAnsi="宋体" w:eastAsia="宋体" w:cs="Times New Roman"/>
          <w:color w:val="000000"/>
          <w:szCs w:val="21"/>
          <w:highlight w:val="none"/>
          <w:lang w:val="en-US" w:eastAsia="zh-CN"/>
        </w:rPr>
        <w:t>；</w:t>
      </w:r>
    </w:p>
    <w:p w14:paraId="3A3A1598">
      <w:pPr>
        <w:spacing w:line="360" w:lineRule="auto"/>
        <w:ind w:firstLine="420" w:firstLineChars="200"/>
        <w:rPr>
          <w:rFonts w:hint="eastAsia" w:ascii="Times New Roman" w:hAnsi="宋体" w:eastAsia="宋体" w:cs="Times New Roman"/>
          <w:color w:val="000000"/>
          <w:szCs w:val="21"/>
          <w:highlight w:val="none"/>
          <w:lang w:eastAsia="zh-CN"/>
        </w:rPr>
      </w:pPr>
      <w:r>
        <w:rPr>
          <w:rFonts w:hint="eastAsia" w:ascii="Times New Roman" w:hAnsi="宋体" w:eastAsia="宋体" w:cs="Times New Roman"/>
          <w:color w:val="000000"/>
          <w:szCs w:val="21"/>
          <w:highlight w:val="none"/>
          <w:lang w:eastAsia="zh-CN"/>
        </w:rPr>
        <w:t>（</w:t>
      </w:r>
      <w:r>
        <w:rPr>
          <w:rFonts w:hint="eastAsia" w:ascii="Times New Roman" w:hAnsi="宋体" w:eastAsia="宋体" w:cs="Times New Roman"/>
          <w:color w:val="000000"/>
          <w:szCs w:val="21"/>
          <w:highlight w:val="none"/>
          <w:lang w:val="en-US" w:eastAsia="zh-CN"/>
        </w:rPr>
        <w:t>3</w:t>
      </w:r>
      <w:r>
        <w:rPr>
          <w:rFonts w:hint="eastAsia" w:ascii="Times New Roman" w:hAnsi="宋体" w:eastAsia="宋体" w:cs="Times New Roman"/>
          <w:color w:val="000000"/>
          <w:szCs w:val="21"/>
          <w:highlight w:val="none"/>
          <w:lang w:eastAsia="zh-CN"/>
        </w:rPr>
        <w:t>）</w:t>
      </w:r>
      <w:r>
        <w:rPr>
          <w:rFonts w:hint="eastAsia" w:ascii="Times New Roman" w:hAnsi="宋体" w:eastAsia="宋体" w:cs="Times New Roman"/>
          <w:color w:val="000000"/>
          <w:szCs w:val="21"/>
          <w:highlight w:val="none"/>
          <w:u w:val="single"/>
        </w:rPr>
        <w:t>涉及农民工工资的每次款项支付前，承包人提供由项目总监审签、与施工组织计划相对应员工（特别是农民工）的花名册、劳动合同、考勤表、工资表及签付凭证等</w:t>
      </w:r>
      <w:r>
        <w:rPr>
          <w:rFonts w:hint="eastAsia" w:ascii="Times New Roman" w:hAnsi="宋体" w:eastAsia="宋体" w:cs="Times New Roman"/>
          <w:color w:val="000000"/>
          <w:szCs w:val="21"/>
          <w:highlight w:val="none"/>
          <w:lang w:eastAsia="zh-CN"/>
        </w:rPr>
        <w:t>；</w:t>
      </w:r>
    </w:p>
    <w:p w14:paraId="1AC2D0A1">
      <w:pPr>
        <w:spacing w:line="360" w:lineRule="auto"/>
        <w:ind w:firstLine="420" w:firstLineChars="200"/>
        <w:rPr>
          <w:rFonts w:hint="eastAsia" w:ascii="Times New Roman" w:hAnsi="宋体" w:eastAsia="宋体" w:cs="Times New Roman"/>
          <w:color w:val="000000"/>
          <w:szCs w:val="21"/>
          <w:highlight w:val="none"/>
          <w:lang w:val="en-US" w:eastAsia="zh-CN"/>
        </w:rPr>
      </w:pPr>
      <w:r>
        <w:rPr>
          <w:rFonts w:hint="eastAsia" w:ascii="Times New Roman" w:hAnsi="宋体" w:eastAsia="宋体" w:cs="Times New Roman"/>
          <w:color w:val="000000"/>
          <w:szCs w:val="21"/>
          <w:highlight w:val="none"/>
          <w:lang w:val="en-US" w:eastAsia="zh-CN"/>
        </w:rPr>
        <w:t>（4）</w:t>
      </w:r>
      <w:r>
        <w:rPr>
          <w:rFonts w:hint="eastAsia" w:ascii="Times New Roman" w:hAnsi="宋体" w:eastAsia="宋体" w:cs="Times New Roman"/>
          <w:color w:val="000000"/>
          <w:szCs w:val="21"/>
          <w:highlight w:val="none"/>
          <w:u w:val="single"/>
          <w:lang w:val="en-US" w:eastAsia="zh-CN"/>
        </w:rPr>
        <w:t>本工程属政府下达资金项目，在进度付款中涉及资金转拨环节较多，承包人应理解与支持政府资金延迟拨付的可能性，并有自行应对措施，不能因未按期支付，因此延误工期成为向发包人索赔的理由</w:t>
      </w:r>
      <w:r>
        <w:rPr>
          <w:rFonts w:hint="eastAsia" w:ascii="Times New Roman" w:hAnsi="宋体" w:eastAsia="宋体" w:cs="Times New Roman"/>
          <w:color w:val="000000"/>
          <w:szCs w:val="21"/>
          <w:highlight w:val="none"/>
          <w:lang w:val="en-US" w:eastAsia="zh-CN"/>
        </w:rPr>
        <w:t>；</w:t>
      </w:r>
    </w:p>
    <w:p w14:paraId="146FB2BB">
      <w:pPr>
        <w:spacing w:line="360" w:lineRule="auto"/>
        <w:ind w:firstLine="420" w:firstLineChars="200"/>
        <w:rPr>
          <w:rFonts w:hint="default" w:ascii="Times New Roman" w:hAnsi="宋体" w:eastAsia="宋体" w:cs="Times New Roman"/>
          <w:color w:val="000000"/>
          <w:kern w:val="2"/>
          <w:sz w:val="21"/>
          <w:szCs w:val="21"/>
          <w:highlight w:val="none"/>
          <w:u w:val="none"/>
          <w:lang w:val="en-US" w:eastAsia="zh-CN" w:bidi="ar-SA"/>
        </w:rPr>
      </w:pPr>
      <w:r>
        <w:rPr>
          <w:rFonts w:hint="eastAsia" w:ascii="Times New Roman" w:cs="Times New Roman"/>
          <w:color w:val="000000"/>
          <w:szCs w:val="21"/>
          <w:highlight w:val="none"/>
          <w:lang w:val="en-US" w:eastAsia="zh-CN"/>
        </w:rPr>
        <w:t>（5）</w:t>
      </w:r>
      <w:r>
        <w:rPr>
          <w:rFonts w:hint="default" w:ascii="Times New Roman" w:hAnsi="宋体" w:eastAsia="宋体" w:cs="Times New Roman"/>
          <w:color w:val="000000"/>
          <w:kern w:val="2"/>
          <w:sz w:val="21"/>
          <w:szCs w:val="21"/>
          <w:highlight w:val="none"/>
          <w:u w:val="single"/>
          <w:lang w:val="en-US" w:eastAsia="zh-CN" w:bidi="ar-SA"/>
        </w:rPr>
        <w:t>工程审计费用补充说明：“为减少结算审核工作量，提高结算效率，承包人承诺将严格按实际完成工作量提交结算”。当最终审定结算金额低于承包人报送结算金额时，若超报部分占最终审定结算金额的比例在5%以内（含5%），审计费用全部由发包人承担；若超报部分占最终审定结算金额的比例在5%以上，则超出部分的审核成果费用由承包人承担</w:t>
      </w:r>
      <w:r>
        <w:rPr>
          <w:rFonts w:hint="default" w:ascii="Times New Roman" w:hAnsi="宋体" w:eastAsia="宋体" w:cs="Times New Roman"/>
          <w:color w:val="000000"/>
          <w:kern w:val="2"/>
          <w:sz w:val="21"/>
          <w:szCs w:val="21"/>
          <w:highlight w:val="none"/>
          <w:u w:val="none"/>
          <w:lang w:val="en-US" w:eastAsia="zh-CN" w:bidi="ar-SA"/>
        </w:rPr>
        <w:t>。</w:t>
      </w:r>
    </w:p>
    <w:p w14:paraId="3687A4B9">
      <w:pPr>
        <w:pageBreakBefore w:val="0"/>
        <w:widowControl w:val="0"/>
        <w:kinsoku/>
        <w:wordWrap/>
        <w:overflowPunct/>
        <w:topLinePunct w:val="0"/>
        <w:autoSpaceDE/>
        <w:autoSpaceDN/>
        <w:bidi w:val="0"/>
        <w:adjustRightInd/>
        <w:snapToGrid/>
        <w:spacing w:line="312" w:lineRule="auto"/>
        <w:textAlignment w:val="auto"/>
        <w:rPr>
          <w:rFonts w:hint="eastAsia" w:hAnsi="宋体"/>
          <w:color w:val="000000"/>
          <w:sz w:val="21"/>
          <w:szCs w:val="21"/>
          <w:highlight w:val="none"/>
        </w:rPr>
      </w:pPr>
      <w:r>
        <w:rPr>
          <w:rFonts w:hint="eastAsia" w:hAnsi="宋体"/>
          <w:color w:val="000000"/>
          <w:sz w:val="21"/>
          <w:szCs w:val="21"/>
          <w:highlight w:val="none"/>
        </w:rPr>
        <w:t>17.3.5农民工工资</w:t>
      </w:r>
    </w:p>
    <w:p w14:paraId="32DDAF37">
      <w:pPr>
        <w:pageBreakBefore w:val="0"/>
        <w:widowControl w:val="0"/>
        <w:kinsoku/>
        <w:wordWrap/>
        <w:overflowPunct/>
        <w:topLinePunct w:val="0"/>
        <w:autoSpaceDE/>
        <w:autoSpaceDN/>
        <w:bidi w:val="0"/>
        <w:adjustRightInd/>
        <w:snapToGrid/>
        <w:spacing w:line="312" w:lineRule="auto"/>
        <w:ind w:firstLine="435"/>
        <w:textAlignment w:val="auto"/>
        <w:rPr>
          <w:rFonts w:hint="eastAsia" w:hAnsi="宋体" w:eastAsia="宋体"/>
          <w:color w:val="000000"/>
          <w:sz w:val="21"/>
          <w:szCs w:val="21"/>
          <w:highlight w:val="none"/>
          <w:lang w:eastAsia="zh-CN"/>
        </w:rPr>
      </w:pPr>
      <w:r>
        <w:rPr>
          <w:rFonts w:hint="eastAsia" w:hAnsi="宋体"/>
          <w:color w:val="000000"/>
          <w:sz w:val="21"/>
          <w:szCs w:val="21"/>
          <w:highlight w:val="none"/>
        </w:rPr>
        <w:t>为了规范农民工工资支付行为，保障农民工按时足额获得工资，</w:t>
      </w:r>
      <w:r>
        <w:rPr>
          <w:rFonts w:hint="eastAsia" w:hAnsi="宋体"/>
          <w:color w:val="000000"/>
          <w:sz w:val="21"/>
          <w:szCs w:val="21"/>
          <w:highlight w:val="none"/>
          <w:lang w:val="en-US" w:eastAsia="zh-CN"/>
        </w:rPr>
        <w:t>承包人应按照</w:t>
      </w:r>
      <w:r>
        <w:rPr>
          <w:rFonts w:hint="eastAsia" w:hAnsi="宋体"/>
          <w:color w:val="000000"/>
          <w:sz w:val="21"/>
          <w:szCs w:val="21"/>
          <w:highlight w:val="none"/>
        </w:rPr>
        <w:t>《中华人民共和国劳动法》、中华人民共和国国务院《保障农民工工资支付条例》（中华人民共和国国务院令第724号）的规定、《陕西省农民工工资支付保障》、《陕西省建筑施工企业农民工工资支付办法》的通知等相关规定保障农民工工资按月足额发放到位</w:t>
      </w:r>
      <w:r>
        <w:rPr>
          <w:rFonts w:hint="eastAsia" w:hAnsi="宋体"/>
          <w:color w:val="000000"/>
          <w:sz w:val="21"/>
          <w:szCs w:val="21"/>
          <w:highlight w:val="none"/>
          <w:lang w:eastAsia="zh-CN"/>
        </w:rPr>
        <w:t>。</w:t>
      </w:r>
    </w:p>
    <w:p w14:paraId="42F8ABBE">
      <w:pPr>
        <w:pStyle w:val="6"/>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17.5 竣工（完工）结算</w:t>
      </w:r>
    </w:p>
    <w:p w14:paraId="3B744276">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sz w:val="21"/>
          <w:szCs w:val="21"/>
          <w:highlight w:val="none"/>
        </w:rPr>
        <w:t xml:space="preserve">17.5.1 </w:t>
      </w:r>
      <w:r>
        <w:rPr>
          <w:rFonts w:hAnsi="宋体"/>
          <w:sz w:val="21"/>
          <w:szCs w:val="21"/>
          <w:highlight w:val="none"/>
        </w:rPr>
        <w:t>竣工（完工）付款申请单</w:t>
      </w:r>
    </w:p>
    <w:p w14:paraId="19962F76">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rFonts w:hAnsi="宋体"/>
          <w:sz w:val="21"/>
          <w:szCs w:val="21"/>
          <w:highlight w:val="none"/>
        </w:rPr>
        <w:t>（１）承包人应提交完工付款申请单一式</w:t>
      </w:r>
      <w:r>
        <w:rPr>
          <w:rFonts w:hint="eastAsia"/>
          <w:sz w:val="21"/>
          <w:szCs w:val="21"/>
          <w:highlight w:val="none"/>
          <w:u w:val="single"/>
          <w:lang w:val="en-US" w:eastAsia="zh-CN"/>
        </w:rPr>
        <w:t>4</w:t>
      </w:r>
      <w:r>
        <w:rPr>
          <w:rFonts w:hAnsi="宋体"/>
          <w:sz w:val="21"/>
          <w:szCs w:val="21"/>
          <w:highlight w:val="none"/>
        </w:rPr>
        <w:t>份。</w:t>
      </w:r>
    </w:p>
    <w:p w14:paraId="62C9693C">
      <w:pPr>
        <w:pStyle w:val="6"/>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17.6 最终结清</w:t>
      </w:r>
    </w:p>
    <w:p w14:paraId="30E007D8">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sz w:val="21"/>
          <w:szCs w:val="21"/>
          <w:highlight w:val="none"/>
        </w:rPr>
        <w:t xml:space="preserve">17.6.1 </w:t>
      </w:r>
      <w:r>
        <w:rPr>
          <w:rFonts w:hAnsi="宋体"/>
          <w:sz w:val="21"/>
          <w:szCs w:val="21"/>
          <w:highlight w:val="none"/>
        </w:rPr>
        <w:t>最终结清申请单</w:t>
      </w:r>
    </w:p>
    <w:p w14:paraId="4AB85204">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rFonts w:hAnsi="宋体"/>
          <w:sz w:val="21"/>
          <w:szCs w:val="21"/>
          <w:highlight w:val="none"/>
        </w:rPr>
        <w:t>（１）承包人应提交最终结清申请单一式</w:t>
      </w:r>
      <w:r>
        <w:rPr>
          <w:rFonts w:hint="eastAsia"/>
          <w:sz w:val="21"/>
          <w:szCs w:val="21"/>
          <w:highlight w:val="none"/>
          <w:u w:val="single"/>
          <w:lang w:val="en-US" w:eastAsia="zh-CN"/>
        </w:rPr>
        <w:t>4</w:t>
      </w:r>
      <w:r>
        <w:rPr>
          <w:rFonts w:hAnsi="宋体"/>
          <w:sz w:val="21"/>
          <w:szCs w:val="21"/>
          <w:highlight w:val="none"/>
        </w:rPr>
        <w:t>份。</w:t>
      </w:r>
    </w:p>
    <w:p w14:paraId="0E2CCC58">
      <w:pPr>
        <w:pStyle w:val="6"/>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17.7 竣工财务决算</w:t>
      </w:r>
    </w:p>
    <w:p w14:paraId="3AFC73AA">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rFonts w:hAnsi="宋体"/>
          <w:sz w:val="21"/>
          <w:szCs w:val="21"/>
          <w:highlight w:val="none"/>
        </w:rPr>
        <w:t>承包人应为竣工财务决算编制提供的资料：</w:t>
      </w:r>
      <w:r>
        <w:rPr>
          <w:rFonts w:hAnsi="宋体"/>
          <w:sz w:val="21"/>
          <w:szCs w:val="21"/>
          <w:highlight w:val="none"/>
          <w:u w:val="single"/>
        </w:rPr>
        <w:t>提供竣工财务决算编制所需的相关材料</w:t>
      </w:r>
      <w:r>
        <w:rPr>
          <w:rFonts w:hint="eastAsia"/>
          <w:sz w:val="21"/>
          <w:szCs w:val="21"/>
          <w:highlight w:val="none"/>
          <w:u w:val="single"/>
        </w:rPr>
        <w:t xml:space="preserve"> </w:t>
      </w:r>
      <w:r>
        <w:rPr>
          <w:rFonts w:hAnsi="宋体"/>
          <w:sz w:val="21"/>
          <w:szCs w:val="21"/>
          <w:highlight w:val="none"/>
        </w:rPr>
        <w:t>。</w:t>
      </w:r>
    </w:p>
    <w:p w14:paraId="69C5C103">
      <w:pPr>
        <w:pStyle w:val="6"/>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bookmarkStart w:id="39" w:name="_Toc265408531"/>
      <w:r>
        <w:rPr>
          <w:rFonts w:ascii="宋体" w:hAnsi="Times New Roman" w:eastAsia="宋体" w:cs="Times New Roman"/>
          <w:b/>
          <w:bCs/>
          <w:sz w:val="21"/>
          <w:szCs w:val="21"/>
          <w:highlight w:val="none"/>
        </w:rPr>
        <w:t>18 竣工验收（验收）</w:t>
      </w:r>
      <w:bookmarkEnd w:id="39"/>
    </w:p>
    <w:p w14:paraId="533FDD66">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18.1验收工作分类：</w:t>
      </w:r>
    </w:p>
    <w:p w14:paraId="1E7A3178">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本工程法人验收包括：</w:t>
      </w:r>
      <w:r>
        <w:rPr>
          <w:rFonts w:hint="eastAsia" w:ascii="宋体" w:hAnsi="宋体" w:eastAsia="宋体" w:cs="宋体"/>
          <w:color w:val="auto"/>
          <w:sz w:val="21"/>
          <w:szCs w:val="21"/>
          <w:highlight w:val="none"/>
          <w:u w:val="single"/>
        </w:rPr>
        <w:t>分部工程验收、单位工程验收、合同</w:t>
      </w:r>
      <w:r>
        <w:rPr>
          <w:rFonts w:hint="eastAsia" w:ascii="宋体" w:hAnsi="宋体" w:eastAsia="宋体" w:cs="宋体"/>
          <w:color w:val="auto"/>
          <w:sz w:val="21"/>
          <w:szCs w:val="21"/>
          <w:highlight w:val="none"/>
          <w:u w:val="single"/>
          <w:lang w:val="en-US" w:eastAsia="zh-CN"/>
        </w:rPr>
        <w:t>工程</w:t>
      </w:r>
      <w:r>
        <w:rPr>
          <w:rFonts w:hint="eastAsia" w:ascii="宋体" w:hAnsi="宋体" w:eastAsia="宋体" w:cs="宋体"/>
          <w:color w:val="auto"/>
          <w:sz w:val="21"/>
          <w:szCs w:val="21"/>
          <w:highlight w:val="none"/>
          <w:u w:val="single"/>
        </w:rPr>
        <w:t>验收</w:t>
      </w:r>
      <w:r>
        <w:rPr>
          <w:rFonts w:hint="eastAsia" w:ascii="宋体" w:hAnsi="宋体" w:eastAsia="宋体" w:cs="宋体"/>
          <w:color w:val="auto"/>
          <w:sz w:val="21"/>
          <w:szCs w:val="21"/>
          <w:highlight w:val="none"/>
        </w:rPr>
        <w:t>；政府验收包括：</w:t>
      </w:r>
      <w:r>
        <w:rPr>
          <w:rFonts w:hint="eastAsia" w:ascii="宋体" w:hAnsi="宋体" w:eastAsia="宋体" w:cs="宋体"/>
          <w:color w:val="auto"/>
          <w:sz w:val="21"/>
          <w:szCs w:val="21"/>
          <w:highlight w:val="none"/>
          <w:u w:val="single"/>
        </w:rPr>
        <w:t>竣工验收</w:t>
      </w:r>
      <w:r>
        <w:rPr>
          <w:rFonts w:hint="eastAsia" w:ascii="宋体" w:hAnsi="宋体" w:eastAsia="宋体" w:cs="宋体"/>
          <w:color w:val="auto"/>
          <w:sz w:val="21"/>
          <w:szCs w:val="21"/>
          <w:highlight w:val="none"/>
        </w:rPr>
        <w:t>。验收条件为：</w:t>
      </w:r>
      <w:r>
        <w:rPr>
          <w:rFonts w:hint="eastAsia" w:ascii="宋体" w:hAnsi="宋体" w:eastAsia="宋体" w:cs="宋体"/>
          <w:color w:val="auto"/>
          <w:sz w:val="21"/>
          <w:szCs w:val="21"/>
          <w:highlight w:val="none"/>
          <w:u w:val="single"/>
        </w:rPr>
        <w:t>（合同签订时另行约定）。</w:t>
      </w:r>
      <w:r>
        <w:rPr>
          <w:rFonts w:hint="eastAsia" w:ascii="宋体" w:hAnsi="宋体" w:eastAsia="宋体" w:cs="宋体"/>
          <w:color w:val="auto"/>
          <w:sz w:val="21"/>
          <w:szCs w:val="21"/>
          <w:highlight w:val="none"/>
        </w:rPr>
        <w:t>验收程序为：</w:t>
      </w:r>
      <w:r>
        <w:rPr>
          <w:rFonts w:hint="eastAsia" w:ascii="宋体" w:hAnsi="宋体" w:eastAsia="宋体" w:cs="宋体"/>
          <w:color w:val="auto"/>
          <w:sz w:val="21"/>
          <w:szCs w:val="21"/>
          <w:highlight w:val="none"/>
          <w:u w:val="single"/>
        </w:rPr>
        <w:t>（合同签订时另行约定）</w:t>
      </w:r>
      <w:r>
        <w:rPr>
          <w:rFonts w:hint="eastAsia" w:ascii="宋体" w:hAnsi="宋体" w:eastAsia="宋体" w:cs="宋体"/>
          <w:color w:val="auto"/>
          <w:sz w:val="21"/>
          <w:szCs w:val="21"/>
          <w:highlight w:val="none"/>
        </w:rPr>
        <w:t>。</w:t>
      </w:r>
    </w:p>
    <w:p w14:paraId="47BBAD0D">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18.2分部工程验收</w:t>
      </w:r>
    </w:p>
    <w:p w14:paraId="6A6FBE56">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18.2.1 本工程由发包人主持所有的分部工程验收。</w:t>
      </w:r>
    </w:p>
    <w:p w14:paraId="460AE13B">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18.3单位工程验收</w:t>
      </w:r>
    </w:p>
    <w:p w14:paraId="2AEB213F">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18.3.3本工程由发包人主持所有的单位工程验收。</w:t>
      </w:r>
    </w:p>
    <w:p w14:paraId="464D972F">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18.3.4 提前投入使用的单位工程包括：</w:t>
      </w:r>
      <w:r>
        <w:rPr>
          <w:rFonts w:hint="eastAsia" w:ascii="宋体" w:hAnsi="宋体" w:eastAsia="宋体" w:cs="宋体"/>
          <w:sz w:val="21"/>
          <w:szCs w:val="21"/>
          <w:highlight w:val="none"/>
          <w:u w:val="single"/>
        </w:rPr>
        <w:t>无</w:t>
      </w:r>
      <w:r>
        <w:rPr>
          <w:rFonts w:hint="eastAsia" w:ascii="宋体" w:hAnsi="宋体" w:eastAsia="宋体" w:cs="宋体"/>
          <w:sz w:val="21"/>
          <w:szCs w:val="21"/>
          <w:highlight w:val="none"/>
        </w:rPr>
        <w:t>。</w:t>
      </w:r>
    </w:p>
    <w:p w14:paraId="72D12F53">
      <w:pPr>
        <w:spacing w:line="360" w:lineRule="auto"/>
        <w:ind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18.5阶段验收</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u w:val="single"/>
        </w:rPr>
        <w:t>无</w:t>
      </w:r>
      <w:r>
        <w:rPr>
          <w:rFonts w:hint="eastAsia" w:ascii="宋体" w:hAnsi="宋体" w:eastAsia="宋体" w:cs="宋体"/>
          <w:sz w:val="21"/>
          <w:szCs w:val="21"/>
          <w:highlight w:val="none"/>
          <w:u w:val="single"/>
          <w:lang w:eastAsia="zh-CN"/>
        </w:rPr>
        <w:t>。</w:t>
      </w:r>
    </w:p>
    <w:p w14:paraId="00A7FFCB">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18.6专项验收</w:t>
      </w:r>
    </w:p>
    <w:p w14:paraId="783CE1E4">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18.6.2 本合同工程专项验收类别包括：</w:t>
      </w:r>
      <w:r>
        <w:rPr>
          <w:rFonts w:hint="eastAsia" w:ascii="宋体" w:hAnsi="宋体" w:eastAsia="宋体" w:cs="宋体"/>
          <w:sz w:val="21"/>
          <w:szCs w:val="21"/>
          <w:highlight w:val="none"/>
          <w:u w:val="single"/>
        </w:rPr>
        <w:t>档案验收。</w:t>
      </w:r>
    </w:p>
    <w:p w14:paraId="3F891301">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18.7 竣工验收</w:t>
      </w:r>
    </w:p>
    <w:p w14:paraId="06472084">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18.7.3 本工程</w:t>
      </w:r>
      <w:r>
        <w:rPr>
          <w:rFonts w:hint="eastAsia" w:ascii="宋体" w:hAnsi="宋体" w:eastAsia="宋体" w:cs="宋体"/>
          <w:sz w:val="21"/>
          <w:szCs w:val="21"/>
          <w:highlight w:val="none"/>
          <w:u w:val="single"/>
        </w:rPr>
        <w:t xml:space="preserve">（合同签订时另行约定） </w:t>
      </w:r>
      <w:r>
        <w:rPr>
          <w:rFonts w:hint="eastAsia" w:ascii="宋体" w:hAnsi="宋体" w:eastAsia="宋体" w:cs="宋体"/>
          <w:sz w:val="21"/>
          <w:szCs w:val="21"/>
          <w:highlight w:val="none"/>
        </w:rPr>
        <w:t>（需要/不需要）竣工验收技术鉴定（蓄水安全鉴定）。</w:t>
      </w:r>
    </w:p>
    <w:p w14:paraId="5107C3F4">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18.9 试运行</w:t>
      </w:r>
    </w:p>
    <w:p w14:paraId="67FDEF13">
      <w:pPr>
        <w:spacing w:line="360" w:lineRule="auto"/>
        <w:rPr>
          <w:sz w:val="21"/>
          <w:szCs w:val="21"/>
          <w:highlight w:val="none"/>
        </w:rPr>
      </w:pPr>
      <w:r>
        <w:rPr>
          <w:rFonts w:hint="eastAsia" w:ascii="宋体" w:hAnsi="宋体" w:eastAsia="宋体" w:cs="宋体"/>
          <w:sz w:val="21"/>
          <w:szCs w:val="21"/>
          <w:highlight w:val="none"/>
        </w:rPr>
        <w:t xml:space="preserve">    18.9.1 试运行的组织：</w:t>
      </w:r>
      <w:r>
        <w:rPr>
          <w:rFonts w:hint="eastAsia" w:ascii="宋体" w:hAnsi="宋体" w:eastAsia="宋体" w:cs="宋体"/>
          <w:sz w:val="21"/>
          <w:szCs w:val="21"/>
          <w:highlight w:val="none"/>
          <w:u w:val="single"/>
        </w:rPr>
        <w:t xml:space="preserve">  无  </w:t>
      </w:r>
      <w:r>
        <w:rPr>
          <w:rFonts w:hint="eastAsia" w:ascii="宋体" w:hAnsi="宋体" w:eastAsia="宋体" w:cs="宋体"/>
          <w:sz w:val="21"/>
          <w:szCs w:val="21"/>
          <w:highlight w:val="none"/>
        </w:rPr>
        <w:t>；费用承担：</w:t>
      </w:r>
      <w:r>
        <w:rPr>
          <w:rFonts w:hint="eastAsia" w:ascii="宋体" w:hAnsi="宋体" w:eastAsia="宋体" w:cs="宋体"/>
          <w:sz w:val="21"/>
          <w:szCs w:val="21"/>
          <w:highlight w:val="none"/>
          <w:u w:val="single"/>
        </w:rPr>
        <w:t xml:space="preserve">  无  </w:t>
      </w:r>
      <w:r>
        <w:rPr>
          <w:rFonts w:hint="eastAsia" w:ascii="宋体" w:hAnsi="宋体" w:eastAsia="宋体" w:cs="宋体"/>
          <w:sz w:val="21"/>
          <w:szCs w:val="21"/>
          <w:highlight w:val="none"/>
        </w:rPr>
        <w:t>。</w:t>
      </w:r>
    </w:p>
    <w:p w14:paraId="510E049E">
      <w:pPr>
        <w:pStyle w:val="6"/>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bookmarkStart w:id="40" w:name="_Toc265408532"/>
      <w:r>
        <w:rPr>
          <w:rFonts w:ascii="宋体" w:hAnsi="Times New Roman" w:eastAsia="宋体" w:cs="Times New Roman"/>
          <w:b/>
          <w:bCs/>
          <w:sz w:val="21"/>
          <w:szCs w:val="21"/>
          <w:highlight w:val="none"/>
        </w:rPr>
        <w:t>19 缺陷责任与保修责任</w:t>
      </w:r>
      <w:bookmarkEnd w:id="40"/>
    </w:p>
    <w:p w14:paraId="52CC8EBC">
      <w:pPr>
        <w:pStyle w:val="6"/>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19.1 缺陷责任期（工程质量保修期）的起算时间</w:t>
      </w:r>
    </w:p>
    <w:p w14:paraId="0348244D">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rFonts w:hAnsi="宋体"/>
          <w:sz w:val="21"/>
          <w:szCs w:val="21"/>
          <w:highlight w:val="none"/>
        </w:rPr>
        <w:t>本工程缺陷责任期（工程质量保修期）计算如下：</w:t>
      </w:r>
      <w:r>
        <w:rPr>
          <w:rFonts w:hint="eastAsia" w:ascii="宋体" w:hAnsi="宋体" w:eastAsia="宋体" w:cs="宋体"/>
          <w:color w:val="auto"/>
          <w:sz w:val="21"/>
          <w:szCs w:val="21"/>
          <w:highlight w:val="none"/>
          <w:u w:val="single"/>
          <w:lang w:val="en-US" w:eastAsia="zh-CN"/>
        </w:rPr>
        <w:t>工程质量保修期自工程通过合同工程验收之日算起，保修范围、保修期限按合同约定和法律法规执行</w:t>
      </w:r>
      <w:r>
        <w:rPr>
          <w:rFonts w:hint="eastAsia" w:ascii="宋体" w:hAnsi="宋体" w:eastAsia="宋体" w:cs="宋体"/>
          <w:color w:val="auto"/>
          <w:sz w:val="21"/>
          <w:szCs w:val="21"/>
          <w:highlight w:val="none"/>
          <w:u w:val="none"/>
        </w:rPr>
        <w:t>。</w:t>
      </w:r>
    </w:p>
    <w:p w14:paraId="651B0DFE">
      <w:pPr>
        <w:pStyle w:val="6"/>
        <w:pageBreakBefore w:val="0"/>
        <w:widowControl w:val="0"/>
        <w:kinsoku/>
        <w:wordWrap/>
        <w:overflowPunct/>
        <w:topLinePunct w:val="0"/>
        <w:autoSpaceDE/>
        <w:autoSpaceDN/>
        <w:bidi w:val="0"/>
        <w:adjustRightInd/>
        <w:snapToGrid/>
        <w:spacing w:before="156" w:beforeLines="50" w:after="156" w:afterLines="50" w:line="240" w:lineRule="auto"/>
        <w:jc w:val="both"/>
        <w:textAlignment w:val="auto"/>
        <w:rPr>
          <w:rFonts w:ascii="宋体" w:hAnsi="Times New Roman" w:eastAsia="宋体" w:cs="Times New Roman"/>
          <w:b/>
          <w:bCs/>
          <w:sz w:val="21"/>
          <w:szCs w:val="21"/>
          <w:highlight w:val="none"/>
        </w:rPr>
      </w:pPr>
      <w:bookmarkStart w:id="41" w:name="_Toc265408533"/>
      <w:r>
        <w:rPr>
          <w:rFonts w:ascii="宋体" w:hAnsi="Times New Roman" w:eastAsia="宋体" w:cs="Times New Roman"/>
          <w:b/>
          <w:bCs/>
          <w:sz w:val="21"/>
          <w:szCs w:val="21"/>
          <w:highlight w:val="none"/>
        </w:rPr>
        <w:t>20 保险</w:t>
      </w:r>
      <w:bookmarkEnd w:id="41"/>
    </w:p>
    <w:p w14:paraId="2A78A9DF">
      <w:pPr>
        <w:pStyle w:val="6"/>
        <w:pageBreakBefore w:val="0"/>
        <w:widowControl w:val="0"/>
        <w:kinsoku/>
        <w:wordWrap/>
        <w:overflowPunct/>
        <w:topLinePunct w:val="0"/>
        <w:autoSpaceDE/>
        <w:autoSpaceDN/>
        <w:bidi w:val="0"/>
        <w:adjustRightInd/>
        <w:snapToGrid/>
        <w:spacing w:before="156" w:beforeLines="50" w:after="156" w:afterLines="50" w:line="240"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20.1 工程保险</w:t>
      </w:r>
    </w:p>
    <w:p w14:paraId="164EEE3B">
      <w:pPr>
        <w:spacing w:line="360" w:lineRule="auto"/>
        <w:ind w:firstLine="420" w:firstLineChars="200"/>
        <w:rPr>
          <w:rFonts w:hint="eastAsia" w:ascii="宋体" w:hAnsi="宋体" w:eastAsia="宋体" w:cs="宋体"/>
          <w:color w:val="auto"/>
          <w:kern w:val="0"/>
          <w:sz w:val="21"/>
          <w:szCs w:val="21"/>
          <w:highlight w:val="none"/>
        </w:rPr>
      </w:pPr>
      <w:r>
        <w:rPr>
          <w:rFonts w:hAnsi="宋体"/>
          <w:sz w:val="21"/>
          <w:szCs w:val="21"/>
          <w:highlight w:val="none"/>
        </w:rPr>
        <w:t>建筑工程一切险和（或）安装工程一切险投保人：</w:t>
      </w:r>
      <w:r>
        <w:rPr>
          <w:rFonts w:hint="eastAsia" w:ascii="宋体" w:hAnsi="宋体" w:eastAsia="宋体" w:cs="宋体"/>
          <w:color w:val="auto"/>
          <w:sz w:val="21"/>
          <w:szCs w:val="21"/>
          <w:highlight w:val="none"/>
          <w:u w:val="single"/>
        </w:rPr>
        <w:t>承包人提供相关凭证</w:t>
      </w:r>
      <w:r>
        <w:rPr>
          <w:rFonts w:hint="eastAsia" w:ascii="宋体" w:hAnsi="宋体" w:eastAsia="宋体" w:cs="宋体"/>
          <w:color w:val="auto"/>
          <w:sz w:val="21"/>
          <w:szCs w:val="21"/>
          <w:highlight w:val="none"/>
          <w:u w:val="single"/>
          <w:lang w:eastAsia="zh-CN"/>
        </w:rPr>
        <w:t>，</w:t>
      </w:r>
      <w:r>
        <w:rPr>
          <w:rFonts w:hint="eastAsia" w:ascii="宋体" w:hAnsi="宋体" w:eastAsia="宋体" w:cs="宋体"/>
          <w:color w:val="auto"/>
          <w:sz w:val="21"/>
          <w:szCs w:val="21"/>
          <w:highlight w:val="none"/>
          <w:u w:val="single"/>
          <w:lang w:val="en-US" w:eastAsia="zh-CN"/>
        </w:rPr>
        <w:t>据实结算</w:t>
      </w:r>
      <w:r>
        <w:rPr>
          <w:rFonts w:hint="eastAsia" w:ascii="宋体" w:hAnsi="宋体" w:eastAsia="宋体" w:cs="宋体"/>
          <w:color w:val="auto"/>
          <w:kern w:val="0"/>
          <w:sz w:val="21"/>
          <w:szCs w:val="21"/>
          <w:highlight w:val="none"/>
        </w:rPr>
        <w:t>；</w:t>
      </w:r>
    </w:p>
    <w:p w14:paraId="307B3C69">
      <w:pPr>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投保内容：</w:t>
      </w:r>
      <w:r>
        <w:rPr>
          <w:rFonts w:hint="eastAsia" w:ascii="宋体" w:hAnsi="宋体" w:eastAsia="宋体" w:cs="宋体"/>
          <w:color w:val="auto"/>
          <w:sz w:val="21"/>
          <w:szCs w:val="21"/>
          <w:highlight w:val="none"/>
          <w:u w:val="single"/>
        </w:rPr>
        <w:t>执行通用条款</w:t>
      </w:r>
      <w:r>
        <w:rPr>
          <w:rFonts w:hint="eastAsia" w:ascii="宋体" w:hAnsi="宋体" w:eastAsia="宋体" w:cs="宋体"/>
          <w:color w:val="auto"/>
          <w:kern w:val="0"/>
          <w:sz w:val="21"/>
          <w:szCs w:val="21"/>
          <w:highlight w:val="none"/>
        </w:rPr>
        <w:t>；</w:t>
      </w:r>
    </w:p>
    <w:p w14:paraId="1092263B">
      <w:pPr>
        <w:spacing w:line="360" w:lineRule="auto"/>
        <w:ind w:firstLine="420" w:firstLineChars="200"/>
        <w:rPr>
          <w:sz w:val="21"/>
          <w:szCs w:val="21"/>
          <w:highlight w:val="none"/>
        </w:rPr>
      </w:pPr>
      <w:r>
        <w:rPr>
          <w:rFonts w:hint="eastAsia" w:ascii="宋体" w:hAnsi="宋体" w:eastAsia="宋体" w:cs="宋体"/>
          <w:color w:val="auto"/>
          <w:kern w:val="0"/>
          <w:sz w:val="21"/>
          <w:szCs w:val="21"/>
          <w:highlight w:val="none"/>
        </w:rPr>
        <w:t>保险金额、保险费率和保险期限：</w:t>
      </w:r>
      <w:r>
        <w:rPr>
          <w:rFonts w:hint="eastAsia" w:ascii="宋体" w:hAnsi="宋体" w:eastAsia="宋体" w:cs="宋体"/>
          <w:color w:val="auto"/>
          <w:sz w:val="21"/>
          <w:szCs w:val="21"/>
          <w:highlight w:val="none"/>
          <w:u w:val="single"/>
        </w:rPr>
        <w:t>执行通用条款（</w:t>
      </w:r>
      <w:r>
        <w:rPr>
          <w:rFonts w:hint="eastAsia" w:ascii="宋体" w:hAnsi="宋体" w:eastAsia="宋体" w:cs="宋体"/>
          <w:color w:val="auto"/>
          <w:sz w:val="21"/>
          <w:szCs w:val="21"/>
          <w:highlight w:val="none"/>
          <w:u w:val="single"/>
          <w:lang w:val="en-US" w:eastAsia="zh-CN"/>
        </w:rPr>
        <w:t>按工程量清单建筑工程、机电设备及安装工程、临时工程之和的0.45%计列</w:t>
      </w:r>
      <w:r>
        <w:rPr>
          <w:rFonts w:hint="eastAsia" w:ascii="宋体" w:hAnsi="宋体" w:eastAsia="宋体" w:cs="宋体"/>
          <w:color w:val="auto"/>
          <w:sz w:val="21"/>
          <w:szCs w:val="21"/>
          <w:highlight w:val="none"/>
          <w:u w:val="single"/>
        </w:rPr>
        <w:t>）</w:t>
      </w:r>
      <w:r>
        <w:rPr>
          <w:rFonts w:hint="eastAsia" w:ascii="宋体" w:hAnsi="宋体" w:eastAsia="宋体" w:cs="宋体"/>
          <w:color w:val="auto"/>
          <w:kern w:val="0"/>
          <w:sz w:val="21"/>
          <w:szCs w:val="21"/>
          <w:highlight w:val="none"/>
        </w:rPr>
        <w:t>。</w:t>
      </w:r>
    </w:p>
    <w:p w14:paraId="2190D711">
      <w:pPr>
        <w:pStyle w:val="6"/>
        <w:pageBreakBefore w:val="0"/>
        <w:widowControl w:val="0"/>
        <w:kinsoku/>
        <w:wordWrap/>
        <w:overflowPunct/>
        <w:topLinePunct w:val="0"/>
        <w:autoSpaceDE/>
        <w:autoSpaceDN/>
        <w:bidi w:val="0"/>
        <w:adjustRightInd/>
        <w:snapToGrid/>
        <w:spacing w:before="156" w:beforeLines="50" w:after="156" w:afterLines="50" w:line="360"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20.4 第三者责任险</w:t>
      </w:r>
    </w:p>
    <w:p w14:paraId="50FEC6EB">
      <w:pPr>
        <w:pageBreakBefore w:val="0"/>
        <w:widowControl w:val="0"/>
        <w:kinsoku/>
        <w:wordWrap/>
        <w:overflowPunct/>
        <w:topLinePunct w:val="0"/>
        <w:autoSpaceDE/>
        <w:autoSpaceDN/>
        <w:bidi w:val="0"/>
        <w:adjustRightInd/>
        <w:snapToGrid/>
        <w:spacing w:line="360" w:lineRule="auto"/>
        <w:ind w:firstLine="420" w:firstLineChars="200"/>
        <w:textAlignment w:val="auto"/>
        <w:rPr>
          <w:sz w:val="21"/>
          <w:szCs w:val="21"/>
          <w:highlight w:val="none"/>
        </w:rPr>
      </w:pPr>
      <w:r>
        <w:rPr>
          <w:sz w:val="21"/>
          <w:szCs w:val="21"/>
          <w:highlight w:val="none"/>
        </w:rPr>
        <w:t xml:space="preserve">20.4.1 </w:t>
      </w:r>
      <w:r>
        <w:rPr>
          <w:rFonts w:hAnsi="宋体"/>
          <w:sz w:val="21"/>
          <w:szCs w:val="21"/>
          <w:highlight w:val="none"/>
        </w:rPr>
        <w:t>　第三者责任险保险费率：</w:t>
      </w:r>
      <w:r>
        <w:rPr>
          <w:rFonts w:hint="eastAsia"/>
          <w:sz w:val="21"/>
          <w:szCs w:val="21"/>
          <w:highlight w:val="none"/>
          <w:u w:val="single"/>
        </w:rPr>
        <w:t>承包人根据相关规定自行投保</w:t>
      </w:r>
      <w:r>
        <w:rPr>
          <w:rFonts w:hAnsi="宋体"/>
          <w:sz w:val="21"/>
          <w:szCs w:val="21"/>
          <w:highlight w:val="none"/>
        </w:rPr>
        <w:t>；</w:t>
      </w:r>
    </w:p>
    <w:p w14:paraId="43B239E0">
      <w:pPr>
        <w:pageBreakBefore w:val="0"/>
        <w:widowControl w:val="0"/>
        <w:kinsoku/>
        <w:wordWrap/>
        <w:overflowPunct/>
        <w:topLinePunct w:val="0"/>
        <w:autoSpaceDE/>
        <w:autoSpaceDN/>
        <w:bidi w:val="0"/>
        <w:adjustRightInd/>
        <w:snapToGrid/>
        <w:spacing w:line="360" w:lineRule="auto"/>
        <w:ind w:firstLine="420" w:firstLineChars="200"/>
        <w:textAlignment w:val="auto"/>
        <w:rPr>
          <w:sz w:val="21"/>
          <w:szCs w:val="21"/>
          <w:highlight w:val="none"/>
        </w:rPr>
      </w:pPr>
      <w:r>
        <w:rPr>
          <w:rFonts w:hAnsi="宋体"/>
          <w:sz w:val="21"/>
          <w:szCs w:val="21"/>
          <w:highlight w:val="none"/>
        </w:rPr>
        <w:t>第三者责任险保险金额：</w:t>
      </w:r>
      <w:r>
        <w:rPr>
          <w:rFonts w:hint="eastAsia"/>
          <w:sz w:val="21"/>
          <w:szCs w:val="21"/>
          <w:highlight w:val="none"/>
          <w:u w:val="single"/>
        </w:rPr>
        <w:t>承包人根据相关规定自行投保</w:t>
      </w:r>
      <w:r>
        <w:rPr>
          <w:rFonts w:hAnsi="宋体"/>
          <w:sz w:val="21"/>
          <w:szCs w:val="21"/>
          <w:highlight w:val="none"/>
        </w:rPr>
        <w:t>。</w:t>
      </w:r>
    </w:p>
    <w:p w14:paraId="4FE76A97">
      <w:pPr>
        <w:pStyle w:val="6"/>
        <w:pageBreakBefore w:val="0"/>
        <w:widowControl w:val="0"/>
        <w:kinsoku/>
        <w:wordWrap/>
        <w:overflowPunct/>
        <w:topLinePunct w:val="0"/>
        <w:autoSpaceDE/>
        <w:autoSpaceDN/>
        <w:bidi w:val="0"/>
        <w:adjustRightInd/>
        <w:snapToGrid/>
        <w:spacing w:before="156" w:beforeLines="50" w:after="156" w:afterLines="50" w:line="360" w:lineRule="auto"/>
        <w:jc w:val="both"/>
        <w:textAlignment w:val="auto"/>
        <w:rPr>
          <w:rFonts w:hint="eastAsia" w:ascii="宋体" w:hAnsi="Times New Roman" w:eastAsia="宋体" w:cs="Times New Roman"/>
          <w:b/>
          <w:bCs/>
          <w:sz w:val="21"/>
          <w:szCs w:val="21"/>
          <w:highlight w:val="none"/>
        </w:rPr>
      </w:pPr>
      <w:r>
        <w:rPr>
          <w:rFonts w:hint="eastAsia" w:ascii="宋体" w:hAnsi="Times New Roman" w:eastAsia="宋体" w:cs="Times New Roman"/>
          <w:b/>
          <w:bCs/>
          <w:sz w:val="21"/>
          <w:szCs w:val="21"/>
          <w:highlight w:val="none"/>
        </w:rPr>
        <w:t>20.5其它保险</w:t>
      </w:r>
    </w:p>
    <w:p w14:paraId="32208CFF">
      <w:pPr>
        <w:spacing w:line="360" w:lineRule="auto"/>
        <w:ind w:firstLine="420" w:firstLineChars="200"/>
        <w:rPr>
          <w:rFonts w:hint="eastAsia" w:ascii="宋体" w:hAnsi="宋体" w:eastAsia="宋体" w:cs="宋体"/>
          <w:kern w:val="0"/>
          <w:sz w:val="21"/>
          <w:szCs w:val="21"/>
          <w:highlight w:val="none"/>
          <w:u w:val="none"/>
        </w:rPr>
      </w:pPr>
      <w:r>
        <w:rPr>
          <w:rFonts w:hint="eastAsia" w:ascii="宋体" w:hAnsi="宋体" w:eastAsia="宋体" w:cs="宋体"/>
          <w:kern w:val="0"/>
          <w:sz w:val="21"/>
          <w:szCs w:val="21"/>
          <w:highlight w:val="none"/>
        </w:rPr>
        <w:t>需要投保的其它内容：</w:t>
      </w:r>
      <w:r>
        <w:rPr>
          <w:rFonts w:hint="eastAsia" w:ascii="宋体" w:hAnsi="宋体" w:eastAsia="宋体" w:cs="宋体"/>
          <w:kern w:val="0"/>
          <w:sz w:val="21"/>
          <w:szCs w:val="21"/>
          <w:highlight w:val="none"/>
          <w:u w:val="single"/>
        </w:rPr>
        <w:t>本工程安责险已包含在安全生产措施费中，由承包人按照相关规定执行。具体用途及相关规定详见陕西省水利厅印发《陕西省水利工程建设安全生产责任保险实施意见（试行）》（陕水建发〔2024〕73号）文件</w:t>
      </w:r>
      <w:r>
        <w:rPr>
          <w:rFonts w:hint="eastAsia" w:ascii="宋体" w:hAnsi="宋体" w:eastAsia="宋体" w:cs="宋体"/>
          <w:kern w:val="0"/>
          <w:sz w:val="21"/>
          <w:szCs w:val="21"/>
          <w:highlight w:val="none"/>
          <w:u w:val="none"/>
        </w:rPr>
        <w:t>；</w:t>
      </w:r>
    </w:p>
    <w:p w14:paraId="506CCD10">
      <w:pPr>
        <w:spacing w:line="360" w:lineRule="auto"/>
        <w:ind w:firstLine="420" w:firstLineChars="200"/>
        <w:rPr>
          <w:sz w:val="21"/>
          <w:szCs w:val="21"/>
          <w:highlight w:val="none"/>
        </w:rPr>
      </w:pPr>
      <w:r>
        <w:rPr>
          <w:rFonts w:hint="eastAsia" w:ascii="宋体" w:hAnsi="宋体" w:eastAsia="宋体" w:cs="宋体"/>
          <w:kern w:val="0"/>
          <w:sz w:val="21"/>
          <w:szCs w:val="21"/>
          <w:highlight w:val="none"/>
        </w:rPr>
        <w:t>保险金额、保险费率和保险期限：</w:t>
      </w:r>
      <w:r>
        <w:rPr>
          <w:rFonts w:hint="eastAsia" w:ascii="宋体" w:hAnsi="宋体" w:eastAsia="宋体" w:cs="宋体"/>
          <w:kern w:val="0"/>
          <w:sz w:val="21"/>
          <w:szCs w:val="21"/>
          <w:highlight w:val="none"/>
          <w:u w:val="single"/>
          <w:lang w:val="en-US" w:eastAsia="zh-CN"/>
        </w:rPr>
        <w:t>①安全生产责任险由承包人按相关规定执行；②其余</w:t>
      </w:r>
      <w:r>
        <w:rPr>
          <w:rFonts w:hint="eastAsia" w:ascii="宋体" w:hAnsi="宋体" w:eastAsia="宋体" w:cs="宋体"/>
          <w:kern w:val="0"/>
          <w:sz w:val="21"/>
          <w:szCs w:val="21"/>
          <w:highlight w:val="none"/>
          <w:u w:val="single"/>
        </w:rPr>
        <w:t>执行通用条款</w:t>
      </w:r>
      <w:r>
        <w:rPr>
          <w:rFonts w:hint="eastAsia" w:ascii="宋体" w:hAnsi="宋体" w:eastAsia="宋体" w:cs="宋体"/>
          <w:kern w:val="0"/>
          <w:sz w:val="21"/>
          <w:szCs w:val="21"/>
          <w:highlight w:val="none"/>
          <w:u w:val="none"/>
        </w:rPr>
        <w:t>。</w:t>
      </w:r>
    </w:p>
    <w:p w14:paraId="1064A2C4">
      <w:pPr>
        <w:pStyle w:val="6"/>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20.6 对各项保险的一般要求</w:t>
      </w:r>
    </w:p>
    <w:p w14:paraId="47C14243">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sz w:val="21"/>
          <w:szCs w:val="21"/>
          <w:highlight w:val="none"/>
        </w:rPr>
        <w:t xml:space="preserve">20.6.1 </w:t>
      </w:r>
      <w:r>
        <w:rPr>
          <w:rFonts w:hAnsi="宋体"/>
          <w:sz w:val="21"/>
          <w:szCs w:val="21"/>
          <w:highlight w:val="none"/>
        </w:rPr>
        <w:t>保险凭证</w:t>
      </w:r>
    </w:p>
    <w:p w14:paraId="28BE20DA">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rFonts w:hAnsi="宋体"/>
          <w:sz w:val="21"/>
          <w:szCs w:val="21"/>
          <w:highlight w:val="none"/>
        </w:rPr>
        <w:t>承包人提交保险凭证的期限：</w:t>
      </w:r>
      <w:r>
        <w:rPr>
          <w:color w:val="auto"/>
          <w:sz w:val="21"/>
          <w:szCs w:val="21"/>
          <w:highlight w:val="none"/>
          <w:u w:val="single"/>
        </w:rPr>
        <w:t xml:space="preserve">  </w:t>
      </w:r>
      <w:r>
        <w:rPr>
          <w:rFonts w:hint="eastAsia"/>
          <w:color w:val="auto"/>
          <w:sz w:val="21"/>
          <w:szCs w:val="21"/>
          <w:highlight w:val="none"/>
          <w:u w:val="single"/>
        </w:rPr>
        <w:t>开工后</w:t>
      </w:r>
      <w:r>
        <w:rPr>
          <w:rFonts w:hint="eastAsia"/>
          <w:color w:val="auto"/>
          <w:sz w:val="21"/>
          <w:szCs w:val="21"/>
          <w:highlight w:val="none"/>
          <w:u w:val="single"/>
          <w:lang w:val="en-US" w:eastAsia="zh-CN"/>
        </w:rPr>
        <w:t>7日</w:t>
      </w:r>
      <w:r>
        <w:rPr>
          <w:rFonts w:hint="eastAsia"/>
          <w:color w:val="auto"/>
          <w:sz w:val="21"/>
          <w:szCs w:val="21"/>
          <w:highlight w:val="none"/>
          <w:u w:val="single"/>
        </w:rPr>
        <w:t>内</w:t>
      </w:r>
      <w:r>
        <w:rPr>
          <w:color w:val="auto"/>
          <w:sz w:val="21"/>
          <w:szCs w:val="21"/>
          <w:highlight w:val="none"/>
          <w:u w:val="single"/>
        </w:rPr>
        <w:t xml:space="preserve">  </w:t>
      </w:r>
      <w:r>
        <w:rPr>
          <w:rFonts w:hAnsi="宋体"/>
          <w:color w:val="auto"/>
          <w:sz w:val="21"/>
          <w:szCs w:val="21"/>
          <w:highlight w:val="none"/>
        </w:rPr>
        <w:t>。</w:t>
      </w:r>
    </w:p>
    <w:p w14:paraId="1A715DE6">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hAnsi="宋体"/>
          <w:sz w:val="21"/>
          <w:szCs w:val="21"/>
          <w:highlight w:val="none"/>
        </w:rPr>
      </w:pPr>
      <w:r>
        <w:rPr>
          <w:sz w:val="21"/>
          <w:szCs w:val="21"/>
          <w:highlight w:val="none"/>
        </w:rPr>
        <w:t xml:space="preserve">20.6.4 </w:t>
      </w:r>
      <w:r>
        <w:rPr>
          <w:rFonts w:hAnsi="宋体"/>
          <w:sz w:val="21"/>
          <w:szCs w:val="21"/>
          <w:highlight w:val="none"/>
        </w:rPr>
        <w:t>保险金不足的补偿</w:t>
      </w:r>
    </w:p>
    <w:p w14:paraId="5CD08FB2">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rFonts w:hint="eastAsia" w:hAnsi="宋体"/>
          <w:sz w:val="21"/>
          <w:szCs w:val="21"/>
          <w:highlight w:val="none"/>
        </w:rPr>
        <w:t>保险金不足以补偿损失的（包括免赔额和超过赔偿限额部分），由承包人和发包人协商确定补偿。</w:t>
      </w:r>
    </w:p>
    <w:p w14:paraId="6142C3CD">
      <w:pPr>
        <w:pStyle w:val="6"/>
        <w:pageBreakBefore w:val="0"/>
        <w:widowControl w:val="0"/>
        <w:kinsoku/>
        <w:wordWrap/>
        <w:overflowPunct/>
        <w:topLinePunct w:val="0"/>
        <w:autoSpaceDE/>
        <w:autoSpaceDN/>
        <w:bidi w:val="0"/>
        <w:adjustRightInd/>
        <w:snapToGrid/>
        <w:spacing w:before="156" w:beforeLines="50" w:after="156" w:afterLines="50" w:line="240" w:lineRule="auto"/>
        <w:jc w:val="both"/>
        <w:textAlignment w:val="auto"/>
        <w:rPr>
          <w:rFonts w:ascii="宋体" w:hAnsi="Times New Roman" w:eastAsia="宋体" w:cs="Times New Roman"/>
          <w:b/>
          <w:bCs/>
          <w:sz w:val="21"/>
          <w:szCs w:val="21"/>
          <w:highlight w:val="none"/>
        </w:rPr>
      </w:pPr>
      <w:bookmarkStart w:id="42" w:name="_Toc265408534"/>
      <w:r>
        <w:rPr>
          <w:rFonts w:ascii="宋体" w:hAnsi="Times New Roman" w:eastAsia="宋体" w:cs="Times New Roman"/>
          <w:b/>
          <w:bCs/>
          <w:sz w:val="21"/>
          <w:szCs w:val="21"/>
          <w:highlight w:val="none"/>
        </w:rPr>
        <w:t>24 争议的解决</w:t>
      </w:r>
      <w:bookmarkEnd w:id="42"/>
    </w:p>
    <w:p w14:paraId="1FE5CBC3">
      <w:pPr>
        <w:pStyle w:val="6"/>
        <w:pageBreakBefore w:val="0"/>
        <w:widowControl w:val="0"/>
        <w:kinsoku/>
        <w:wordWrap/>
        <w:overflowPunct/>
        <w:topLinePunct w:val="0"/>
        <w:autoSpaceDE/>
        <w:autoSpaceDN/>
        <w:bidi w:val="0"/>
        <w:adjustRightInd/>
        <w:snapToGrid/>
        <w:spacing w:before="156" w:beforeLines="50" w:after="156" w:afterLines="50" w:line="240"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24.1 争议的解决方式</w:t>
      </w:r>
    </w:p>
    <w:p w14:paraId="7A08DB88">
      <w:pPr>
        <w:spacing w:line="360" w:lineRule="auto"/>
        <w:ind w:firstLine="480"/>
        <w:rPr>
          <w:rFonts w:hint="eastAsia" w:ascii="宋体" w:hAnsi="宋体" w:eastAsia="宋体" w:cs="宋体"/>
          <w:sz w:val="21"/>
          <w:szCs w:val="21"/>
          <w:highlight w:val="none"/>
        </w:rPr>
      </w:pPr>
      <w:r>
        <w:rPr>
          <w:rFonts w:hint="eastAsia" w:ascii="宋体" w:hAnsi="宋体" w:eastAsia="宋体" w:cs="宋体"/>
          <w:sz w:val="21"/>
          <w:szCs w:val="21"/>
          <w:highlight w:val="none"/>
        </w:rPr>
        <w:t>合同当事人友好协商解决不成、不愿提请争议评审或不接受争议评审组意见的，约定的合同争议解决方式：</w:t>
      </w:r>
    </w:p>
    <w:p w14:paraId="67205199">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（1）请</w:t>
      </w:r>
      <w:r>
        <w:rPr>
          <w:rFonts w:hint="eastAsia" w:ascii="宋体" w:hAnsi="宋体" w:eastAsia="宋体" w:cs="宋体"/>
          <w:sz w:val="21"/>
          <w:szCs w:val="21"/>
          <w:highlight w:val="none"/>
          <w:u w:val="single"/>
        </w:rPr>
        <w:t>合同主管部门及工程造价管理机构</w:t>
      </w:r>
      <w:r>
        <w:rPr>
          <w:rFonts w:hint="eastAsia" w:ascii="宋体" w:hAnsi="宋体" w:eastAsia="宋体" w:cs="宋体"/>
          <w:sz w:val="21"/>
          <w:szCs w:val="21"/>
          <w:highlight w:val="none"/>
        </w:rPr>
        <w:t>调解；</w:t>
      </w:r>
    </w:p>
    <w:p w14:paraId="69576262">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（2）合同争议调解不成的，按下列第 </w:t>
      </w:r>
      <w:r>
        <w:rPr>
          <w:rFonts w:hint="eastAsia" w:ascii="宋体" w:hAnsi="宋体" w:eastAsia="宋体" w:cs="宋体"/>
          <w:sz w:val="21"/>
          <w:szCs w:val="21"/>
          <w:highlight w:val="none"/>
          <w:u w:val="single"/>
        </w:rPr>
        <w:t xml:space="preserve">二 </w:t>
      </w:r>
      <w:r>
        <w:rPr>
          <w:rFonts w:hint="eastAsia" w:ascii="宋体" w:hAnsi="宋体" w:eastAsia="宋体" w:cs="宋体"/>
          <w:sz w:val="21"/>
          <w:szCs w:val="21"/>
          <w:highlight w:val="none"/>
        </w:rPr>
        <w:t>种方式解决：</w:t>
      </w:r>
    </w:p>
    <w:p w14:paraId="74494364">
      <w:pPr>
        <w:spacing w:line="360" w:lineRule="auto"/>
        <w:ind w:firstLine="630" w:firstLineChars="300"/>
        <w:rPr>
          <w:rFonts w:hint="eastAsia" w:ascii="宋体" w:hAnsi="宋体" w:eastAsia="宋体" w:cs="宋体"/>
          <w:sz w:val="21"/>
          <w:szCs w:val="21"/>
          <w:highlight w:val="none"/>
        </w:rPr>
      </w:pPr>
      <w:r>
        <w:rPr>
          <w:rFonts w:hint="default" w:ascii="Calibri" w:hAnsi="Calibri" w:eastAsia="宋体" w:cs="Calibri"/>
          <w:sz w:val="21"/>
          <w:szCs w:val="21"/>
          <w:highlight w:val="none"/>
        </w:rPr>
        <w:t>①</w:t>
      </w:r>
      <w:r>
        <w:rPr>
          <w:rFonts w:hint="eastAsia" w:ascii="宋体" w:hAnsi="宋体" w:eastAsia="宋体" w:cs="宋体"/>
          <w:sz w:val="21"/>
          <w:szCs w:val="21"/>
          <w:highlight w:val="none"/>
        </w:rPr>
        <w:t>提交</w:t>
      </w:r>
      <w:r>
        <w:rPr>
          <w:rFonts w:hint="eastAsia" w:ascii="宋体" w:hAnsi="宋体" w:eastAsia="宋体" w:cs="宋体"/>
          <w:sz w:val="21"/>
          <w:szCs w:val="21"/>
          <w:highlight w:val="none"/>
          <w:u w:val="single"/>
        </w:rPr>
        <w:t xml:space="preserve"> / </w:t>
      </w:r>
      <w:r>
        <w:rPr>
          <w:rFonts w:hint="eastAsia" w:ascii="宋体" w:hAnsi="宋体" w:eastAsia="宋体" w:cs="宋体"/>
          <w:sz w:val="21"/>
          <w:szCs w:val="21"/>
          <w:highlight w:val="none"/>
        </w:rPr>
        <w:t>仲裁委员会申请仲裁；</w:t>
      </w:r>
    </w:p>
    <w:p w14:paraId="02CB4353">
      <w:pPr>
        <w:pageBreakBefore w:val="0"/>
        <w:widowControl w:val="0"/>
        <w:kinsoku/>
        <w:wordWrap/>
        <w:overflowPunct/>
        <w:topLinePunct w:val="0"/>
        <w:autoSpaceDE/>
        <w:autoSpaceDN/>
        <w:bidi w:val="0"/>
        <w:adjustRightInd/>
        <w:snapToGrid/>
        <w:spacing w:line="360" w:lineRule="auto"/>
        <w:ind w:firstLine="630" w:firstLineChars="300"/>
        <w:textAlignment w:val="auto"/>
        <w:rPr>
          <w:rFonts w:hAnsi="宋体"/>
          <w:sz w:val="21"/>
          <w:szCs w:val="21"/>
          <w:highlight w:val="none"/>
        </w:rPr>
      </w:pPr>
      <w:r>
        <w:rPr>
          <w:rFonts w:hint="default" w:ascii="Calibri" w:hAnsi="Calibri" w:eastAsia="宋体" w:cs="Calibri"/>
          <w:sz w:val="21"/>
          <w:szCs w:val="21"/>
          <w:highlight w:val="none"/>
        </w:rPr>
        <w:t>②</w:t>
      </w:r>
      <w:r>
        <w:rPr>
          <w:rFonts w:hint="eastAsia" w:ascii="宋体" w:hAnsi="宋体" w:eastAsia="宋体" w:cs="宋体"/>
          <w:sz w:val="21"/>
          <w:szCs w:val="21"/>
          <w:highlight w:val="none"/>
        </w:rPr>
        <w:t>依法向</w:t>
      </w:r>
      <w:r>
        <w:rPr>
          <w:rFonts w:hint="eastAsia" w:ascii="宋体" w:hAnsi="宋体" w:eastAsia="宋体" w:cs="宋体"/>
          <w:sz w:val="21"/>
          <w:szCs w:val="21"/>
          <w:highlight w:val="none"/>
          <w:u w:val="single"/>
        </w:rPr>
        <w:t>工程所在地</w:t>
      </w:r>
      <w:r>
        <w:rPr>
          <w:rFonts w:hint="eastAsia" w:ascii="宋体" w:hAnsi="宋体" w:eastAsia="宋体" w:cs="宋体"/>
          <w:sz w:val="21"/>
          <w:szCs w:val="21"/>
          <w:highlight w:val="none"/>
        </w:rPr>
        <w:t>人民法院提起诉讼。</w:t>
      </w:r>
    </w:p>
    <w:p w14:paraId="2BA027F9">
      <w:pPr>
        <w:pStyle w:val="12"/>
        <w:outlineLvl w:val="0"/>
        <w:rPr>
          <w:rFonts w:hint="eastAsia" w:ascii="宋体" w:hAnsi="宋体" w:eastAsia="宋体" w:cs="宋体"/>
          <w:b w:val="0"/>
          <w:bCs w:val="0"/>
          <w:color w:val="000000"/>
          <w:lang w:val="en-US" w:eastAsia="zh-CN"/>
        </w:rPr>
      </w:pPr>
      <w:r>
        <w:rPr>
          <w:rFonts w:hint="eastAsia" w:ascii="宋体" w:hAnsi="宋体" w:eastAsia="宋体" w:cs="宋体"/>
          <w:b w:val="0"/>
          <w:bCs w:val="0"/>
          <w:color w:val="000000"/>
          <w:lang w:val="en-US" w:eastAsia="zh-CN"/>
        </w:rPr>
        <w:t xml:space="preserve">附件一： </w:t>
      </w:r>
    </w:p>
    <w:p w14:paraId="60A65B7D">
      <w:pPr>
        <w:pStyle w:val="12"/>
        <w:jc w:val="center"/>
        <w:outlineLvl w:val="0"/>
        <w:rPr>
          <w:rFonts w:hint="eastAsia" w:ascii="宋体" w:hAnsi="宋体" w:eastAsia="宋体" w:cs="宋体"/>
          <w:b/>
          <w:bCs/>
          <w:color w:val="000000"/>
          <w:sz w:val="28"/>
          <w:szCs w:val="21"/>
          <w:lang w:val="en-US" w:eastAsia="zh-CN"/>
        </w:rPr>
      </w:pPr>
      <w:r>
        <w:rPr>
          <w:rFonts w:hint="eastAsia" w:ascii="宋体" w:hAnsi="宋体" w:eastAsia="宋体" w:cs="宋体"/>
          <w:b/>
          <w:bCs/>
          <w:color w:val="000000"/>
          <w:sz w:val="28"/>
          <w:szCs w:val="21"/>
          <w:lang w:val="en-US" w:eastAsia="zh-CN"/>
        </w:rPr>
        <w:t>工程质量保修书</w:t>
      </w:r>
    </w:p>
    <w:p w14:paraId="5A446EEC">
      <w:pPr>
        <w:keepNext w:val="0"/>
        <w:keepLines w:val="0"/>
        <w:pageBreakBefore w:val="0"/>
        <w:widowControl w:val="0"/>
        <w:kinsoku/>
        <w:wordWrap/>
        <w:overflowPunct/>
        <w:topLinePunct w:val="0"/>
        <w:autoSpaceDE/>
        <w:autoSpaceDN/>
        <w:bidi w:val="0"/>
        <w:adjustRightInd/>
        <w:snapToGrid/>
        <w:spacing w:line="312" w:lineRule="auto"/>
        <w:ind w:firstLine="525" w:firstLineChars="250"/>
        <w:textAlignment w:val="auto"/>
        <w:rPr>
          <w:rFonts w:hint="default" w:ascii="宋体" w:hAnsi="宋体" w:eastAsia="宋体" w:cs="宋体"/>
          <w:color w:val="000000"/>
          <w:szCs w:val="21"/>
          <w:u w:val="single"/>
          <w:lang w:val="en-US" w:eastAsia="zh-CN"/>
        </w:rPr>
      </w:pPr>
      <w:r>
        <w:rPr>
          <w:rFonts w:hint="eastAsia" w:ascii="宋体" w:hAnsi="宋体" w:eastAsia="宋体" w:cs="宋体"/>
          <w:color w:val="000000"/>
          <w:szCs w:val="21"/>
          <w:lang w:val="en-US" w:eastAsia="zh-CN"/>
        </w:rPr>
        <w:t>发包人 (全称)：</w:t>
      </w:r>
      <w:r>
        <w:rPr>
          <w:rFonts w:hint="eastAsia" w:ascii="宋体" w:hAnsi="宋体" w:eastAsia="宋体" w:cs="宋体"/>
          <w:color w:val="000000"/>
          <w:szCs w:val="21"/>
          <w:u w:val="single"/>
          <w:lang w:val="en-US" w:eastAsia="zh-CN"/>
        </w:rPr>
        <w:t xml:space="preserve">                       </w:t>
      </w:r>
    </w:p>
    <w:p w14:paraId="2392C205">
      <w:pPr>
        <w:keepNext w:val="0"/>
        <w:keepLines w:val="0"/>
        <w:pageBreakBefore w:val="0"/>
        <w:widowControl w:val="0"/>
        <w:kinsoku/>
        <w:wordWrap/>
        <w:overflowPunct/>
        <w:topLinePunct w:val="0"/>
        <w:autoSpaceDE/>
        <w:autoSpaceDN/>
        <w:bidi w:val="0"/>
        <w:adjustRightInd/>
        <w:snapToGrid/>
        <w:spacing w:line="312" w:lineRule="auto"/>
        <w:ind w:firstLine="525" w:firstLineChars="250"/>
        <w:textAlignment w:val="auto"/>
        <w:rPr>
          <w:rFonts w:hint="eastAsia" w:ascii="宋体" w:hAnsi="宋体" w:eastAsia="宋体" w:cs="宋体"/>
          <w:color w:val="000000"/>
          <w:szCs w:val="21"/>
          <w:u w:val="single"/>
          <w:lang w:val="en-US" w:eastAsia="zh-CN"/>
        </w:rPr>
      </w:pPr>
      <w:r>
        <w:rPr>
          <w:rFonts w:hint="eastAsia" w:ascii="宋体" w:hAnsi="宋体" w:eastAsia="宋体" w:cs="宋体"/>
          <w:color w:val="000000"/>
          <w:szCs w:val="21"/>
          <w:lang w:val="en-US" w:eastAsia="zh-CN"/>
        </w:rPr>
        <w:t>承包人（全称）：</w:t>
      </w:r>
      <w:r>
        <w:rPr>
          <w:rFonts w:hint="eastAsia" w:ascii="宋体" w:hAnsi="宋体" w:eastAsia="宋体" w:cs="宋体"/>
          <w:color w:val="000000"/>
          <w:szCs w:val="21"/>
          <w:u w:val="single"/>
          <w:lang w:val="en-US" w:eastAsia="zh-CN"/>
        </w:rPr>
        <w:t xml:space="preserve">                       </w:t>
      </w:r>
    </w:p>
    <w:p w14:paraId="56368AD9">
      <w:pPr>
        <w:keepNext w:val="0"/>
        <w:keepLines w:val="0"/>
        <w:pageBreakBefore w:val="0"/>
        <w:widowControl w:val="0"/>
        <w:kinsoku/>
        <w:wordWrap/>
        <w:overflowPunct/>
        <w:topLinePunct w:val="0"/>
        <w:autoSpaceDE/>
        <w:autoSpaceDN/>
        <w:bidi w:val="0"/>
        <w:adjustRightInd/>
        <w:snapToGrid/>
        <w:spacing w:line="312"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为保证</w:t>
      </w:r>
      <w:r>
        <w:rPr>
          <w:rFonts w:hint="eastAsia" w:ascii="宋体" w:hAnsi="宋体" w:eastAsia="宋体" w:cs="宋体"/>
          <w:color w:val="000000"/>
          <w:szCs w:val="21"/>
          <w:u w:val="single"/>
          <w:lang w:val="en-US" w:eastAsia="zh-CN"/>
        </w:rPr>
        <w:t xml:space="preserve">               </w:t>
      </w:r>
      <w:r>
        <w:rPr>
          <w:rFonts w:hint="eastAsia" w:ascii="宋体" w:hAnsi="宋体" w:eastAsia="宋体" w:cs="宋体"/>
          <w:color w:val="000000"/>
          <w:szCs w:val="21"/>
          <w:lang w:val="en-US" w:eastAsia="zh-CN"/>
        </w:rPr>
        <w:t xml:space="preserve">（项目名称）在合理使用期限内正常使用，发包人、承包人协商一致签订工程质量保修书。承包人在质量保修期内按照有关管理规定及双方约定承担工程质量保修责任。 </w:t>
      </w:r>
    </w:p>
    <w:p w14:paraId="65585503">
      <w:pPr>
        <w:keepNext w:val="0"/>
        <w:keepLines w:val="0"/>
        <w:pageBreakBefore w:val="0"/>
        <w:widowControl w:val="0"/>
        <w:kinsoku/>
        <w:wordWrap/>
        <w:overflowPunct/>
        <w:topLinePunct w:val="0"/>
        <w:autoSpaceDE/>
        <w:autoSpaceDN/>
        <w:bidi w:val="0"/>
        <w:adjustRightInd/>
        <w:snapToGrid/>
        <w:spacing w:line="312"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一、工程质量保修范围和内容 </w:t>
      </w:r>
    </w:p>
    <w:p w14:paraId="68671567">
      <w:pPr>
        <w:keepNext w:val="0"/>
        <w:keepLines w:val="0"/>
        <w:pageBreakBefore w:val="0"/>
        <w:widowControl w:val="0"/>
        <w:kinsoku/>
        <w:wordWrap/>
        <w:overflowPunct/>
        <w:topLinePunct w:val="0"/>
        <w:autoSpaceDE/>
        <w:autoSpaceDN/>
        <w:bidi w:val="0"/>
        <w:adjustRightInd/>
        <w:snapToGrid/>
        <w:spacing w:line="312"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具体质量保修内容双方约定如下：执行国务院279号令《建筑工程质量管理条例》规定的保修内容。 </w:t>
      </w:r>
    </w:p>
    <w:p w14:paraId="331F9A97">
      <w:pPr>
        <w:keepNext w:val="0"/>
        <w:keepLines w:val="0"/>
        <w:pageBreakBefore w:val="0"/>
        <w:widowControl w:val="0"/>
        <w:kinsoku/>
        <w:wordWrap/>
        <w:overflowPunct/>
        <w:topLinePunct w:val="0"/>
        <w:autoSpaceDE/>
        <w:autoSpaceDN/>
        <w:bidi w:val="0"/>
        <w:adjustRightInd/>
        <w:snapToGrid/>
        <w:spacing w:line="312"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二、质量保修期 </w:t>
      </w:r>
    </w:p>
    <w:p w14:paraId="62315C24">
      <w:pPr>
        <w:keepNext w:val="0"/>
        <w:keepLines w:val="0"/>
        <w:pageBreakBefore w:val="0"/>
        <w:widowControl w:val="0"/>
        <w:kinsoku/>
        <w:wordWrap/>
        <w:overflowPunct/>
        <w:topLinePunct w:val="0"/>
        <w:autoSpaceDE/>
        <w:autoSpaceDN/>
        <w:bidi w:val="0"/>
        <w:adjustRightInd/>
        <w:snapToGrid/>
        <w:spacing w:line="312" w:lineRule="auto"/>
        <w:ind w:firstLine="525" w:firstLineChars="250"/>
        <w:textAlignment w:val="auto"/>
        <w:rPr>
          <w:rFonts w:hint="eastAsia" w:ascii="宋体" w:hAnsi="宋体" w:eastAsia="宋体" w:cs="宋体"/>
          <w:color w:val="auto"/>
          <w:sz w:val="21"/>
          <w:szCs w:val="21"/>
          <w:highlight w:val="none"/>
          <w:u w:val="none"/>
        </w:rPr>
      </w:pPr>
      <w:r>
        <w:rPr>
          <w:rFonts w:hint="eastAsia" w:ascii="宋体" w:hAnsi="宋体" w:eastAsia="宋体" w:cs="宋体"/>
          <w:color w:val="auto"/>
          <w:u w:val="single"/>
        </w:rPr>
        <w:t>通过合同工程验收之日起12个月</w:t>
      </w:r>
      <w:r>
        <w:rPr>
          <w:rFonts w:hint="eastAsia" w:ascii="宋体" w:hAnsi="宋体" w:eastAsia="宋体" w:cs="宋体"/>
          <w:color w:val="auto"/>
          <w:u w:val="single"/>
          <w:lang w:eastAsia="zh-CN"/>
        </w:rPr>
        <w:t>，</w:t>
      </w:r>
      <w:r>
        <w:rPr>
          <w:rFonts w:hint="eastAsia" w:ascii="宋体" w:hAnsi="宋体" w:eastAsia="宋体" w:cs="宋体"/>
          <w:color w:val="auto"/>
          <w:sz w:val="21"/>
          <w:szCs w:val="21"/>
          <w:highlight w:val="none"/>
          <w:u w:val="single"/>
          <w:lang w:val="en-US" w:eastAsia="zh-CN"/>
        </w:rPr>
        <w:t>保修范围、保修期限按合同约定和法律法规执行</w:t>
      </w:r>
      <w:r>
        <w:rPr>
          <w:rFonts w:hint="eastAsia" w:ascii="宋体" w:hAnsi="宋体" w:eastAsia="宋体" w:cs="宋体"/>
          <w:color w:val="auto"/>
          <w:sz w:val="21"/>
          <w:szCs w:val="21"/>
          <w:highlight w:val="none"/>
          <w:u w:val="none"/>
        </w:rPr>
        <w:t>。</w:t>
      </w:r>
    </w:p>
    <w:p w14:paraId="29216F19">
      <w:pPr>
        <w:keepNext w:val="0"/>
        <w:keepLines w:val="0"/>
        <w:pageBreakBefore w:val="0"/>
        <w:widowControl w:val="0"/>
        <w:kinsoku/>
        <w:wordWrap/>
        <w:overflowPunct/>
        <w:topLinePunct w:val="0"/>
        <w:autoSpaceDE/>
        <w:autoSpaceDN/>
        <w:bidi w:val="0"/>
        <w:adjustRightInd/>
        <w:snapToGrid/>
        <w:spacing w:line="312"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三、质量保修责任 </w:t>
      </w:r>
    </w:p>
    <w:p w14:paraId="44105CDB">
      <w:pPr>
        <w:keepNext w:val="0"/>
        <w:keepLines w:val="0"/>
        <w:pageBreakBefore w:val="0"/>
        <w:widowControl w:val="0"/>
        <w:kinsoku/>
        <w:wordWrap/>
        <w:overflowPunct/>
        <w:topLinePunct w:val="0"/>
        <w:autoSpaceDE/>
        <w:autoSpaceDN/>
        <w:bidi w:val="0"/>
        <w:adjustRightInd/>
        <w:snapToGrid/>
        <w:spacing w:line="312"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1、属于保修范围和内容的项目，承包人应在接到修理通知之日后 7 天内派人修理。承包人不在约定期限内派人修理，发包人可委托其他人员修理，保修费用从质量保修金内扣除。 </w:t>
      </w:r>
    </w:p>
    <w:p w14:paraId="6B5F4470">
      <w:pPr>
        <w:keepNext w:val="0"/>
        <w:keepLines w:val="0"/>
        <w:pageBreakBefore w:val="0"/>
        <w:widowControl w:val="0"/>
        <w:kinsoku/>
        <w:wordWrap/>
        <w:overflowPunct/>
        <w:topLinePunct w:val="0"/>
        <w:autoSpaceDE/>
        <w:autoSpaceDN/>
        <w:bidi w:val="0"/>
        <w:adjustRightInd/>
        <w:snapToGrid/>
        <w:spacing w:line="312"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2、发生须紧急抢修事故（如上水跑水、暖气漏水漏气、燃气漏气等），承包人接到事故通知后，应立即到达事故现场抢修。非承包人施工质量引起的事故，抢修费用由发包人承 担。 </w:t>
      </w:r>
    </w:p>
    <w:p w14:paraId="65A8BE73">
      <w:pPr>
        <w:keepNext w:val="0"/>
        <w:keepLines w:val="0"/>
        <w:pageBreakBefore w:val="0"/>
        <w:widowControl w:val="0"/>
        <w:kinsoku/>
        <w:wordWrap/>
        <w:overflowPunct/>
        <w:topLinePunct w:val="0"/>
        <w:autoSpaceDE/>
        <w:autoSpaceDN/>
        <w:bidi w:val="0"/>
        <w:adjustRightInd/>
        <w:snapToGrid/>
        <w:spacing w:line="312"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3、在国家规定的工程合理使用期限内，承包人确保地基基础工程和主体结构的质量。因承包人原因致使工程在合理使用期限内造成人身和财产损害的，承包人应承担损害赔偿责 任。 </w:t>
      </w:r>
    </w:p>
    <w:p w14:paraId="1945A235">
      <w:pPr>
        <w:keepNext w:val="0"/>
        <w:keepLines w:val="0"/>
        <w:pageBreakBefore w:val="0"/>
        <w:widowControl w:val="0"/>
        <w:kinsoku/>
        <w:wordWrap/>
        <w:overflowPunct/>
        <w:topLinePunct w:val="0"/>
        <w:autoSpaceDE/>
        <w:autoSpaceDN/>
        <w:bidi w:val="0"/>
        <w:adjustRightInd/>
        <w:snapToGrid/>
        <w:spacing w:line="312"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四、质量保修费用 </w:t>
      </w:r>
    </w:p>
    <w:p w14:paraId="22EF6EED">
      <w:pPr>
        <w:keepNext w:val="0"/>
        <w:keepLines w:val="0"/>
        <w:pageBreakBefore w:val="0"/>
        <w:widowControl w:val="0"/>
        <w:kinsoku/>
        <w:wordWrap/>
        <w:overflowPunct/>
        <w:topLinePunct w:val="0"/>
        <w:autoSpaceDE/>
        <w:autoSpaceDN/>
        <w:bidi w:val="0"/>
        <w:adjustRightInd/>
        <w:snapToGrid/>
        <w:spacing w:line="312"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保修费用由造成质量缺陷的责任方承担。</w:t>
      </w:r>
    </w:p>
    <w:p w14:paraId="277EB768">
      <w:pPr>
        <w:keepNext w:val="0"/>
        <w:keepLines w:val="0"/>
        <w:pageBreakBefore w:val="0"/>
        <w:widowControl w:val="0"/>
        <w:kinsoku/>
        <w:wordWrap/>
        <w:overflowPunct/>
        <w:topLinePunct w:val="0"/>
        <w:autoSpaceDE/>
        <w:autoSpaceDN/>
        <w:bidi w:val="0"/>
        <w:adjustRightInd/>
        <w:snapToGrid/>
        <w:spacing w:line="312"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五、其他 </w:t>
      </w:r>
    </w:p>
    <w:p w14:paraId="69E736E6">
      <w:pPr>
        <w:keepNext w:val="0"/>
        <w:keepLines w:val="0"/>
        <w:pageBreakBefore w:val="0"/>
        <w:widowControl w:val="0"/>
        <w:kinsoku/>
        <w:wordWrap/>
        <w:overflowPunct/>
        <w:topLinePunct w:val="0"/>
        <w:autoSpaceDE/>
        <w:autoSpaceDN/>
        <w:bidi w:val="0"/>
        <w:adjustRightInd/>
        <w:snapToGrid/>
        <w:spacing w:line="312" w:lineRule="auto"/>
        <w:ind w:firstLine="525" w:firstLineChars="250"/>
        <w:textAlignment w:val="auto"/>
        <w:rPr>
          <w:rFonts w:hint="eastAsia" w:ascii="宋体" w:hAnsi="宋体" w:eastAsia="宋体" w:cs="宋体"/>
          <w:color w:val="000000"/>
          <w:szCs w:val="21"/>
          <w:u w:val="single"/>
          <w:lang w:val="en-US" w:eastAsia="zh-CN"/>
        </w:rPr>
      </w:pPr>
      <w:r>
        <w:rPr>
          <w:rFonts w:hint="eastAsia" w:ascii="宋体" w:hAnsi="宋体" w:eastAsia="宋体" w:cs="宋体"/>
          <w:color w:val="000000"/>
          <w:szCs w:val="21"/>
          <w:lang w:val="en-US" w:eastAsia="zh-CN"/>
        </w:rPr>
        <w:t>双方约定的其他工程质量保修事项：</w:t>
      </w:r>
      <w:r>
        <w:rPr>
          <w:rFonts w:hint="eastAsia" w:ascii="宋体" w:hAnsi="宋体" w:eastAsia="宋体" w:cs="宋体"/>
          <w:color w:val="000000"/>
          <w:szCs w:val="21"/>
          <w:u w:val="single"/>
          <w:lang w:val="en-US" w:eastAsia="zh-CN"/>
        </w:rPr>
        <w:t xml:space="preserve">                            </w:t>
      </w:r>
    </w:p>
    <w:p w14:paraId="67F10205">
      <w:pPr>
        <w:keepNext w:val="0"/>
        <w:keepLines w:val="0"/>
        <w:pageBreakBefore w:val="0"/>
        <w:widowControl w:val="0"/>
        <w:kinsoku/>
        <w:wordWrap/>
        <w:overflowPunct/>
        <w:topLinePunct w:val="0"/>
        <w:autoSpaceDE/>
        <w:autoSpaceDN/>
        <w:bidi w:val="0"/>
        <w:adjustRightInd/>
        <w:snapToGrid/>
        <w:spacing w:line="312"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本工程质量保修书，由施工合同发包人、承包人在竣工验收前共同签署，做为施工合同附件，其有效期限至保修期满。</w:t>
      </w:r>
    </w:p>
    <w:p w14:paraId="125716F3">
      <w:pPr>
        <w:pStyle w:val="8"/>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15"/>
          <w:szCs w:val="15"/>
        </w:rPr>
      </w:pPr>
    </w:p>
    <w:tbl>
      <w:tblPr>
        <w:tblStyle w:val="9"/>
        <w:tblW w:w="13347" w:type="dxa"/>
        <w:tblInd w:w="0" w:type="dxa"/>
        <w:tblLayout w:type="fixed"/>
        <w:tblCellMar>
          <w:top w:w="0" w:type="dxa"/>
          <w:left w:w="108" w:type="dxa"/>
          <w:bottom w:w="0" w:type="dxa"/>
          <w:right w:w="108" w:type="dxa"/>
        </w:tblCellMar>
      </w:tblPr>
      <w:tblGrid>
        <w:gridCol w:w="4421"/>
        <w:gridCol w:w="4463"/>
      </w:tblGrid>
      <w:tr w14:paraId="3B375D07">
        <w:tblPrEx>
          <w:tblCellMar>
            <w:top w:w="0" w:type="dxa"/>
            <w:left w:w="108" w:type="dxa"/>
            <w:bottom w:w="0" w:type="dxa"/>
            <w:right w:w="108" w:type="dxa"/>
          </w:tblCellMar>
        </w:tblPrEx>
        <w:trPr>
          <w:trHeight w:val="573" w:hRule="atLeast"/>
        </w:trPr>
        <w:tc>
          <w:tcPr>
            <w:tcW w:w="4421" w:type="dxa"/>
            <w:noWrap w:val="0"/>
            <w:vAlign w:val="center"/>
          </w:tcPr>
          <w:p w14:paraId="6783498B">
            <w:pPr>
              <w:keepNext w:val="0"/>
              <w:keepLines w:val="0"/>
              <w:pageBreakBefore w:val="0"/>
              <w:widowControl w:val="0"/>
              <w:tabs>
                <w:tab w:val="left" w:pos="5760"/>
              </w:tabs>
              <w:kinsoku/>
              <w:wordWrap/>
              <w:overflowPunct/>
              <w:topLinePunct w:val="0"/>
              <w:autoSpaceDE/>
              <w:autoSpaceDN/>
              <w:bidi w:val="0"/>
              <w:adjustRightInd/>
              <w:snapToGrid/>
              <w:spacing w:line="312" w:lineRule="auto"/>
              <w:ind w:left="840" w:hanging="735" w:hangingChars="35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发  包  人：</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(盖单位章)</w:t>
            </w:r>
          </w:p>
        </w:tc>
        <w:tc>
          <w:tcPr>
            <w:tcW w:w="4463" w:type="dxa"/>
            <w:noWrap w:val="0"/>
            <w:vAlign w:val="center"/>
          </w:tcPr>
          <w:p w14:paraId="3A75A988">
            <w:pPr>
              <w:keepNext w:val="0"/>
              <w:keepLines w:val="0"/>
              <w:pageBreakBefore w:val="0"/>
              <w:widowControl w:val="0"/>
              <w:tabs>
                <w:tab w:val="left" w:pos="5760"/>
              </w:tabs>
              <w:kinsoku/>
              <w:wordWrap/>
              <w:overflowPunct/>
              <w:topLinePunct w:val="0"/>
              <w:autoSpaceDE/>
              <w:autoSpaceDN/>
              <w:bidi w:val="0"/>
              <w:adjustRightInd/>
              <w:snapToGrid/>
              <w:spacing w:line="312" w:lineRule="auto"/>
              <w:ind w:left="762" w:leftChars="313" w:hanging="105" w:hangingChars="5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  包  人：</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(盖单位章)</w:t>
            </w:r>
          </w:p>
        </w:tc>
      </w:tr>
      <w:tr w14:paraId="4B84DA08">
        <w:tblPrEx>
          <w:tblCellMar>
            <w:top w:w="0" w:type="dxa"/>
            <w:left w:w="108" w:type="dxa"/>
            <w:bottom w:w="0" w:type="dxa"/>
            <w:right w:w="108" w:type="dxa"/>
          </w:tblCellMar>
        </w:tblPrEx>
        <w:trPr>
          <w:trHeight w:val="573" w:hRule="atLeast"/>
        </w:trPr>
        <w:tc>
          <w:tcPr>
            <w:tcW w:w="4421" w:type="dxa"/>
            <w:noWrap w:val="0"/>
            <w:vAlign w:val="center"/>
          </w:tcPr>
          <w:p w14:paraId="2ED1F333">
            <w:pPr>
              <w:keepNext w:val="0"/>
              <w:keepLines w:val="0"/>
              <w:pageBreakBefore w:val="0"/>
              <w:widowControl w:val="0"/>
              <w:tabs>
                <w:tab w:val="left" w:pos="5760"/>
              </w:tabs>
              <w:kinsoku/>
              <w:wordWrap/>
              <w:overflowPunct/>
              <w:topLinePunct w:val="0"/>
              <w:autoSpaceDE/>
              <w:autoSpaceDN/>
              <w:bidi w:val="0"/>
              <w:adjustRightInd/>
              <w:snapToGrid/>
              <w:spacing w:line="312" w:lineRule="auto"/>
              <w:ind w:left="840" w:hanging="735" w:hangingChars="35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法定代表人或其委托代理人：</w:t>
            </w:r>
            <w:r>
              <w:rPr>
                <w:rFonts w:hint="eastAsia" w:ascii="宋体" w:hAnsi="宋体" w:eastAsia="宋体" w:cs="宋体"/>
                <w:sz w:val="21"/>
                <w:szCs w:val="21"/>
                <w:highlight w:val="none"/>
                <w:u w:val="single"/>
              </w:rPr>
              <w:t xml:space="preserve"> （签字）                            </w:t>
            </w:r>
          </w:p>
        </w:tc>
        <w:tc>
          <w:tcPr>
            <w:tcW w:w="4463" w:type="dxa"/>
            <w:noWrap w:val="0"/>
            <w:vAlign w:val="center"/>
          </w:tcPr>
          <w:p w14:paraId="72DB7A9A">
            <w:pPr>
              <w:keepNext w:val="0"/>
              <w:keepLines w:val="0"/>
              <w:pageBreakBefore w:val="0"/>
              <w:widowControl w:val="0"/>
              <w:tabs>
                <w:tab w:val="left" w:pos="5760"/>
              </w:tabs>
              <w:kinsoku/>
              <w:wordWrap/>
              <w:overflowPunct/>
              <w:topLinePunct w:val="0"/>
              <w:autoSpaceDE/>
              <w:autoSpaceDN/>
              <w:bidi w:val="0"/>
              <w:adjustRightInd/>
              <w:snapToGrid/>
              <w:spacing w:line="312" w:lineRule="auto"/>
              <w:ind w:firstLine="630" w:firstLineChars="3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法定代表人或其委托代理人：</w:t>
            </w:r>
            <w:r>
              <w:rPr>
                <w:rFonts w:hint="eastAsia" w:ascii="宋体" w:hAnsi="宋体" w:eastAsia="宋体" w:cs="宋体"/>
                <w:sz w:val="21"/>
                <w:szCs w:val="21"/>
                <w:highlight w:val="none"/>
                <w:u w:val="single"/>
              </w:rPr>
              <w:t xml:space="preserve"> （签字）</w:t>
            </w:r>
          </w:p>
        </w:tc>
      </w:tr>
      <w:tr w14:paraId="1CE4D05B">
        <w:tblPrEx>
          <w:tblCellMar>
            <w:top w:w="0" w:type="dxa"/>
            <w:left w:w="108" w:type="dxa"/>
            <w:bottom w:w="0" w:type="dxa"/>
            <w:right w:w="108" w:type="dxa"/>
          </w:tblCellMar>
        </w:tblPrEx>
        <w:trPr>
          <w:trHeight w:val="677" w:hRule="atLeast"/>
        </w:trPr>
        <w:tc>
          <w:tcPr>
            <w:tcW w:w="4421" w:type="dxa"/>
            <w:noWrap w:val="0"/>
            <w:vAlign w:val="center"/>
          </w:tcPr>
          <w:p w14:paraId="04B162E4">
            <w:pPr>
              <w:keepNext w:val="0"/>
              <w:keepLines w:val="0"/>
              <w:pageBreakBefore w:val="0"/>
              <w:widowControl w:val="0"/>
              <w:tabs>
                <w:tab w:val="left" w:pos="5760"/>
              </w:tabs>
              <w:kinsoku/>
              <w:wordWrap/>
              <w:overflowPunct/>
              <w:topLinePunct w:val="0"/>
              <w:autoSpaceDE/>
              <w:autoSpaceDN/>
              <w:bidi w:val="0"/>
              <w:adjustRightInd/>
              <w:snapToGrid/>
              <w:spacing w:line="312" w:lineRule="auto"/>
              <w:ind w:left="840" w:hanging="735" w:hangingChars="35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日</w:t>
            </w:r>
          </w:p>
        </w:tc>
        <w:tc>
          <w:tcPr>
            <w:tcW w:w="4463" w:type="dxa"/>
            <w:noWrap w:val="0"/>
            <w:vAlign w:val="center"/>
          </w:tcPr>
          <w:p w14:paraId="63904B81">
            <w:pPr>
              <w:keepNext w:val="0"/>
              <w:keepLines w:val="0"/>
              <w:pageBreakBefore w:val="0"/>
              <w:widowControl w:val="0"/>
              <w:tabs>
                <w:tab w:val="left" w:pos="5760"/>
              </w:tabs>
              <w:kinsoku/>
              <w:wordWrap/>
              <w:overflowPunct/>
              <w:topLinePunct w:val="0"/>
              <w:autoSpaceDE/>
              <w:autoSpaceDN/>
              <w:bidi w:val="0"/>
              <w:adjustRightInd/>
              <w:snapToGrid/>
              <w:spacing w:line="312" w:lineRule="auto"/>
              <w:ind w:firstLine="840" w:firstLineChars="4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日</w:t>
            </w:r>
          </w:p>
        </w:tc>
      </w:tr>
    </w:tbl>
    <w:p w14:paraId="00D738F5">
      <w:pPr>
        <w:pStyle w:val="12"/>
        <w:outlineLvl w:val="0"/>
        <w:rPr>
          <w:rFonts w:hint="eastAsia" w:ascii="宋体" w:hAnsi="宋体" w:eastAsia="宋体" w:cs="宋体"/>
          <w:b w:val="0"/>
          <w:bCs w:val="0"/>
          <w:color w:val="000000"/>
          <w:lang w:val="en-US" w:eastAsia="zh-CN"/>
        </w:rPr>
      </w:pPr>
    </w:p>
    <w:p w14:paraId="46A1ADD5">
      <w:pPr>
        <w:rPr>
          <w:rFonts w:hint="eastAsia" w:ascii="宋体" w:hAnsi="宋体" w:eastAsia="宋体" w:cs="宋体"/>
          <w:b w:val="0"/>
          <w:bCs w:val="0"/>
          <w:color w:val="000000"/>
          <w:lang w:val="en-US" w:eastAsia="zh-CN"/>
        </w:rPr>
      </w:pPr>
      <w:r>
        <w:rPr>
          <w:rFonts w:hint="eastAsia" w:ascii="宋体" w:hAnsi="宋体" w:eastAsia="宋体" w:cs="宋体"/>
          <w:b w:val="0"/>
          <w:bCs w:val="0"/>
          <w:color w:val="000000"/>
          <w:lang w:val="en-US" w:eastAsia="zh-CN"/>
        </w:rPr>
        <w:br w:type="page"/>
      </w:r>
    </w:p>
    <w:p w14:paraId="637951D3">
      <w:pPr>
        <w:pStyle w:val="12"/>
        <w:outlineLvl w:val="0"/>
        <w:rPr>
          <w:rFonts w:hint="eastAsia" w:ascii="宋体" w:hAnsi="宋体" w:eastAsia="宋体" w:cs="宋体"/>
          <w:b w:val="0"/>
          <w:bCs w:val="0"/>
          <w:color w:val="000000"/>
          <w:lang w:val="en-US" w:eastAsia="zh-CN"/>
        </w:rPr>
      </w:pPr>
      <w:r>
        <w:rPr>
          <w:rFonts w:hint="eastAsia" w:ascii="宋体" w:hAnsi="宋体" w:eastAsia="宋体" w:cs="宋体"/>
          <w:b w:val="0"/>
          <w:bCs w:val="0"/>
          <w:color w:val="000000"/>
          <w:lang w:val="en-US" w:eastAsia="zh-CN"/>
        </w:rPr>
        <w:t>附件二：</w:t>
      </w:r>
    </w:p>
    <w:p w14:paraId="218FC04E">
      <w:pPr>
        <w:pStyle w:val="12"/>
        <w:jc w:val="center"/>
        <w:outlineLvl w:val="0"/>
        <w:rPr>
          <w:rFonts w:hint="eastAsia" w:ascii="宋体" w:hAnsi="宋体" w:eastAsia="宋体" w:cs="宋体"/>
          <w:b/>
          <w:bCs/>
          <w:color w:val="000000"/>
          <w:sz w:val="28"/>
          <w:szCs w:val="21"/>
          <w:lang w:val="en-US" w:eastAsia="zh-CN"/>
        </w:rPr>
      </w:pPr>
      <w:r>
        <w:rPr>
          <w:rFonts w:hint="eastAsia" w:ascii="宋体" w:hAnsi="宋体" w:eastAsia="宋体" w:cs="宋体"/>
          <w:b/>
          <w:bCs/>
          <w:color w:val="000000"/>
          <w:sz w:val="28"/>
          <w:szCs w:val="21"/>
          <w:lang w:val="en-US" w:eastAsia="zh-CN"/>
        </w:rPr>
        <w:t>建设工程廉政责任书</w:t>
      </w:r>
    </w:p>
    <w:p w14:paraId="03FEC5A4">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发包人(全称)：</w:t>
      </w:r>
      <w:r>
        <w:rPr>
          <w:rFonts w:hint="eastAsia" w:ascii="宋体" w:hAnsi="宋体" w:eastAsia="宋体" w:cs="宋体"/>
          <w:color w:val="000000"/>
          <w:szCs w:val="21"/>
          <w:u w:val="single"/>
          <w:lang w:val="en-US" w:eastAsia="zh-CN"/>
        </w:rPr>
        <w:t xml:space="preserve">                    </w:t>
      </w:r>
      <w:r>
        <w:rPr>
          <w:rFonts w:hint="eastAsia" w:ascii="宋体" w:hAnsi="宋体" w:eastAsia="宋体" w:cs="宋体"/>
          <w:color w:val="000000"/>
          <w:szCs w:val="21"/>
          <w:lang w:val="en-US" w:eastAsia="zh-CN"/>
        </w:rPr>
        <w:t xml:space="preserve">（以下简称甲方） </w:t>
      </w:r>
    </w:p>
    <w:p w14:paraId="62E59810">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承包人(全称)：</w:t>
      </w:r>
      <w:r>
        <w:rPr>
          <w:rFonts w:hint="eastAsia" w:ascii="宋体" w:hAnsi="宋体" w:eastAsia="宋体" w:cs="宋体"/>
          <w:color w:val="000000"/>
          <w:szCs w:val="21"/>
          <w:u w:val="single"/>
          <w:lang w:val="en-US" w:eastAsia="zh-CN"/>
        </w:rPr>
        <w:t xml:space="preserve">                    </w:t>
      </w:r>
      <w:r>
        <w:rPr>
          <w:rFonts w:hint="eastAsia" w:ascii="宋体" w:hAnsi="宋体" w:eastAsia="宋体" w:cs="宋体"/>
          <w:color w:val="000000"/>
          <w:szCs w:val="21"/>
          <w:lang w:val="en-US" w:eastAsia="zh-CN"/>
        </w:rPr>
        <w:t xml:space="preserve">（以下简称乙方） </w:t>
      </w:r>
    </w:p>
    <w:p w14:paraId="79CE987C">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为加强工程建设中的廉政建设，规范工程建设中的各项活动，防止发生各种谋取不正当利益的违法乱纪行为，保护国家、集体和当事人的合法权益，根据国家有关工程建设的法律法规和廉政建设责任制规定，甲乙双方特订立本廉政责任书。 </w:t>
      </w:r>
    </w:p>
    <w:p w14:paraId="532A48CE">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第一条 甲、乙双方的责任</w:t>
      </w:r>
    </w:p>
    <w:p w14:paraId="446FEE31">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(一)应严格遵守国家关于市场准入、项目招标投标、工程建设、工程施工和市场活动的有关法律、法规，相关政策，以及廉政建设的各项规定。 </w:t>
      </w:r>
    </w:p>
    <w:p w14:paraId="3EF94C62">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(二)严格执行建设工程项目施工合同文件，自觉按合同办事。 </w:t>
      </w:r>
    </w:p>
    <w:p w14:paraId="6077B8E4">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(三)业务活动必须持公开、公平、公正、诚信、透明的原则(除法律法规另有规定者外)，不得为获取不正当的利益，损害国家、集体和对方利益，不得违反工程建设管理的规章制度。 </w:t>
      </w:r>
    </w:p>
    <w:p w14:paraId="6A8529DF">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(四)发现对方在业务活动中有违规、违纪、违法行为的、应及时提醒对方，情节严重的，应向其上级主管部门或纪检监察、司法等有关机关举报。 </w:t>
      </w:r>
    </w:p>
    <w:p w14:paraId="37EF3D55">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第二条 甲方的责任 </w:t>
      </w:r>
    </w:p>
    <w:p w14:paraId="28F42FFB">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甲方的领导和从事该建设工程项目的工作人员在工程建设的事前、事中、事后应遵守以下规定： </w:t>
      </w:r>
    </w:p>
    <w:p w14:paraId="0FF0888E">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(一)不准向乙方和相关单位索要或接受回扣、礼金、有价证券、贵重物品和好处费、感谢费等。 </w:t>
      </w:r>
    </w:p>
    <w:p w14:paraId="773DC27E">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(二)不准在乙方和相关单位报销任何应由甲方或个人支付的费用。 </w:t>
      </w:r>
    </w:p>
    <w:p w14:paraId="32775771">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(三)不准要求示或接受乙方和相关单位为个人装修住房、婚丧嫁娶、配偶子女的工作安排以及出国(境)、旅游等提供方便。 </w:t>
      </w:r>
    </w:p>
    <w:p w14:paraId="23A73078">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(四)不准参加有可能影响公正执行公务的乙方和相关单位的宴请、健身、娱乐等活动。 </w:t>
      </w:r>
    </w:p>
    <w:p w14:paraId="1929CE20">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五)不准向乙方和相关单位介绍或为配偶、子女、亲属参与同甲方工程项目合同有关的施工分包项目等活动。不准向乙方和相关单位介绍或为配偶、子女、亲属参与同项目工程合同有关的设备、材料、工程分包、劳务等经济活动。不得以任何理由向乙方和相关单位推荐分包单位和要求购买与项目工程合同规定以外的材料、设备等。 </w:t>
      </w:r>
    </w:p>
    <w:p w14:paraId="0F1F74FD">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第三条 乙方的责任</w:t>
      </w:r>
    </w:p>
    <w:p w14:paraId="3B5BB0BA">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应与甲方和相关单位保持正常的业务交往。按照有关法律法规和程序开展业务工作，严格执行工程建设的方针、政策，尤其是有关勘察设计、建筑施工安装的强制性标准和规范，并遵守以下规定： </w:t>
      </w:r>
    </w:p>
    <w:p w14:paraId="2ABDD8EA">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(一)不准以任何理由向甲方和相关单位及其工作人员索要、接受或赠送礼金、有价证券、贵重物品及回扣、好处费、感谢费等。</w:t>
      </w:r>
    </w:p>
    <w:p w14:paraId="7514E66B">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(二)不准以任何理由为甲方和相关单位报销应由对方或个人交付的费用。</w:t>
      </w:r>
    </w:p>
    <w:p w14:paraId="3F31F9E1">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(三)不准接受或暗示为甲方、相关单位或个人装修住房、婚丧嫁娶、配偶子女的工作安排以及出国(境)、旅游等提供方便。 </w:t>
      </w:r>
    </w:p>
    <w:p w14:paraId="0708888B">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(四)不准违反合同约定而使用甲方、相关单位提供的通信、交通工具和高档办公用品。 </w:t>
      </w:r>
    </w:p>
    <w:p w14:paraId="2DE3B59A">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(五)不准以任何理由为甲方、相关单位或个人组织有可能影响公正执行公务的宴请、健身、娱乐等活动。 </w:t>
      </w:r>
    </w:p>
    <w:p w14:paraId="2BF6ECA1">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第四条 违约责任 </w:t>
      </w:r>
    </w:p>
    <w:p w14:paraId="007D23D3">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一)甲方工作人员有违反本责任书第一、二条责任行为的，按照管理权限，依据有关法律法规和规定给予党纪、政纪处分或组织处理；涉嫌犯罪的，移交司法机关追究刑事责任；给乙方单位造成经济损失的，应予以赔偿。 </w:t>
      </w:r>
    </w:p>
    <w:p w14:paraId="63D35B1F">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二)乙方工作人员有违反本责任书第一、三条责任行为的，按照管理权限，依据有关法律法规和规定给予党纪政纪处分或组织处理；涉嫌犯罪的，移交司法机关追究刑事责任；给甲方单位造成经济损失的，应予以赔偿。 </w:t>
      </w:r>
    </w:p>
    <w:p w14:paraId="7DB94472">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第五条本责任书作为工程施工合同的附表，与工程施工合同具有同等法律效力。经双方签署后立即生效。 </w:t>
      </w:r>
    </w:p>
    <w:p w14:paraId="3C4D126D">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第六条本责任书的有效期为双方签署之日起至该工程项目竣工验收合格时止。 </w:t>
      </w:r>
    </w:p>
    <w:p w14:paraId="7775BE85">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第七条本责任书作为</w:t>
      </w:r>
      <w:r>
        <w:rPr>
          <w:rFonts w:hint="eastAsia" w:ascii="宋体" w:hAnsi="宋体" w:eastAsia="宋体" w:cs="宋体"/>
          <w:color w:val="000000"/>
          <w:szCs w:val="21"/>
          <w:u w:val="single"/>
          <w:lang w:val="en-US" w:eastAsia="zh-CN"/>
        </w:rPr>
        <w:t xml:space="preserve">              （项目名称）</w:t>
      </w:r>
      <w:r>
        <w:rPr>
          <w:rFonts w:hint="eastAsia" w:ascii="宋体" w:hAnsi="宋体" w:eastAsia="宋体" w:cs="宋体"/>
          <w:color w:val="000000"/>
          <w:szCs w:val="21"/>
          <w:lang w:val="en-US" w:eastAsia="zh-CN"/>
        </w:rPr>
        <w:t>合同的附件，送交甲乙双方的监督单位各一份。与工程施工合同具有同等的法律效力，经合同双方签署后立即生效。</w:t>
      </w:r>
    </w:p>
    <w:p w14:paraId="0F846B38">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p>
    <w:tbl>
      <w:tblPr>
        <w:tblStyle w:val="9"/>
        <w:tblW w:w="0" w:type="auto"/>
        <w:tblInd w:w="0" w:type="dxa"/>
        <w:tblLayout w:type="fixed"/>
        <w:tblCellMar>
          <w:top w:w="0" w:type="dxa"/>
          <w:left w:w="108" w:type="dxa"/>
          <w:bottom w:w="0" w:type="dxa"/>
          <w:right w:w="108" w:type="dxa"/>
        </w:tblCellMar>
      </w:tblPr>
      <w:tblGrid>
        <w:gridCol w:w="4421"/>
        <w:gridCol w:w="4463"/>
      </w:tblGrid>
      <w:tr w14:paraId="4B2D36D5">
        <w:tblPrEx>
          <w:tblCellMar>
            <w:top w:w="0" w:type="dxa"/>
            <w:left w:w="108" w:type="dxa"/>
            <w:bottom w:w="0" w:type="dxa"/>
            <w:right w:w="108" w:type="dxa"/>
          </w:tblCellMar>
        </w:tblPrEx>
        <w:trPr>
          <w:trHeight w:val="573" w:hRule="atLeast"/>
        </w:trPr>
        <w:tc>
          <w:tcPr>
            <w:tcW w:w="4421" w:type="dxa"/>
            <w:noWrap w:val="0"/>
            <w:vAlign w:val="center"/>
          </w:tcPr>
          <w:p w14:paraId="3D17EC28">
            <w:pPr>
              <w:pageBreakBefore w:val="0"/>
              <w:widowControl w:val="0"/>
              <w:tabs>
                <w:tab w:val="left" w:pos="5760"/>
              </w:tabs>
              <w:kinsoku/>
              <w:wordWrap/>
              <w:overflowPunct/>
              <w:topLinePunct w:val="0"/>
              <w:autoSpaceDE/>
              <w:autoSpaceDN/>
              <w:bidi w:val="0"/>
              <w:adjustRightInd/>
              <w:snapToGrid/>
              <w:spacing w:line="324" w:lineRule="auto"/>
              <w:textAlignment w:val="auto"/>
              <w:rPr>
                <w:rFonts w:hint="eastAsia" w:ascii="宋体" w:hAnsi="宋体"/>
                <w:sz w:val="21"/>
                <w:szCs w:val="21"/>
                <w:highlight w:val="none"/>
              </w:rPr>
            </w:pPr>
          </w:p>
          <w:p w14:paraId="113CF77A">
            <w:pPr>
              <w:pageBreakBefore w:val="0"/>
              <w:widowControl w:val="0"/>
              <w:tabs>
                <w:tab w:val="left" w:pos="5760"/>
              </w:tabs>
              <w:kinsoku/>
              <w:wordWrap/>
              <w:overflowPunct/>
              <w:topLinePunct w:val="0"/>
              <w:autoSpaceDE/>
              <w:autoSpaceDN/>
              <w:bidi w:val="0"/>
              <w:adjustRightInd/>
              <w:snapToGrid/>
              <w:spacing w:line="324" w:lineRule="auto"/>
              <w:ind w:left="840" w:hanging="735" w:hangingChars="350"/>
              <w:textAlignment w:val="auto"/>
              <w:rPr>
                <w:rFonts w:ascii="宋体" w:hAnsi="宋体" w:cs="Arial"/>
                <w:sz w:val="21"/>
                <w:szCs w:val="21"/>
                <w:highlight w:val="none"/>
              </w:rPr>
            </w:pPr>
            <w:r>
              <w:rPr>
                <w:rFonts w:hint="eastAsia" w:ascii="宋体" w:hAnsi="宋体"/>
                <w:sz w:val="21"/>
                <w:szCs w:val="21"/>
                <w:highlight w:val="none"/>
              </w:rPr>
              <w:t>发  包  人：</w:t>
            </w:r>
            <w:r>
              <w:rPr>
                <w:rFonts w:ascii="宋体" w:hAnsi="宋体"/>
                <w:sz w:val="21"/>
                <w:szCs w:val="21"/>
                <w:highlight w:val="none"/>
                <w:u w:val="single"/>
              </w:rPr>
              <w:t xml:space="preserve">  </w:t>
            </w:r>
            <w:r>
              <w:rPr>
                <w:rFonts w:hint="eastAsia" w:ascii="宋体" w:hAnsi="宋体"/>
                <w:sz w:val="21"/>
                <w:szCs w:val="21"/>
                <w:highlight w:val="none"/>
                <w:u w:val="single"/>
              </w:rPr>
              <w:t xml:space="preserve">           </w:t>
            </w:r>
            <w:r>
              <w:rPr>
                <w:rFonts w:ascii="宋体" w:hAnsi="宋体"/>
                <w:sz w:val="21"/>
                <w:szCs w:val="21"/>
                <w:highlight w:val="none"/>
                <w:u w:val="single"/>
              </w:rPr>
              <w:t xml:space="preserve"> </w:t>
            </w:r>
            <w:r>
              <w:rPr>
                <w:rFonts w:hint="eastAsia" w:ascii="宋体" w:hAnsi="宋体"/>
                <w:sz w:val="21"/>
                <w:szCs w:val="21"/>
                <w:highlight w:val="none"/>
              </w:rPr>
              <w:t>(盖单位章)</w:t>
            </w:r>
          </w:p>
        </w:tc>
        <w:tc>
          <w:tcPr>
            <w:tcW w:w="4463" w:type="dxa"/>
            <w:noWrap w:val="0"/>
            <w:vAlign w:val="center"/>
          </w:tcPr>
          <w:p w14:paraId="47B6CBE2">
            <w:pPr>
              <w:pageBreakBefore w:val="0"/>
              <w:widowControl w:val="0"/>
              <w:tabs>
                <w:tab w:val="left" w:pos="5760"/>
              </w:tabs>
              <w:kinsoku/>
              <w:wordWrap/>
              <w:overflowPunct/>
              <w:topLinePunct w:val="0"/>
              <w:autoSpaceDE/>
              <w:autoSpaceDN/>
              <w:bidi w:val="0"/>
              <w:adjustRightInd/>
              <w:snapToGrid/>
              <w:spacing w:line="324" w:lineRule="auto"/>
              <w:ind w:left="840" w:hanging="735" w:hangingChars="350"/>
              <w:textAlignment w:val="auto"/>
              <w:rPr>
                <w:rFonts w:hint="eastAsia" w:ascii="宋体" w:hAnsi="宋体"/>
                <w:sz w:val="21"/>
                <w:szCs w:val="21"/>
                <w:highlight w:val="none"/>
              </w:rPr>
            </w:pPr>
          </w:p>
          <w:p w14:paraId="7FEE640A">
            <w:pPr>
              <w:pageBreakBefore w:val="0"/>
              <w:widowControl w:val="0"/>
              <w:tabs>
                <w:tab w:val="left" w:pos="5760"/>
              </w:tabs>
              <w:kinsoku/>
              <w:wordWrap/>
              <w:overflowPunct/>
              <w:topLinePunct w:val="0"/>
              <w:autoSpaceDE/>
              <w:autoSpaceDN/>
              <w:bidi w:val="0"/>
              <w:adjustRightInd/>
              <w:snapToGrid/>
              <w:spacing w:line="324" w:lineRule="auto"/>
              <w:ind w:left="840" w:hanging="735" w:hangingChars="350"/>
              <w:textAlignment w:val="auto"/>
              <w:rPr>
                <w:rFonts w:ascii="宋体" w:hAnsi="宋体" w:cs="Arial"/>
                <w:sz w:val="21"/>
                <w:szCs w:val="21"/>
                <w:highlight w:val="none"/>
              </w:rPr>
            </w:pPr>
            <w:r>
              <w:rPr>
                <w:rFonts w:hint="eastAsia" w:ascii="宋体" w:hAnsi="宋体"/>
                <w:sz w:val="21"/>
                <w:szCs w:val="21"/>
                <w:highlight w:val="none"/>
              </w:rPr>
              <w:t>承  包  人：</w:t>
            </w:r>
            <w:r>
              <w:rPr>
                <w:rFonts w:ascii="宋体" w:hAnsi="宋体"/>
                <w:sz w:val="21"/>
                <w:szCs w:val="21"/>
                <w:highlight w:val="none"/>
                <w:u w:val="single"/>
              </w:rPr>
              <w:t xml:space="preserve">  </w:t>
            </w:r>
            <w:r>
              <w:rPr>
                <w:rFonts w:hint="eastAsia" w:ascii="宋体" w:hAnsi="宋体"/>
                <w:sz w:val="21"/>
                <w:szCs w:val="21"/>
                <w:highlight w:val="none"/>
                <w:u w:val="single"/>
              </w:rPr>
              <w:t xml:space="preserve">           </w:t>
            </w:r>
            <w:r>
              <w:rPr>
                <w:rFonts w:hint="eastAsia" w:ascii="宋体" w:hAnsi="宋体"/>
                <w:sz w:val="21"/>
                <w:szCs w:val="21"/>
                <w:highlight w:val="none"/>
              </w:rPr>
              <w:t>(盖单位章)</w:t>
            </w:r>
          </w:p>
        </w:tc>
      </w:tr>
      <w:tr w14:paraId="66232EA7">
        <w:tblPrEx>
          <w:tblCellMar>
            <w:top w:w="0" w:type="dxa"/>
            <w:left w:w="108" w:type="dxa"/>
            <w:bottom w:w="0" w:type="dxa"/>
            <w:right w:w="108" w:type="dxa"/>
          </w:tblCellMar>
        </w:tblPrEx>
        <w:trPr>
          <w:trHeight w:val="573" w:hRule="atLeast"/>
        </w:trPr>
        <w:tc>
          <w:tcPr>
            <w:tcW w:w="4421" w:type="dxa"/>
            <w:noWrap w:val="0"/>
            <w:vAlign w:val="center"/>
          </w:tcPr>
          <w:p w14:paraId="43178996">
            <w:pPr>
              <w:pageBreakBefore w:val="0"/>
              <w:widowControl w:val="0"/>
              <w:tabs>
                <w:tab w:val="left" w:pos="5760"/>
              </w:tabs>
              <w:kinsoku/>
              <w:wordWrap/>
              <w:overflowPunct/>
              <w:topLinePunct w:val="0"/>
              <w:autoSpaceDE/>
              <w:autoSpaceDN/>
              <w:bidi w:val="0"/>
              <w:adjustRightInd/>
              <w:snapToGrid/>
              <w:spacing w:line="324" w:lineRule="auto"/>
              <w:ind w:left="840" w:hanging="735" w:hangingChars="350"/>
              <w:jc w:val="left"/>
              <w:textAlignment w:val="auto"/>
              <w:rPr>
                <w:rFonts w:ascii="宋体" w:hAnsi="宋体"/>
                <w:sz w:val="21"/>
                <w:szCs w:val="21"/>
                <w:highlight w:val="none"/>
              </w:rPr>
            </w:pPr>
            <w:r>
              <w:rPr>
                <w:rFonts w:hint="eastAsia" w:ascii="宋体" w:hAnsi="宋体"/>
                <w:sz w:val="21"/>
                <w:szCs w:val="21"/>
                <w:highlight w:val="none"/>
              </w:rPr>
              <w:t>法定代表人或其委托代理人：</w:t>
            </w:r>
            <w:r>
              <w:rPr>
                <w:rFonts w:hint="eastAsia" w:ascii="宋体" w:hAnsi="宋体"/>
                <w:sz w:val="21"/>
                <w:szCs w:val="21"/>
                <w:highlight w:val="none"/>
                <w:u w:val="single"/>
              </w:rPr>
              <w:t xml:space="preserve"> （签字）                            </w:t>
            </w:r>
          </w:p>
        </w:tc>
        <w:tc>
          <w:tcPr>
            <w:tcW w:w="4463" w:type="dxa"/>
            <w:noWrap w:val="0"/>
            <w:vAlign w:val="center"/>
          </w:tcPr>
          <w:p w14:paraId="7DB1D6E1">
            <w:pPr>
              <w:pageBreakBefore w:val="0"/>
              <w:widowControl w:val="0"/>
              <w:tabs>
                <w:tab w:val="left" w:pos="5760"/>
              </w:tabs>
              <w:kinsoku/>
              <w:wordWrap/>
              <w:overflowPunct/>
              <w:topLinePunct w:val="0"/>
              <w:autoSpaceDE/>
              <w:autoSpaceDN/>
              <w:bidi w:val="0"/>
              <w:adjustRightInd/>
              <w:snapToGrid/>
              <w:spacing w:line="324" w:lineRule="auto"/>
              <w:textAlignment w:val="auto"/>
              <w:rPr>
                <w:rFonts w:ascii="宋体" w:hAnsi="宋体"/>
                <w:sz w:val="21"/>
                <w:szCs w:val="21"/>
                <w:highlight w:val="none"/>
              </w:rPr>
            </w:pPr>
            <w:r>
              <w:rPr>
                <w:rFonts w:hint="eastAsia" w:ascii="宋体" w:hAnsi="宋体"/>
                <w:sz w:val="21"/>
                <w:szCs w:val="21"/>
                <w:highlight w:val="none"/>
              </w:rPr>
              <w:t>法定代表人或其委托代理人：</w:t>
            </w:r>
            <w:r>
              <w:rPr>
                <w:rFonts w:hint="eastAsia" w:ascii="宋体" w:hAnsi="宋体"/>
                <w:sz w:val="21"/>
                <w:szCs w:val="21"/>
                <w:highlight w:val="none"/>
                <w:u w:val="single"/>
              </w:rPr>
              <w:t xml:space="preserve"> （签字）</w:t>
            </w:r>
          </w:p>
        </w:tc>
      </w:tr>
      <w:tr w14:paraId="09EE9151">
        <w:tblPrEx>
          <w:tblCellMar>
            <w:top w:w="0" w:type="dxa"/>
            <w:left w:w="108" w:type="dxa"/>
            <w:bottom w:w="0" w:type="dxa"/>
            <w:right w:w="108" w:type="dxa"/>
          </w:tblCellMar>
        </w:tblPrEx>
        <w:trPr>
          <w:trHeight w:val="319" w:hRule="atLeast"/>
        </w:trPr>
        <w:tc>
          <w:tcPr>
            <w:tcW w:w="4421" w:type="dxa"/>
            <w:noWrap w:val="0"/>
            <w:vAlign w:val="center"/>
          </w:tcPr>
          <w:p w14:paraId="236AABCA">
            <w:pPr>
              <w:pageBreakBefore w:val="0"/>
              <w:widowControl w:val="0"/>
              <w:tabs>
                <w:tab w:val="left" w:pos="5760"/>
              </w:tabs>
              <w:kinsoku/>
              <w:wordWrap/>
              <w:overflowPunct/>
              <w:topLinePunct w:val="0"/>
              <w:autoSpaceDE/>
              <w:autoSpaceDN/>
              <w:bidi w:val="0"/>
              <w:adjustRightInd/>
              <w:snapToGrid/>
              <w:spacing w:line="324" w:lineRule="auto"/>
              <w:ind w:left="840" w:hanging="735" w:hangingChars="350"/>
              <w:textAlignment w:val="auto"/>
              <w:rPr>
                <w:rFonts w:ascii="宋体" w:hAnsi="宋体"/>
                <w:sz w:val="21"/>
                <w:szCs w:val="21"/>
                <w:highlight w:val="none"/>
              </w:rPr>
            </w:pPr>
          </w:p>
        </w:tc>
        <w:tc>
          <w:tcPr>
            <w:tcW w:w="4463" w:type="dxa"/>
            <w:noWrap w:val="0"/>
            <w:vAlign w:val="center"/>
          </w:tcPr>
          <w:p w14:paraId="0DEB9306">
            <w:pPr>
              <w:pageBreakBefore w:val="0"/>
              <w:widowControl w:val="0"/>
              <w:tabs>
                <w:tab w:val="left" w:pos="5760"/>
              </w:tabs>
              <w:kinsoku/>
              <w:wordWrap/>
              <w:overflowPunct/>
              <w:topLinePunct w:val="0"/>
              <w:autoSpaceDE/>
              <w:autoSpaceDN/>
              <w:bidi w:val="0"/>
              <w:adjustRightInd/>
              <w:snapToGrid/>
              <w:spacing w:line="324" w:lineRule="auto"/>
              <w:ind w:left="840" w:hanging="735" w:hangingChars="350"/>
              <w:textAlignment w:val="auto"/>
              <w:rPr>
                <w:rFonts w:ascii="宋体" w:hAnsi="宋体"/>
                <w:sz w:val="21"/>
                <w:szCs w:val="21"/>
                <w:highlight w:val="none"/>
              </w:rPr>
            </w:pPr>
          </w:p>
        </w:tc>
      </w:tr>
      <w:tr w14:paraId="74B003A6">
        <w:tblPrEx>
          <w:tblCellMar>
            <w:top w:w="0" w:type="dxa"/>
            <w:left w:w="108" w:type="dxa"/>
            <w:bottom w:w="0" w:type="dxa"/>
            <w:right w:w="108" w:type="dxa"/>
          </w:tblCellMar>
        </w:tblPrEx>
        <w:trPr>
          <w:trHeight w:val="573" w:hRule="atLeast"/>
        </w:trPr>
        <w:tc>
          <w:tcPr>
            <w:tcW w:w="4421" w:type="dxa"/>
            <w:noWrap w:val="0"/>
            <w:vAlign w:val="center"/>
          </w:tcPr>
          <w:p w14:paraId="5E853BA4">
            <w:pPr>
              <w:pageBreakBefore w:val="0"/>
              <w:widowControl w:val="0"/>
              <w:tabs>
                <w:tab w:val="left" w:pos="5760"/>
              </w:tabs>
              <w:kinsoku/>
              <w:wordWrap/>
              <w:overflowPunct/>
              <w:topLinePunct w:val="0"/>
              <w:autoSpaceDE/>
              <w:autoSpaceDN/>
              <w:bidi w:val="0"/>
              <w:adjustRightInd/>
              <w:snapToGrid/>
              <w:spacing w:line="324" w:lineRule="auto"/>
              <w:ind w:left="840" w:hanging="735" w:hangingChars="350"/>
              <w:textAlignment w:val="auto"/>
              <w:rPr>
                <w:rFonts w:ascii="宋体" w:hAnsi="宋体"/>
                <w:sz w:val="21"/>
                <w:szCs w:val="21"/>
                <w:highlight w:val="none"/>
              </w:rPr>
            </w:pPr>
            <w:r>
              <w:rPr>
                <w:rFonts w:hint="eastAsia" w:ascii="宋体" w:hAnsi="宋体"/>
                <w:sz w:val="21"/>
                <w:szCs w:val="21"/>
                <w:highlight w:val="none"/>
                <w:u w:val="single"/>
              </w:rPr>
              <w:t xml:space="preserve">        </w:t>
            </w:r>
            <w:r>
              <w:rPr>
                <w:rFonts w:ascii="宋体" w:hAnsi="宋体"/>
                <w:sz w:val="21"/>
                <w:szCs w:val="21"/>
                <w:highlight w:val="none"/>
              </w:rPr>
              <w:t>年</w:t>
            </w:r>
            <w:r>
              <w:rPr>
                <w:rFonts w:hint="eastAsia" w:ascii="宋体" w:hAnsi="宋体"/>
                <w:sz w:val="21"/>
                <w:szCs w:val="21"/>
                <w:highlight w:val="none"/>
                <w:u w:val="single"/>
              </w:rPr>
              <w:t xml:space="preserve">     </w:t>
            </w:r>
            <w:r>
              <w:rPr>
                <w:rFonts w:ascii="宋体" w:hAnsi="宋体"/>
                <w:sz w:val="21"/>
                <w:szCs w:val="21"/>
                <w:highlight w:val="none"/>
              </w:rPr>
              <w:t>月</w:t>
            </w:r>
            <w:r>
              <w:rPr>
                <w:rFonts w:hint="eastAsia" w:ascii="宋体" w:hAnsi="宋体"/>
                <w:sz w:val="21"/>
                <w:szCs w:val="21"/>
                <w:highlight w:val="none"/>
                <w:u w:val="single"/>
              </w:rPr>
              <w:t xml:space="preserve">     </w:t>
            </w:r>
            <w:r>
              <w:rPr>
                <w:rFonts w:ascii="宋体" w:hAnsi="宋体"/>
                <w:sz w:val="21"/>
                <w:szCs w:val="21"/>
                <w:highlight w:val="none"/>
              </w:rPr>
              <w:t>日</w:t>
            </w:r>
          </w:p>
        </w:tc>
        <w:tc>
          <w:tcPr>
            <w:tcW w:w="4463" w:type="dxa"/>
            <w:noWrap w:val="0"/>
            <w:vAlign w:val="center"/>
          </w:tcPr>
          <w:p w14:paraId="4AD34720">
            <w:pPr>
              <w:pageBreakBefore w:val="0"/>
              <w:widowControl w:val="0"/>
              <w:tabs>
                <w:tab w:val="left" w:pos="5760"/>
              </w:tabs>
              <w:kinsoku/>
              <w:wordWrap/>
              <w:overflowPunct/>
              <w:topLinePunct w:val="0"/>
              <w:autoSpaceDE/>
              <w:autoSpaceDN/>
              <w:bidi w:val="0"/>
              <w:adjustRightInd/>
              <w:snapToGrid/>
              <w:spacing w:line="324" w:lineRule="auto"/>
              <w:ind w:left="840" w:hanging="735" w:hangingChars="350"/>
              <w:textAlignment w:val="auto"/>
              <w:rPr>
                <w:rFonts w:ascii="宋体" w:hAnsi="宋体"/>
                <w:sz w:val="21"/>
                <w:szCs w:val="21"/>
                <w:highlight w:val="none"/>
              </w:rPr>
            </w:pPr>
            <w:r>
              <w:rPr>
                <w:rFonts w:hint="eastAsia" w:ascii="宋体" w:hAnsi="宋体"/>
                <w:sz w:val="21"/>
                <w:szCs w:val="21"/>
                <w:highlight w:val="none"/>
                <w:u w:val="single"/>
              </w:rPr>
              <w:t xml:space="preserve">        </w:t>
            </w:r>
            <w:r>
              <w:rPr>
                <w:rFonts w:ascii="宋体" w:hAnsi="宋体"/>
                <w:sz w:val="21"/>
                <w:szCs w:val="21"/>
                <w:highlight w:val="none"/>
              </w:rPr>
              <w:t>年</w:t>
            </w:r>
            <w:r>
              <w:rPr>
                <w:rFonts w:hint="eastAsia" w:ascii="宋体" w:hAnsi="宋体"/>
                <w:sz w:val="21"/>
                <w:szCs w:val="21"/>
                <w:highlight w:val="none"/>
                <w:u w:val="single"/>
              </w:rPr>
              <w:t xml:space="preserve">     </w:t>
            </w:r>
            <w:r>
              <w:rPr>
                <w:rFonts w:ascii="宋体" w:hAnsi="宋体"/>
                <w:sz w:val="21"/>
                <w:szCs w:val="21"/>
                <w:highlight w:val="none"/>
              </w:rPr>
              <w:t>月</w:t>
            </w:r>
            <w:r>
              <w:rPr>
                <w:rFonts w:hint="eastAsia" w:ascii="宋体" w:hAnsi="宋体"/>
                <w:sz w:val="21"/>
                <w:szCs w:val="21"/>
                <w:highlight w:val="none"/>
                <w:u w:val="single"/>
              </w:rPr>
              <w:t xml:space="preserve">     </w:t>
            </w:r>
            <w:r>
              <w:rPr>
                <w:rFonts w:ascii="宋体" w:hAnsi="宋体"/>
                <w:sz w:val="21"/>
                <w:szCs w:val="21"/>
                <w:highlight w:val="none"/>
              </w:rPr>
              <w:t>日</w:t>
            </w:r>
          </w:p>
        </w:tc>
      </w:tr>
      <w:tr w14:paraId="4BD8E70B">
        <w:tblPrEx>
          <w:tblCellMar>
            <w:top w:w="0" w:type="dxa"/>
            <w:left w:w="108" w:type="dxa"/>
            <w:bottom w:w="0" w:type="dxa"/>
            <w:right w:w="108" w:type="dxa"/>
          </w:tblCellMar>
        </w:tblPrEx>
        <w:trPr>
          <w:trHeight w:val="297" w:hRule="atLeast"/>
        </w:trPr>
        <w:tc>
          <w:tcPr>
            <w:tcW w:w="4421" w:type="dxa"/>
            <w:noWrap w:val="0"/>
            <w:vAlign w:val="center"/>
          </w:tcPr>
          <w:p w14:paraId="51E94C20">
            <w:pPr>
              <w:pageBreakBefore w:val="0"/>
              <w:widowControl w:val="0"/>
              <w:tabs>
                <w:tab w:val="left" w:pos="5760"/>
              </w:tabs>
              <w:kinsoku/>
              <w:wordWrap/>
              <w:overflowPunct/>
              <w:topLinePunct w:val="0"/>
              <w:autoSpaceDE/>
              <w:autoSpaceDN/>
              <w:bidi w:val="0"/>
              <w:adjustRightInd/>
              <w:snapToGrid/>
              <w:spacing w:line="324" w:lineRule="auto"/>
              <w:textAlignment w:val="auto"/>
              <w:rPr>
                <w:rFonts w:ascii="宋体" w:hAnsi="宋体"/>
                <w:sz w:val="21"/>
                <w:szCs w:val="21"/>
                <w:highlight w:val="none"/>
                <w:u w:val="single"/>
              </w:rPr>
            </w:pPr>
          </w:p>
        </w:tc>
        <w:tc>
          <w:tcPr>
            <w:tcW w:w="4463" w:type="dxa"/>
            <w:noWrap w:val="0"/>
            <w:vAlign w:val="center"/>
          </w:tcPr>
          <w:p w14:paraId="4BAF55A5">
            <w:pPr>
              <w:pageBreakBefore w:val="0"/>
              <w:widowControl w:val="0"/>
              <w:tabs>
                <w:tab w:val="left" w:pos="5760"/>
              </w:tabs>
              <w:kinsoku/>
              <w:wordWrap/>
              <w:overflowPunct/>
              <w:topLinePunct w:val="0"/>
              <w:autoSpaceDE/>
              <w:autoSpaceDN/>
              <w:bidi w:val="0"/>
              <w:adjustRightInd/>
              <w:snapToGrid/>
              <w:spacing w:line="324" w:lineRule="auto"/>
              <w:ind w:left="840" w:hanging="735" w:hangingChars="350"/>
              <w:textAlignment w:val="auto"/>
              <w:rPr>
                <w:rFonts w:ascii="宋体" w:hAnsi="宋体"/>
                <w:sz w:val="21"/>
                <w:szCs w:val="21"/>
                <w:highlight w:val="none"/>
                <w:u w:val="single"/>
              </w:rPr>
            </w:pPr>
          </w:p>
        </w:tc>
      </w:tr>
      <w:tr w14:paraId="4A4FDDD9">
        <w:tblPrEx>
          <w:tblCellMar>
            <w:top w:w="0" w:type="dxa"/>
            <w:left w:w="108" w:type="dxa"/>
            <w:bottom w:w="0" w:type="dxa"/>
            <w:right w:w="108" w:type="dxa"/>
          </w:tblCellMar>
        </w:tblPrEx>
        <w:trPr>
          <w:trHeight w:val="573" w:hRule="atLeast"/>
        </w:trPr>
        <w:tc>
          <w:tcPr>
            <w:tcW w:w="4421" w:type="dxa"/>
            <w:noWrap w:val="0"/>
            <w:vAlign w:val="center"/>
          </w:tcPr>
          <w:p w14:paraId="2314C1B5">
            <w:pPr>
              <w:pageBreakBefore w:val="0"/>
              <w:widowControl w:val="0"/>
              <w:tabs>
                <w:tab w:val="left" w:pos="5760"/>
              </w:tabs>
              <w:kinsoku/>
              <w:wordWrap/>
              <w:overflowPunct/>
              <w:topLinePunct w:val="0"/>
              <w:autoSpaceDE/>
              <w:autoSpaceDN/>
              <w:bidi w:val="0"/>
              <w:adjustRightInd/>
              <w:snapToGrid/>
              <w:spacing w:line="324" w:lineRule="auto"/>
              <w:textAlignment w:val="auto"/>
              <w:rPr>
                <w:rFonts w:ascii="宋体" w:hAnsi="宋体"/>
                <w:sz w:val="21"/>
                <w:szCs w:val="21"/>
                <w:highlight w:val="none"/>
              </w:rPr>
            </w:pPr>
            <w:r>
              <w:rPr>
                <w:rFonts w:hint="eastAsia" w:ascii="宋体" w:hAnsi="宋体"/>
                <w:sz w:val="21"/>
                <w:szCs w:val="21"/>
                <w:highlight w:val="none"/>
              </w:rPr>
              <w:t>发包人监督单位：</w:t>
            </w:r>
            <w:r>
              <w:rPr>
                <w:rFonts w:hint="eastAsia" w:ascii="宋体" w:hAnsi="宋体"/>
                <w:sz w:val="21"/>
                <w:szCs w:val="21"/>
                <w:highlight w:val="none"/>
                <w:u w:val="single"/>
              </w:rPr>
              <w:t>（全称） （盖单位章）</w:t>
            </w:r>
          </w:p>
        </w:tc>
        <w:tc>
          <w:tcPr>
            <w:tcW w:w="4463" w:type="dxa"/>
            <w:noWrap w:val="0"/>
            <w:vAlign w:val="center"/>
          </w:tcPr>
          <w:p w14:paraId="69BA7F83">
            <w:pPr>
              <w:pageBreakBefore w:val="0"/>
              <w:widowControl w:val="0"/>
              <w:tabs>
                <w:tab w:val="left" w:pos="5760"/>
              </w:tabs>
              <w:kinsoku/>
              <w:wordWrap/>
              <w:overflowPunct/>
              <w:topLinePunct w:val="0"/>
              <w:autoSpaceDE/>
              <w:autoSpaceDN/>
              <w:bidi w:val="0"/>
              <w:adjustRightInd/>
              <w:snapToGrid/>
              <w:spacing w:line="324" w:lineRule="auto"/>
              <w:textAlignment w:val="auto"/>
              <w:rPr>
                <w:rFonts w:ascii="宋体" w:hAnsi="宋体"/>
                <w:sz w:val="21"/>
                <w:szCs w:val="21"/>
                <w:highlight w:val="none"/>
              </w:rPr>
            </w:pPr>
            <w:r>
              <w:rPr>
                <w:rFonts w:hint="eastAsia" w:ascii="宋体" w:hAnsi="宋体"/>
                <w:sz w:val="21"/>
                <w:szCs w:val="21"/>
                <w:highlight w:val="none"/>
              </w:rPr>
              <w:t>承包人监督单位：</w:t>
            </w:r>
            <w:r>
              <w:rPr>
                <w:rFonts w:hint="eastAsia" w:ascii="宋体" w:hAnsi="宋体"/>
                <w:sz w:val="21"/>
                <w:szCs w:val="21"/>
                <w:highlight w:val="none"/>
                <w:u w:val="single"/>
              </w:rPr>
              <w:t>（全称） （盖单位章）</w:t>
            </w:r>
          </w:p>
        </w:tc>
      </w:tr>
    </w:tbl>
    <w:p w14:paraId="404FAF20">
      <w:pPr>
        <w:pageBreakBefore w:val="0"/>
        <w:widowControl w:val="0"/>
        <w:kinsoku/>
        <w:wordWrap/>
        <w:overflowPunct/>
        <w:topLinePunct w:val="0"/>
        <w:bidi w:val="0"/>
        <w:snapToGrid/>
        <w:spacing w:line="336" w:lineRule="auto"/>
        <w:textAlignment w:val="auto"/>
        <w:rPr>
          <w:rFonts w:hint="eastAsia" w:ascii="宋体" w:hAnsi="宋体"/>
          <w:b/>
          <w:sz w:val="28"/>
          <w:szCs w:val="28"/>
          <w:highlight w:val="none"/>
        </w:rPr>
      </w:pPr>
    </w:p>
    <w:p w14:paraId="0198AEB7">
      <w:pPr>
        <w:pStyle w:val="3"/>
        <w:pageBreakBefore w:val="0"/>
        <w:widowControl w:val="0"/>
        <w:kinsoku/>
        <w:wordWrap/>
        <w:overflowPunct/>
        <w:topLinePunct w:val="0"/>
        <w:bidi w:val="0"/>
        <w:snapToGrid/>
        <w:spacing w:line="336" w:lineRule="auto"/>
        <w:textAlignment w:val="auto"/>
        <w:rPr>
          <w:rFonts w:hint="eastAsia" w:ascii="宋体" w:hAnsi="宋体"/>
          <w:b/>
          <w:sz w:val="28"/>
          <w:szCs w:val="28"/>
          <w:highlight w:val="none"/>
        </w:rPr>
      </w:pPr>
    </w:p>
    <w:p w14:paraId="386C3A98">
      <w:pPr>
        <w:rPr>
          <w:rFonts w:hint="eastAsia" w:ascii="宋体" w:hAnsi="宋体" w:eastAsia="宋体" w:cs="宋体"/>
          <w:b w:val="0"/>
          <w:bCs w:val="0"/>
          <w:color w:val="000000"/>
          <w:lang w:val="en-US" w:eastAsia="zh-CN"/>
        </w:rPr>
      </w:pPr>
      <w:bookmarkStart w:id="43" w:name="_Toc17769"/>
      <w:r>
        <w:rPr>
          <w:rFonts w:hint="eastAsia" w:ascii="宋体" w:hAnsi="宋体" w:eastAsia="宋体" w:cs="宋体"/>
          <w:b w:val="0"/>
          <w:bCs w:val="0"/>
          <w:color w:val="000000"/>
          <w:lang w:val="en-US" w:eastAsia="zh-CN"/>
        </w:rPr>
        <w:br w:type="page"/>
      </w:r>
    </w:p>
    <w:p w14:paraId="623C586E">
      <w:pPr>
        <w:pStyle w:val="12"/>
        <w:pageBreakBefore w:val="0"/>
        <w:widowControl w:val="0"/>
        <w:kinsoku/>
        <w:wordWrap/>
        <w:overflowPunct/>
        <w:topLinePunct w:val="0"/>
        <w:bidi w:val="0"/>
        <w:snapToGrid/>
        <w:spacing w:line="336" w:lineRule="auto"/>
        <w:textAlignment w:val="auto"/>
        <w:outlineLvl w:val="0"/>
        <w:rPr>
          <w:rFonts w:hint="eastAsia" w:ascii="宋体" w:hAnsi="宋体" w:eastAsia="宋体" w:cs="宋体"/>
          <w:b w:val="0"/>
          <w:bCs w:val="0"/>
          <w:color w:val="000000"/>
          <w:lang w:val="en-US" w:eastAsia="zh-CN"/>
        </w:rPr>
      </w:pPr>
      <w:r>
        <w:rPr>
          <w:rFonts w:hint="eastAsia" w:ascii="宋体" w:hAnsi="宋体" w:eastAsia="宋体" w:cs="宋体"/>
          <w:b w:val="0"/>
          <w:bCs w:val="0"/>
          <w:color w:val="000000"/>
          <w:lang w:val="en-US" w:eastAsia="zh-CN"/>
        </w:rPr>
        <w:t>附件三：</w:t>
      </w:r>
    </w:p>
    <w:bookmarkEnd w:id="43"/>
    <w:p w14:paraId="3E7BD0F5">
      <w:pPr>
        <w:keepNext w:val="0"/>
        <w:keepLines w:val="0"/>
        <w:pageBreakBefore w:val="0"/>
        <w:widowControl w:val="0"/>
        <w:kinsoku/>
        <w:wordWrap/>
        <w:overflowPunct/>
        <w:topLinePunct w:val="0"/>
        <w:bidi w:val="0"/>
        <w:snapToGrid/>
        <w:spacing w:line="324" w:lineRule="auto"/>
        <w:jc w:val="center"/>
        <w:textAlignment w:val="auto"/>
        <w:rPr>
          <w:rFonts w:hint="eastAsia" w:ascii="宋体" w:hAnsi="宋体" w:eastAsia="宋体" w:cs="宋体"/>
          <w:b/>
          <w:bCs/>
          <w:color w:val="000000"/>
          <w:kern w:val="2"/>
          <w:sz w:val="28"/>
          <w:szCs w:val="21"/>
          <w:lang w:val="en-US" w:eastAsia="zh-CN" w:bidi="ar-SA"/>
        </w:rPr>
      </w:pPr>
      <w:r>
        <w:rPr>
          <w:rFonts w:hint="eastAsia" w:ascii="宋体" w:hAnsi="宋体" w:eastAsia="宋体" w:cs="宋体"/>
          <w:b/>
          <w:bCs/>
          <w:color w:val="000000"/>
          <w:kern w:val="2"/>
          <w:sz w:val="28"/>
          <w:szCs w:val="21"/>
          <w:lang w:val="en-US" w:eastAsia="zh-CN" w:bidi="ar-SA"/>
        </w:rPr>
        <w:t>安全文明生产协议书</w:t>
      </w:r>
    </w:p>
    <w:p w14:paraId="501E94EF">
      <w:pPr>
        <w:keepNext w:val="0"/>
        <w:keepLines w:val="0"/>
        <w:pageBreakBefore w:val="0"/>
        <w:widowControl w:val="0"/>
        <w:kinsoku/>
        <w:wordWrap/>
        <w:overflowPunct/>
        <w:topLinePunct w:val="0"/>
        <w:bidi w:val="0"/>
        <w:snapToGrid/>
        <w:spacing w:line="324"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为在</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（项目名称）施工合同的实施过程中创造安全、高效的施工环境，切实搞好本项目的安全管理工作，本项目发包人</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（发包人名称，以下简称“发包人”）与承包人</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（承包人名称，以下简称“承包人”）特此签订安全生产</w:t>
      </w:r>
      <w:r>
        <w:rPr>
          <w:rFonts w:hint="eastAsia" w:ascii="宋体" w:hAnsi="宋体" w:eastAsia="宋体" w:cs="宋体"/>
          <w:sz w:val="21"/>
          <w:szCs w:val="21"/>
          <w:highlight w:val="none"/>
          <w:lang w:val="en-US" w:eastAsia="zh-CN"/>
        </w:rPr>
        <w:t>协议书</w:t>
      </w:r>
      <w:r>
        <w:rPr>
          <w:rFonts w:hint="eastAsia" w:ascii="宋体" w:hAnsi="宋体" w:eastAsia="宋体" w:cs="宋体"/>
          <w:sz w:val="21"/>
          <w:szCs w:val="21"/>
          <w:highlight w:val="none"/>
        </w:rPr>
        <w:t>：</w:t>
      </w:r>
    </w:p>
    <w:p w14:paraId="2E598750">
      <w:pPr>
        <w:keepNext w:val="0"/>
        <w:keepLines w:val="0"/>
        <w:pageBreakBefore w:val="0"/>
        <w:widowControl w:val="0"/>
        <w:kinsoku/>
        <w:wordWrap/>
        <w:overflowPunct/>
        <w:topLinePunct w:val="0"/>
        <w:bidi w:val="0"/>
        <w:snapToGrid/>
        <w:spacing w:line="324" w:lineRule="auto"/>
        <w:ind w:firstLine="420" w:firstLineChars="200"/>
        <w:textAlignment w:val="auto"/>
        <w:outlineLvl w:val="0"/>
        <w:rPr>
          <w:rFonts w:hint="eastAsia" w:ascii="宋体" w:hAnsi="宋体" w:eastAsia="宋体" w:cs="宋体"/>
          <w:sz w:val="21"/>
          <w:szCs w:val="21"/>
          <w:highlight w:val="none"/>
        </w:rPr>
      </w:pPr>
      <w:bookmarkStart w:id="44" w:name="_Toc4333"/>
      <w:r>
        <w:rPr>
          <w:rFonts w:hint="eastAsia" w:ascii="宋体" w:hAnsi="宋体" w:eastAsia="宋体" w:cs="宋体"/>
          <w:sz w:val="21"/>
          <w:szCs w:val="21"/>
          <w:highlight w:val="none"/>
        </w:rPr>
        <w:t>1.发包人职责</w:t>
      </w:r>
      <w:bookmarkEnd w:id="44"/>
    </w:p>
    <w:p w14:paraId="60BD9F45">
      <w:pPr>
        <w:keepNext w:val="0"/>
        <w:keepLines w:val="0"/>
        <w:pageBreakBefore w:val="0"/>
        <w:widowControl w:val="0"/>
        <w:kinsoku/>
        <w:wordWrap/>
        <w:overflowPunct/>
        <w:topLinePunct w:val="0"/>
        <w:bidi w:val="0"/>
        <w:snapToGrid/>
        <w:spacing w:line="324"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（1）严格遵守国家有关安全生产的法律法规，认真执行工程承包合同中的有关安全要求。</w:t>
      </w:r>
    </w:p>
    <w:p w14:paraId="4110F2BF">
      <w:pPr>
        <w:keepNext w:val="0"/>
        <w:keepLines w:val="0"/>
        <w:pageBreakBefore w:val="0"/>
        <w:widowControl w:val="0"/>
        <w:kinsoku/>
        <w:wordWrap/>
        <w:overflowPunct/>
        <w:topLinePunct w:val="0"/>
        <w:bidi w:val="0"/>
        <w:snapToGrid/>
        <w:spacing w:line="324"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（2）按照“安全第一、预防为主”和坚持“管生产必须管安全”的原则进行安全生产管理，做到生产与安全工作同时计划、布置、检查、总结和评比。</w:t>
      </w:r>
    </w:p>
    <w:p w14:paraId="46A6BF7C">
      <w:pPr>
        <w:keepNext w:val="0"/>
        <w:keepLines w:val="0"/>
        <w:pageBreakBefore w:val="0"/>
        <w:widowControl w:val="0"/>
        <w:kinsoku/>
        <w:wordWrap/>
        <w:overflowPunct/>
        <w:topLinePunct w:val="0"/>
        <w:bidi w:val="0"/>
        <w:snapToGrid/>
        <w:spacing w:line="324"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（3）重要的安全设施必须坚持与主体工程“三同时”的原则，即：同时设计、审批，同时施工，同时验收，投入使用。</w:t>
      </w:r>
    </w:p>
    <w:p w14:paraId="70D692FF">
      <w:pPr>
        <w:keepNext w:val="0"/>
        <w:keepLines w:val="0"/>
        <w:pageBreakBefore w:val="0"/>
        <w:widowControl w:val="0"/>
        <w:kinsoku/>
        <w:wordWrap/>
        <w:overflowPunct/>
        <w:topLinePunct w:val="0"/>
        <w:bidi w:val="0"/>
        <w:snapToGrid/>
        <w:spacing w:line="324"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（4）定期召开安全生产调度会，及时传达中央及地方有关安全生产的精神。</w:t>
      </w:r>
    </w:p>
    <w:p w14:paraId="0FEE4EB1">
      <w:pPr>
        <w:keepNext w:val="0"/>
        <w:keepLines w:val="0"/>
        <w:pageBreakBefore w:val="0"/>
        <w:widowControl w:val="0"/>
        <w:kinsoku/>
        <w:wordWrap/>
        <w:overflowPunct/>
        <w:topLinePunct w:val="0"/>
        <w:bidi w:val="0"/>
        <w:snapToGrid/>
        <w:spacing w:line="324"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（5）组织对承包人施工现场安全生产检查，监督承包人及时处理发现的各种安全隐患。</w:t>
      </w:r>
    </w:p>
    <w:p w14:paraId="71CCE61D">
      <w:pPr>
        <w:keepNext w:val="0"/>
        <w:keepLines w:val="0"/>
        <w:pageBreakBefore w:val="0"/>
        <w:widowControl w:val="0"/>
        <w:kinsoku/>
        <w:wordWrap/>
        <w:overflowPunct/>
        <w:topLinePunct w:val="0"/>
        <w:bidi w:val="0"/>
        <w:snapToGrid/>
        <w:spacing w:line="324" w:lineRule="auto"/>
        <w:ind w:firstLine="420" w:firstLineChars="200"/>
        <w:textAlignment w:val="auto"/>
        <w:outlineLvl w:val="0"/>
        <w:rPr>
          <w:rFonts w:hint="eastAsia" w:ascii="宋体" w:hAnsi="宋体" w:eastAsia="宋体" w:cs="宋体"/>
          <w:sz w:val="21"/>
          <w:szCs w:val="21"/>
          <w:highlight w:val="none"/>
        </w:rPr>
      </w:pPr>
      <w:bookmarkStart w:id="45" w:name="_Toc9324"/>
      <w:r>
        <w:rPr>
          <w:rFonts w:hint="eastAsia" w:ascii="宋体" w:hAnsi="宋体" w:eastAsia="宋体" w:cs="宋体"/>
          <w:sz w:val="21"/>
          <w:szCs w:val="21"/>
          <w:highlight w:val="none"/>
        </w:rPr>
        <w:t>2.承包人职责</w:t>
      </w:r>
      <w:bookmarkEnd w:id="45"/>
    </w:p>
    <w:p w14:paraId="2918FEF8">
      <w:pPr>
        <w:keepNext w:val="0"/>
        <w:keepLines w:val="0"/>
        <w:pageBreakBefore w:val="0"/>
        <w:widowControl w:val="0"/>
        <w:kinsoku/>
        <w:wordWrap/>
        <w:overflowPunct/>
        <w:topLinePunct w:val="0"/>
        <w:bidi w:val="0"/>
        <w:snapToGrid/>
        <w:spacing w:line="324"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（1）严格遵守《中华人民共和国安全生产法》、《建设工程安全生产管理条例》等国家有关安全生产的法律法规等有关安全生产的规定。认真执行工程承包合同中的有关安全要求。</w:t>
      </w:r>
    </w:p>
    <w:p w14:paraId="59EA1B27">
      <w:pPr>
        <w:keepNext w:val="0"/>
        <w:keepLines w:val="0"/>
        <w:pageBreakBefore w:val="0"/>
        <w:widowControl w:val="0"/>
        <w:kinsoku/>
        <w:wordWrap/>
        <w:overflowPunct/>
        <w:topLinePunct w:val="0"/>
        <w:bidi w:val="0"/>
        <w:snapToGrid/>
        <w:spacing w:line="324"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合同的各项规定，做到生产与安全工作同时计划、布置、检查、总结和评比。</w:t>
      </w:r>
    </w:p>
    <w:p w14:paraId="33DF6E9B">
      <w:pPr>
        <w:keepNext w:val="0"/>
        <w:keepLines w:val="0"/>
        <w:pageBreakBefore w:val="0"/>
        <w:widowControl w:val="0"/>
        <w:kinsoku/>
        <w:wordWrap/>
        <w:overflowPunct/>
        <w:topLinePunct w:val="0"/>
        <w:bidi w:val="0"/>
        <w:snapToGrid/>
        <w:spacing w:line="324"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建立健全安全生产责任制。从派往项目实施的项目经理到生产工人（包括临时雇请的民工）的安全生产管理系统必须做到纵向到底，—环不漏；各职能部门、人员的安全生产责任制做到横向到边，人人有责。项目经理是安全生产的第一责任人。现场设置的安全机构，应按规定的最低数量和资质条件配备专职安全生产管理人员，专职负责所有员工的安全和治安保卫工作及预防事故的发生。安全机构人员有权按有关规定发布指令，并采取保护性措施防止事故发生。</w:t>
      </w:r>
    </w:p>
    <w:p w14:paraId="307B31FF">
      <w:pPr>
        <w:keepNext w:val="0"/>
        <w:keepLines w:val="0"/>
        <w:pageBreakBefore w:val="0"/>
        <w:widowControl w:val="0"/>
        <w:kinsoku/>
        <w:wordWrap/>
        <w:overflowPunct/>
        <w:topLinePunct w:val="0"/>
        <w:bidi w:val="0"/>
        <w:snapToGrid/>
        <w:spacing w:line="324"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（4）承包人在任何时候都应采取各种合理的预防措施，防止其员工发生任何违法、违禁、暴力或妨碍治安的行为。</w:t>
      </w:r>
    </w:p>
    <w:p w14:paraId="7AB24456">
      <w:pPr>
        <w:keepNext w:val="0"/>
        <w:keepLines w:val="0"/>
        <w:pageBreakBefore w:val="0"/>
        <w:widowControl w:val="0"/>
        <w:kinsoku/>
        <w:wordWrap/>
        <w:overflowPunct/>
        <w:topLinePunct w:val="0"/>
        <w:bidi w:val="0"/>
        <w:snapToGrid/>
        <w:spacing w:line="324"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承包人必须具有劳动安全管理部门颁发的安全生产考核合格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经理必须承担管理责任。</w:t>
      </w:r>
    </w:p>
    <w:p w14:paraId="63DE6EC6">
      <w:pPr>
        <w:keepNext w:val="0"/>
        <w:keepLines w:val="0"/>
        <w:pageBreakBefore w:val="0"/>
        <w:widowControl w:val="0"/>
        <w:kinsoku/>
        <w:wordWrap/>
        <w:overflowPunct/>
        <w:topLinePunct w:val="0"/>
        <w:bidi w:val="0"/>
        <w:snapToGrid/>
        <w:spacing w:line="324"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对于易燃易爆的材料除应专门妥善保管之外，还应配备有足够的消防设施，所有施工人员都应熟悉消防设备的性能和使用方法；承包人不得将任何种类的爆炸物给予、易货或以其他方式转让给任何其他人，或允许、容忍上述同样行为。</w:t>
      </w:r>
    </w:p>
    <w:p w14:paraId="28FD0650">
      <w:pPr>
        <w:keepNext w:val="0"/>
        <w:keepLines w:val="0"/>
        <w:pageBreakBefore w:val="0"/>
        <w:widowControl w:val="0"/>
        <w:kinsoku/>
        <w:wordWrap/>
        <w:overflowPunct/>
        <w:topLinePunct w:val="0"/>
        <w:bidi w:val="0"/>
        <w:snapToGrid/>
        <w:spacing w:line="324"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（7）操作人员上岗，必须按规定穿戴防护用品。施工负责人和安全检查员应随时检查劳动防护用品的穿戴情况，不按规定穿戴防护用品的人员不得上岗。</w:t>
      </w:r>
    </w:p>
    <w:p w14:paraId="0C08D72F">
      <w:pPr>
        <w:keepNext w:val="0"/>
        <w:keepLines w:val="0"/>
        <w:pageBreakBefore w:val="0"/>
        <w:widowControl w:val="0"/>
        <w:kinsoku/>
        <w:wordWrap/>
        <w:overflowPunct/>
        <w:topLinePunct w:val="0"/>
        <w:bidi w:val="0"/>
        <w:snapToGrid/>
        <w:spacing w:line="324"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（8）所有施工机具设备和高空作业的设备均应定期检查，并有安全员的签字记录，保证其经常处于完好状态；不合格的机具、设备和劳动保护用品严禁使用：</w:t>
      </w:r>
    </w:p>
    <w:p w14:paraId="1F621081">
      <w:pPr>
        <w:keepNext w:val="0"/>
        <w:keepLines w:val="0"/>
        <w:pageBreakBefore w:val="0"/>
        <w:widowControl w:val="0"/>
        <w:kinsoku/>
        <w:wordWrap/>
        <w:overflowPunct/>
        <w:topLinePunct w:val="0"/>
        <w:bidi w:val="0"/>
        <w:snapToGrid/>
        <w:spacing w:line="324"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（9）施工中采用新技术、新工艺、新设备、新材料时，必须制定相应的安全技术措施，施工现场必须具有相关的安全标志牌。</w:t>
      </w:r>
    </w:p>
    <w:p w14:paraId="207F4CDD">
      <w:pPr>
        <w:keepNext w:val="0"/>
        <w:keepLines w:val="0"/>
        <w:pageBreakBefore w:val="0"/>
        <w:widowControl w:val="0"/>
        <w:kinsoku/>
        <w:wordWrap/>
        <w:overflowPunct/>
        <w:topLinePunct w:val="0"/>
        <w:bidi w:val="0"/>
        <w:snapToGrid/>
        <w:spacing w:line="324"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10）承包人必须按照本工程项目特点，组织制定本工程实施中的生产安全事故应急救援预案；如果发生安全事故，应按照《国务院关于特大安全事故行政责任追究的规定》以及其他有关规定，及时上报有关部门，并坚持“四不放过”的原则．严肃处理相关责任人。</w:t>
      </w:r>
    </w:p>
    <w:p w14:paraId="03CA815B">
      <w:pPr>
        <w:keepNext w:val="0"/>
        <w:keepLines w:val="0"/>
        <w:pageBreakBefore w:val="0"/>
        <w:widowControl w:val="0"/>
        <w:kinsoku/>
        <w:wordWrap/>
        <w:overflowPunct/>
        <w:topLinePunct w:val="0"/>
        <w:bidi w:val="0"/>
        <w:snapToGrid/>
        <w:spacing w:line="324"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3.违约责任</w:t>
      </w:r>
    </w:p>
    <w:p w14:paraId="00E2A19B">
      <w:pPr>
        <w:keepNext w:val="0"/>
        <w:keepLines w:val="0"/>
        <w:pageBreakBefore w:val="0"/>
        <w:widowControl w:val="0"/>
        <w:kinsoku/>
        <w:wordWrap/>
        <w:overflowPunct/>
        <w:topLinePunct w:val="0"/>
        <w:bidi w:val="0"/>
        <w:snapToGrid/>
        <w:spacing w:line="324"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如因发包人或承包人违约造成安全事故，将依法追究责任。</w:t>
      </w:r>
    </w:p>
    <w:p w14:paraId="2AA0ABB0">
      <w:pPr>
        <w:keepNext w:val="0"/>
        <w:keepLines w:val="0"/>
        <w:pageBreakBefore w:val="0"/>
        <w:widowControl w:val="0"/>
        <w:kinsoku/>
        <w:wordWrap/>
        <w:overflowPunct/>
        <w:topLinePunct w:val="0"/>
        <w:bidi w:val="0"/>
        <w:snapToGrid/>
        <w:spacing w:line="324"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4.本</w:t>
      </w:r>
      <w:r>
        <w:rPr>
          <w:rFonts w:hint="eastAsia" w:ascii="宋体" w:hAnsi="宋体" w:eastAsia="宋体" w:cs="宋体"/>
          <w:sz w:val="21"/>
          <w:szCs w:val="21"/>
          <w:highlight w:val="none"/>
          <w:lang w:val="en-US" w:eastAsia="zh-CN"/>
        </w:rPr>
        <w:t>协议书</w:t>
      </w:r>
      <w:r>
        <w:rPr>
          <w:rFonts w:hint="eastAsia" w:ascii="宋体" w:hAnsi="宋体" w:eastAsia="宋体" w:cs="宋体"/>
          <w:sz w:val="21"/>
          <w:szCs w:val="21"/>
          <w:highlight w:val="none"/>
        </w:rPr>
        <w:t>由双方法定代表人或其授权的代理人签署并加盖单位章后生效，全部工程竣工验收后失效。</w:t>
      </w:r>
    </w:p>
    <w:p w14:paraId="5B4D2EB2">
      <w:pPr>
        <w:keepNext w:val="0"/>
        <w:keepLines w:val="0"/>
        <w:pageBreakBefore w:val="0"/>
        <w:widowControl w:val="0"/>
        <w:kinsoku/>
        <w:wordWrap/>
        <w:overflowPunct/>
        <w:topLinePunct w:val="0"/>
        <w:autoSpaceDE w:val="0"/>
        <w:autoSpaceDN w:val="0"/>
        <w:bidi w:val="0"/>
        <w:adjustRightInd w:val="0"/>
        <w:snapToGrid/>
        <w:spacing w:line="324" w:lineRule="auto"/>
        <w:ind w:left="210" w:leftChars="100" w:firstLine="210" w:firstLineChars="1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5.本合同正本—式二份，副本</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rPr>
        <w:t>份，合同双方各执正本—份，副本</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rPr>
        <w:t>份，当正本与副本的内容不一致时，以正本为准。</w:t>
      </w:r>
    </w:p>
    <w:p w14:paraId="261C5CDF">
      <w:pPr>
        <w:pStyle w:val="3"/>
        <w:rPr>
          <w:rFonts w:hint="eastAsia"/>
        </w:rPr>
      </w:pPr>
    </w:p>
    <w:tbl>
      <w:tblPr>
        <w:tblStyle w:val="9"/>
        <w:tblW w:w="9032" w:type="dxa"/>
        <w:tblInd w:w="0" w:type="dxa"/>
        <w:tblLayout w:type="fixed"/>
        <w:tblCellMar>
          <w:top w:w="0" w:type="dxa"/>
          <w:left w:w="108" w:type="dxa"/>
          <w:bottom w:w="0" w:type="dxa"/>
          <w:right w:w="108" w:type="dxa"/>
        </w:tblCellMar>
      </w:tblPr>
      <w:tblGrid>
        <w:gridCol w:w="4421"/>
        <w:gridCol w:w="4611"/>
      </w:tblGrid>
      <w:tr w14:paraId="4205FD22">
        <w:trPr>
          <w:trHeight w:val="573" w:hRule="atLeast"/>
        </w:trPr>
        <w:tc>
          <w:tcPr>
            <w:tcW w:w="4421" w:type="dxa"/>
            <w:noWrap w:val="0"/>
            <w:vAlign w:val="center"/>
          </w:tcPr>
          <w:p w14:paraId="7D63D7E4">
            <w:pPr>
              <w:keepNext w:val="0"/>
              <w:keepLines w:val="0"/>
              <w:pageBreakBefore w:val="0"/>
              <w:widowControl w:val="0"/>
              <w:tabs>
                <w:tab w:val="left" w:pos="5760"/>
              </w:tabs>
              <w:kinsoku/>
              <w:wordWrap/>
              <w:overflowPunct/>
              <w:topLinePunct w:val="0"/>
              <w:bidi w:val="0"/>
              <w:snapToGrid/>
              <w:spacing w:line="324" w:lineRule="auto"/>
              <w:ind w:left="735" w:leftChars="100" w:hanging="525" w:hangingChars="25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发  包  人：</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(盖单位章)</w:t>
            </w:r>
          </w:p>
        </w:tc>
        <w:tc>
          <w:tcPr>
            <w:tcW w:w="4611" w:type="dxa"/>
            <w:noWrap w:val="0"/>
            <w:vAlign w:val="center"/>
          </w:tcPr>
          <w:p w14:paraId="30AFDD73">
            <w:pPr>
              <w:keepNext w:val="0"/>
              <w:keepLines w:val="0"/>
              <w:pageBreakBefore w:val="0"/>
              <w:widowControl w:val="0"/>
              <w:tabs>
                <w:tab w:val="left" w:pos="5760"/>
              </w:tabs>
              <w:kinsoku/>
              <w:wordWrap/>
              <w:overflowPunct/>
              <w:topLinePunct w:val="0"/>
              <w:bidi w:val="0"/>
              <w:snapToGrid/>
              <w:spacing w:line="324" w:lineRule="auto"/>
              <w:ind w:firstLine="630" w:firstLineChars="3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  包  人：</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(盖单位章)</w:t>
            </w:r>
          </w:p>
        </w:tc>
      </w:tr>
      <w:tr w14:paraId="52214E88">
        <w:tblPrEx>
          <w:tblCellMar>
            <w:top w:w="0" w:type="dxa"/>
            <w:left w:w="108" w:type="dxa"/>
            <w:bottom w:w="0" w:type="dxa"/>
            <w:right w:w="108" w:type="dxa"/>
          </w:tblCellMar>
        </w:tblPrEx>
        <w:trPr>
          <w:trHeight w:val="573" w:hRule="atLeast"/>
        </w:trPr>
        <w:tc>
          <w:tcPr>
            <w:tcW w:w="4421" w:type="dxa"/>
            <w:noWrap w:val="0"/>
            <w:vAlign w:val="center"/>
          </w:tcPr>
          <w:p w14:paraId="2C1233D5">
            <w:pPr>
              <w:keepNext w:val="0"/>
              <w:keepLines w:val="0"/>
              <w:pageBreakBefore w:val="0"/>
              <w:widowControl w:val="0"/>
              <w:tabs>
                <w:tab w:val="left" w:pos="5760"/>
              </w:tabs>
              <w:kinsoku/>
              <w:wordWrap/>
              <w:overflowPunct/>
              <w:topLinePunct w:val="0"/>
              <w:bidi w:val="0"/>
              <w:snapToGrid/>
              <w:spacing w:line="324" w:lineRule="auto"/>
              <w:ind w:left="735" w:leftChars="100" w:hanging="525" w:hangingChars="25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法定代表人或其委托代理人：</w:t>
            </w:r>
            <w:r>
              <w:rPr>
                <w:rFonts w:hint="eastAsia" w:ascii="宋体" w:hAnsi="宋体" w:eastAsia="宋体" w:cs="宋体"/>
                <w:sz w:val="21"/>
                <w:szCs w:val="21"/>
                <w:highlight w:val="none"/>
                <w:u w:val="single"/>
              </w:rPr>
              <w:t xml:space="preserve"> （签字）                            </w:t>
            </w:r>
          </w:p>
        </w:tc>
        <w:tc>
          <w:tcPr>
            <w:tcW w:w="4611" w:type="dxa"/>
            <w:noWrap w:val="0"/>
            <w:vAlign w:val="center"/>
          </w:tcPr>
          <w:p w14:paraId="37CF3825">
            <w:pPr>
              <w:keepNext w:val="0"/>
              <w:keepLines w:val="0"/>
              <w:pageBreakBefore w:val="0"/>
              <w:widowControl w:val="0"/>
              <w:tabs>
                <w:tab w:val="left" w:pos="5760"/>
              </w:tabs>
              <w:kinsoku/>
              <w:wordWrap/>
              <w:overflowPunct/>
              <w:topLinePunct w:val="0"/>
              <w:bidi w:val="0"/>
              <w:snapToGrid/>
              <w:spacing w:line="324" w:lineRule="auto"/>
              <w:ind w:firstLine="630" w:firstLineChars="3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法定代表人或其委托代理人：</w:t>
            </w:r>
            <w:r>
              <w:rPr>
                <w:rFonts w:hint="eastAsia" w:ascii="宋体" w:hAnsi="宋体" w:eastAsia="宋体" w:cs="宋体"/>
                <w:sz w:val="21"/>
                <w:szCs w:val="21"/>
                <w:highlight w:val="none"/>
                <w:u w:val="single"/>
              </w:rPr>
              <w:t xml:space="preserve"> （签字）</w:t>
            </w:r>
          </w:p>
        </w:tc>
      </w:tr>
      <w:tr w14:paraId="2B7B09CB">
        <w:tblPrEx>
          <w:tblCellMar>
            <w:top w:w="0" w:type="dxa"/>
            <w:left w:w="108" w:type="dxa"/>
            <w:bottom w:w="0" w:type="dxa"/>
            <w:right w:w="108" w:type="dxa"/>
          </w:tblCellMar>
        </w:tblPrEx>
        <w:trPr>
          <w:trHeight w:val="677" w:hRule="atLeast"/>
        </w:trPr>
        <w:tc>
          <w:tcPr>
            <w:tcW w:w="4421" w:type="dxa"/>
            <w:noWrap w:val="0"/>
            <w:vAlign w:val="center"/>
          </w:tcPr>
          <w:p w14:paraId="4B7C42F9">
            <w:pPr>
              <w:keepNext w:val="0"/>
              <w:keepLines w:val="0"/>
              <w:pageBreakBefore w:val="0"/>
              <w:widowControl w:val="0"/>
              <w:tabs>
                <w:tab w:val="left" w:pos="5760"/>
              </w:tabs>
              <w:kinsoku/>
              <w:wordWrap/>
              <w:overflowPunct/>
              <w:topLinePunct w:val="0"/>
              <w:bidi w:val="0"/>
              <w:snapToGrid/>
              <w:spacing w:line="324" w:lineRule="auto"/>
              <w:ind w:left="735" w:leftChars="100" w:hanging="525" w:hangingChars="25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日</w:t>
            </w:r>
          </w:p>
        </w:tc>
        <w:tc>
          <w:tcPr>
            <w:tcW w:w="4611" w:type="dxa"/>
            <w:noWrap w:val="0"/>
            <w:vAlign w:val="center"/>
          </w:tcPr>
          <w:p w14:paraId="2DB79DDC">
            <w:pPr>
              <w:keepNext w:val="0"/>
              <w:keepLines w:val="0"/>
              <w:pageBreakBefore w:val="0"/>
              <w:widowControl w:val="0"/>
              <w:tabs>
                <w:tab w:val="left" w:pos="5760"/>
              </w:tabs>
              <w:kinsoku/>
              <w:wordWrap/>
              <w:overflowPunct/>
              <w:topLinePunct w:val="0"/>
              <w:bidi w:val="0"/>
              <w:snapToGrid/>
              <w:spacing w:line="324" w:lineRule="auto"/>
              <w:ind w:firstLine="840" w:firstLineChars="4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日</w:t>
            </w:r>
          </w:p>
        </w:tc>
      </w:tr>
    </w:tbl>
    <w:p w14:paraId="6B4FA86A"/>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multilevel"/>
    <w:tmpl w:val="0000000A"/>
    <w:lvl w:ilvl="0" w:tentative="0">
      <w:start w:val="16"/>
      <w:numFmt w:val="bullet"/>
      <w:lvlText w:val="△"/>
      <w:lvlJc w:val="left"/>
      <w:pPr>
        <w:tabs>
          <w:tab w:val="left" w:pos="780"/>
        </w:tabs>
        <w:ind w:left="780" w:hanging="360"/>
      </w:pPr>
      <w:rPr>
        <w:rFonts w:hint="eastAsia" w:ascii="宋体" w:hAnsi="宋体" w:eastAsia="宋体"/>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1">
    <w:nsid w:val="1B3425E4"/>
    <w:multiLevelType w:val="singleLevel"/>
    <w:tmpl w:val="1B3425E4"/>
    <w:lvl w:ilvl="0" w:tentative="0">
      <w:start w:val="1"/>
      <w:numFmt w:val="decimal"/>
      <w:suff w:val="nothing"/>
      <w:lvlText w:val="（%1）"/>
      <w:lvlJc w:val="left"/>
    </w:lvl>
  </w:abstractNum>
  <w:abstractNum w:abstractNumId="2">
    <w:nsid w:val="38090108"/>
    <w:multiLevelType w:val="multilevel"/>
    <w:tmpl w:val="38090108"/>
    <w:lvl w:ilvl="0" w:tentative="0">
      <w:start w:val="1"/>
      <w:numFmt w:val="decimal"/>
      <w:lvlText w:val="%1."/>
      <w:lvlJc w:val="left"/>
      <w:pPr>
        <w:tabs>
          <w:tab w:val="left" w:pos="425"/>
        </w:tabs>
        <w:ind w:left="425" w:hanging="425"/>
      </w:pPr>
      <w:rPr>
        <w:rFonts w:hint="eastAsia" w:eastAsia="宋体"/>
        <w:b/>
        <w:i w:val="0"/>
        <w:sz w:val="24"/>
        <w:szCs w:val="24"/>
      </w:rPr>
    </w:lvl>
    <w:lvl w:ilvl="1" w:tentative="0">
      <w:start w:val="1"/>
      <w:numFmt w:val="decimal"/>
      <w:lvlText w:val="%1.%2."/>
      <w:lvlJc w:val="left"/>
      <w:pPr>
        <w:tabs>
          <w:tab w:val="left" w:pos="567"/>
        </w:tabs>
        <w:ind w:left="567" w:hanging="567"/>
      </w:pPr>
      <w:rPr>
        <w:rFonts w:hint="eastAsia" w:ascii="宋体" w:hAnsi="宋体" w:eastAsia="宋体"/>
        <w:b/>
        <w:i w:val="0"/>
        <w:color w:val="auto"/>
        <w:sz w:val="24"/>
        <w:szCs w:val="24"/>
        <w:u w:val="none"/>
      </w:rPr>
    </w:lvl>
    <w:lvl w:ilvl="2" w:tentative="0">
      <w:start w:val="1"/>
      <w:numFmt w:val="decimal"/>
      <w:lvlText w:val="%1.%2.%3."/>
      <w:lvlJc w:val="left"/>
      <w:pPr>
        <w:tabs>
          <w:tab w:val="left" w:pos="709"/>
        </w:tabs>
        <w:ind w:left="709" w:hanging="709"/>
      </w:pPr>
      <w:rPr>
        <w:rFonts w:hint="eastAsia" w:ascii="宋体" w:hAnsi="宋体" w:eastAsia="宋体"/>
        <w:caps w:val="0"/>
        <w:strike w:val="0"/>
        <w:dstrike w:val="0"/>
        <w:vanish w:val="0"/>
        <w:vertAlign w:val="baseline"/>
      </w:rPr>
    </w:lvl>
    <w:lvl w:ilvl="3" w:tentative="0">
      <w:start w:val="1"/>
      <w:numFmt w:val="decimal"/>
      <w:pStyle w:val="7"/>
      <w:lvlText w:val="%1.%2.%3.%4."/>
      <w:lvlJc w:val="left"/>
      <w:pPr>
        <w:tabs>
          <w:tab w:val="left" w:pos="851"/>
        </w:tabs>
        <w:ind w:left="851" w:hanging="851"/>
      </w:pPr>
      <w:rPr>
        <w:rFonts w:hint="eastAsia" w:ascii="宋体" w:hAnsi="宋体" w:eastAsia="宋体"/>
        <w:b/>
        <w:sz w:val="24"/>
        <w:szCs w:val="24"/>
      </w:rPr>
    </w:lvl>
    <w:lvl w:ilvl="4" w:tentative="0">
      <w:start w:val="1"/>
      <w:numFmt w:val="decimal"/>
      <w:lvlText w:val="%1.%2.%3.%4.%5."/>
      <w:lvlJc w:val="left"/>
      <w:pPr>
        <w:tabs>
          <w:tab w:val="left" w:pos="992"/>
        </w:tabs>
        <w:ind w:left="992" w:hanging="992"/>
      </w:pPr>
      <w:rPr>
        <w:rFonts w:hint="eastAsia"/>
        <w:b/>
        <w:i w:val="0"/>
        <w:sz w:val="24"/>
        <w:szCs w:val="24"/>
      </w:rPr>
    </w:lvl>
    <w:lvl w:ilvl="5" w:tentative="0">
      <w:start w:val="1"/>
      <w:numFmt w:val="decimal"/>
      <w:lvlText w:val="%1.%2.%3.%4.%5.%6."/>
      <w:lvlJc w:val="left"/>
      <w:pPr>
        <w:tabs>
          <w:tab w:val="left" w:pos="1134"/>
        </w:tabs>
        <w:ind w:left="1134" w:hanging="1134"/>
      </w:pPr>
      <w:rPr>
        <w:rFonts w:hint="eastAsia" w:ascii="宋体" w:hAnsi="宋体" w:eastAsia="宋体"/>
      </w:rPr>
    </w:lvl>
    <w:lvl w:ilvl="6" w:tentative="0">
      <w:start w:val="1"/>
      <w:numFmt w:val="decimal"/>
      <w:lvlText w:val="%1.%2.%3.%4.%5.%6.%7."/>
      <w:lvlJc w:val="left"/>
      <w:pPr>
        <w:tabs>
          <w:tab w:val="left" w:pos="1276"/>
        </w:tabs>
        <w:ind w:left="1276" w:hanging="1276"/>
      </w:pPr>
      <w:rPr>
        <w:rFonts w:hint="eastAsia" w:ascii="宋体" w:hAnsi="宋体" w:eastAsia="宋体"/>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443134"/>
    <w:rsid w:val="01BC03E7"/>
    <w:rsid w:val="05C3315A"/>
    <w:rsid w:val="06B81D84"/>
    <w:rsid w:val="0A7669B7"/>
    <w:rsid w:val="0AA826D6"/>
    <w:rsid w:val="0C863D4E"/>
    <w:rsid w:val="1335208A"/>
    <w:rsid w:val="13443134"/>
    <w:rsid w:val="15395794"/>
    <w:rsid w:val="15D31197"/>
    <w:rsid w:val="21711844"/>
    <w:rsid w:val="22961644"/>
    <w:rsid w:val="2AFF49F8"/>
    <w:rsid w:val="2C613D90"/>
    <w:rsid w:val="2D8D0183"/>
    <w:rsid w:val="36F532E2"/>
    <w:rsid w:val="3837296C"/>
    <w:rsid w:val="39957FE0"/>
    <w:rsid w:val="3AD32E50"/>
    <w:rsid w:val="3AD92F0E"/>
    <w:rsid w:val="3C806C86"/>
    <w:rsid w:val="3F83257B"/>
    <w:rsid w:val="42A3435C"/>
    <w:rsid w:val="42FD3343"/>
    <w:rsid w:val="44BA4038"/>
    <w:rsid w:val="44C350BE"/>
    <w:rsid w:val="494278D1"/>
    <w:rsid w:val="496A386D"/>
    <w:rsid w:val="50F644C2"/>
    <w:rsid w:val="5222311A"/>
    <w:rsid w:val="52612683"/>
    <w:rsid w:val="52A631B4"/>
    <w:rsid w:val="579C1121"/>
    <w:rsid w:val="59266B6D"/>
    <w:rsid w:val="597F2CA8"/>
    <w:rsid w:val="612D1541"/>
    <w:rsid w:val="664E2A2D"/>
    <w:rsid w:val="6BE92110"/>
    <w:rsid w:val="743B4721"/>
    <w:rsid w:val="7539126A"/>
    <w:rsid w:val="7DEB45B9"/>
    <w:rsid w:val="7E9E2E0E"/>
    <w:rsid w:val="7F9B4A3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widowControl/>
      <w:jc w:val="center"/>
      <w:outlineLvl w:val="0"/>
    </w:pPr>
    <w:rPr>
      <w:rFonts w:ascii="宋体" w:hAnsi="宋体" w:eastAsia="宋体" w:cs="Times New Roman"/>
      <w:b/>
      <w:kern w:val="0"/>
      <w:sz w:val="28"/>
      <w:szCs w:val="20"/>
    </w:rPr>
  </w:style>
  <w:style w:type="paragraph" w:styleId="5">
    <w:name w:val="heading 2"/>
    <w:basedOn w:val="1"/>
    <w:next w:val="1"/>
    <w:semiHidden/>
    <w:unhideWhenUsed/>
    <w:qFormat/>
    <w:uiPriority w:val="0"/>
    <w:pPr>
      <w:keepNext/>
      <w:keepLines/>
      <w:spacing w:before="260" w:beforeLines="0" w:beforeAutospacing="0" w:after="260" w:afterLines="0" w:afterAutospacing="0" w:line="413" w:lineRule="auto"/>
      <w:jc w:val="center"/>
      <w:outlineLvl w:val="1"/>
    </w:pPr>
    <w:rPr>
      <w:rFonts w:ascii="Arial" w:hAnsi="Arial" w:eastAsia="黑体" w:cs="Times New Roman"/>
      <w:b/>
      <w:sz w:val="28"/>
    </w:rPr>
  </w:style>
  <w:style w:type="paragraph" w:styleId="6">
    <w:name w:val="heading 3"/>
    <w:basedOn w:val="1"/>
    <w:next w:val="1"/>
    <w:unhideWhenUsed/>
    <w:qFormat/>
    <w:uiPriority w:val="0"/>
    <w:pPr>
      <w:keepNext/>
      <w:keepLines/>
      <w:spacing w:before="260" w:after="260" w:line="416" w:lineRule="auto"/>
      <w:outlineLvl w:val="2"/>
    </w:pPr>
    <w:rPr>
      <w:b/>
      <w:bCs/>
      <w:sz w:val="32"/>
      <w:szCs w:val="32"/>
    </w:rPr>
  </w:style>
  <w:style w:type="paragraph" w:styleId="7">
    <w:name w:val="heading 4"/>
    <w:basedOn w:val="1"/>
    <w:next w:val="1"/>
    <w:qFormat/>
    <w:uiPriority w:val="0"/>
    <w:pPr>
      <w:keepNext/>
      <w:keepLines/>
      <w:numPr>
        <w:ilvl w:val="3"/>
        <w:numId w:val="1"/>
      </w:numPr>
      <w:spacing w:before="280" w:after="290" w:line="376" w:lineRule="auto"/>
      <w:outlineLvl w:val="3"/>
    </w:pPr>
    <w:rPr>
      <w:rFonts w:ascii="Cambria" w:hAnsi="Cambria"/>
      <w:b/>
      <w:bCs/>
      <w:sz w:val="28"/>
      <w:szCs w:val="28"/>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w:basedOn w:val="3"/>
    <w:unhideWhenUsed/>
    <w:qFormat/>
    <w:uiPriority w:val="99"/>
    <w:pPr>
      <w:ind w:firstLine="420" w:firstLineChars="100"/>
    </w:pPr>
    <w:rPr>
      <w:rFonts w:ascii="Calibri" w:hAnsi="Calibri"/>
    </w:rPr>
  </w:style>
  <w:style w:type="paragraph" w:styleId="3">
    <w:name w:val="Body Text"/>
    <w:basedOn w:val="1"/>
    <w:next w:val="1"/>
    <w:qFormat/>
    <w:uiPriority w:val="0"/>
    <w:pPr>
      <w:spacing w:after="120"/>
    </w:pPr>
  </w:style>
  <w:style w:type="paragraph" w:styleId="8">
    <w:name w:val="Title"/>
    <w:basedOn w:val="1"/>
    <w:next w:val="1"/>
    <w:qFormat/>
    <w:uiPriority w:val="0"/>
    <w:pPr>
      <w:spacing w:before="240" w:after="60"/>
      <w:jc w:val="center"/>
      <w:outlineLvl w:val="0"/>
    </w:pPr>
    <w:rPr>
      <w:rFonts w:ascii="等线 Light" w:hAnsi="等线 Light" w:cs="Times New Roman"/>
      <w:b/>
      <w:bCs/>
      <w:sz w:val="32"/>
      <w:szCs w:val="32"/>
    </w:rPr>
  </w:style>
  <w:style w:type="paragraph" w:customStyle="1" w:styleId="11">
    <w:name w:val="null3"/>
    <w:qFormat/>
    <w:uiPriority w:val="0"/>
    <w:rPr>
      <w:rFonts w:hint="eastAsia" w:ascii="Calibri" w:hAnsi="Calibri" w:eastAsia="宋体" w:cs="Times New Roman"/>
      <w:lang w:val="en-US" w:eastAsia="zh-Hans"/>
    </w:rPr>
  </w:style>
  <w:style w:type="paragraph" w:customStyle="1" w:styleId="12">
    <w:name w:val="样式 标题 3 + (中文) 黑体 小四 非加粗 段前: 7.8 磅 段后: 0 磅 行距: 固定值 20 磅"/>
    <w:basedOn w:val="6"/>
    <w:qFormat/>
    <w:uiPriority w:val="0"/>
    <w:pPr>
      <w:spacing w:before="0" w:after="0" w:line="400" w:lineRule="exact"/>
      <w:jc w:val="left"/>
    </w:pPr>
    <w:rPr>
      <w:rFonts w:ascii="宋体" w:hAnsi="宋体" w:eastAsia="黑体" w:cs="宋体"/>
      <w:b w:val="0"/>
      <w:bCs w:val="0"/>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63</Pages>
  <Words>34281</Words>
  <Characters>36749</Characters>
  <Lines>0</Lines>
  <Paragraphs>0</Paragraphs>
  <TotalTime>2</TotalTime>
  <ScaleCrop>false</ScaleCrop>
  <LinksUpToDate>false</LinksUpToDate>
  <CharactersWithSpaces>37703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2026-02-26T03:06:00Z</dcterms:created>
  <dc:creator>常萌</dc:creator>
  <cp:lastModifiedBy>常萌</cp:lastModifiedBy>
  <cp:lastPrinted>2026-04-17T11:39:00Z</cp:lastPrinted>
  <dcterms:modified xsi:type="dcterms:W3CDTF">2026-04-20T08:18:12Z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A43BCF5E582749DBAB4E33300BF10F71_11</vt:lpwstr>
  </property>
  <property fmtid="{D5CDD505-2E9C-101B-9397-08002B2CF9AE}" pid="4" name="KSOTemplateDocerSaveRecord">
    <vt:lpwstr>eyJoZGlkIjoiNjE1YjJiOTg2OTBhZGVjM2FkMWIzNThmNGUyM2E3NDEiLCJ1c2VySWQiOiIxNDQ2MjAzMzU5In0=</vt:lpwstr>
  </property>
</Properties>
</file>