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版本号：ZHZB-2026-3720260423001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2026年长安区中央财政转移支付资金（冬小麦促弱转壮）项目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ZHZB-2026-37</w:t>
      </w:r>
      <w:r>
        <w:br/>
      </w:r>
      <w:r>
        <w:br/>
      </w:r>
      <w:r>
        <w:br/>
      </w:r>
    </w:p>
    <w:p>
      <w:pPr>
        <w:pStyle w:val="null3"/>
        <w:jc w:val="center"/>
        <w:outlineLvl w:val="2"/>
      </w:pPr>
      <w:r>
        <w:rPr>
          <w:rFonts w:ascii="仿宋_GB2312" w:hAnsi="仿宋_GB2312" w:cs="仿宋_GB2312" w:eastAsia="仿宋_GB2312"/>
          <w:sz w:val="28"/>
          <w:b/>
        </w:rPr>
        <w:t>西安市长安区农业技术推广中心</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西安市长安区农业技术推广中心</w:t>
      </w:r>
      <w:r>
        <w:rPr>
          <w:rFonts w:ascii="仿宋_GB2312" w:hAnsi="仿宋_GB2312" w:cs="仿宋_GB2312" w:eastAsia="仿宋_GB2312"/>
        </w:rPr>
        <w:t>委托，拟对</w:t>
      </w:r>
      <w:r>
        <w:rPr>
          <w:rFonts w:ascii="仿宋_GB2312" w:hAnsi="仿宋_GB2312" w:cs="仿宋_GB2312" w:eastAsia="仿宋_GB2312"/>
        </w:rPr>
        <w:t>2026年长安区中央财政转移支付资金（冬小麦促弱转壮）项目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2026年长安区中央财政转移支付资金（冬小麦促弱转壮）项目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本批次中央财政转移支付资金对相关街道开展小麦促弱转壮相关的应急救灾工作予以补助，涉及面积4万亩。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采购包1（2026年长安区中央财政转移支付资金(冬小麦促弱转壮)项目）：属于专门面向中小企业采购。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证明书）：法定代表人直接参加谈判只须提供法定代表人身份证明书（附法定代表人身份证复印件），法定代表人授权代表参加的须出具法定代表人授权委托书（附法定代表人身份证复印件及被授权人身份证复印件）及被授权人本单位的社保证明(谈判截止日前一年内已缴存的任意一个月的社会保障资金凭证)。</w:t>
      </w:r>
    </w:p>
    <w:p>
      <w:pPr>
        <w:pStyle w:val="null3"/>
      </w:pPr>
      <w:r>
        <w:rPr>
          <w:rFonts w:ascii="仿宋_GB2312" w:hAnsi="仿宋_GB2312" w:cs="仿宋_GB2312" w:eastAsia="仿宋_GB2312"/>
        </w:rPr>
        <w:t>2、信用查询：供应商未被“信用中国”网站列入失信被执行人、重大税收违法失信主体名单，未被“中国政府采购网”网站列入政府采购严重违法失信行为记录名单（以采购代理机构或采购人现场查询为准）。</w:t>
      </w:r>
    </w:p>
    <w:p>
      <w:pPr>
        <w:pStyle w:val="null3"/>
      </w:pPr>
      <w:r>
        <w:rPr>
          <w:rFonts w:ascii="仿宋_GB2312" w:hAnsi="仿宋_GB2312" w:cs="仿宋_GB2312" w:eastAsia="仿宋_GB2312"/>
        </w:rPr>
        <w:t>3、资质：供应商为生产厂家的提供所投农药产品合法有效的农药登记证、农药生产许可证、农药产品标准证；供应商为经销商的，须提供农药经营许可证及所投产品生产厂家合法有效的农药登记证、农药生产许可证、农药产品标准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西安市长安区南长安街201A</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029-85622271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王臻、张盼、王阿磊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15502905959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标准收取。户名：众合国际项目管理有限公司 开户行：西安银行股份有限公司高新四路支行 账号：6110 1158 0000 0858 34 注：转账时备注项目名称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西安市长安区农业技术推广中心</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西安市长安区农业技术推广中心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众合国际项目管理有限公司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1.货物验收过程中，采购人对货物进行验收，由于质量、规格不合格或运输等原因所造成的一切费用均由供应商负责。 2.供应商提供货物应满足本采购文件采购需求中的采购清单规格要求，有关国家、行业标准和规范及双方签定的技术协议和合同的规定一起作为货物验收标准。 3.供应商在供货前须书面通知采购人，如供应商所供的货物达不到投标时承诺的要求，采购人可以拒收供应商的货物。 4.供应商将货物交付采购人使用前，须由采购人会同有关专业人员对货物按相关规范要求进行验收。 5.供应商所交的货物品种、型号、规格、技术参数、质量不符合合同规定及采购文件规定标准的，采购人有权拒收该货物，供应商愿意更换货物但逾期交货的，按供应商逾期交货处理。供应商拒绝更换货物的，采购人可单方面解除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联系人：王臻、张盼、王阿磊</w:t>
      </w:r>
    </w:p>
    <w:p>
      <w:pPr>
        <w:pStyle w:val="null3"/>
      </w:pPr>
      <w:r>
        <w:rPr>
          <w:rFonts w:ascii="仿宋_GB2312" w:hAnsi="仿宋_GB2312" w:cs="仿宋_GB2312" w:eastAsia="仿宋_GB2312"/>
        </w:rPr>
        <w:t>联系电话：15502905959</w:t>
      </w:r>
    </w:p>
    <w:p>
      <w:pPr>
        <w:pStyle w:val="null3"/>
      </w:pPr>
      <w:r>
        <w:rPr>
          <w:rFonts w:ascii="仿宋_GB2312" w:hAnsi="仿宋_GB2312" w:cs="仿宋_GB2312" w:eastAsia="仿宋_GB2312"/>
        </w:rPr>
        <w:t>地址：陕西省西安市莲湖区丰登南路3号1幢306室（丰庆公园北门往西200米PM中心三楼）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本批次中央财政转移支付资金对相关街道开展小麦促弱转壮相关的应急救灾工作予以补助，涉及面积4万亩。</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99%磷酸二氢钾及24-表芸苔素内酯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标的名称：99%磷酸二氢钾及24-表芸苔素内酯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一、采购要求</w:t>
            </w:r>
          </w:p>
          <w:p>
            <w:pPr>
              <w:pStyle w:val="null3"/>
            </w:pPr>
            <w:r>
              <w:rPr>
                <w:rFonts w:ascii="仿宋_GB2312" w:hAnsi="仿宋_GB2312" w:cs="仿宋_GB2312" w:eastAsia="仿宋_GB2312"/>
              </w:rPr>
              <w:t>1、</w:t>
            </w:r>
            <w:r>
              <w:rPr>
                <w:rFonts w:ascii="仿宋_GB2312" w:hAnsi="仿宋_GB2312" w:cs="仿宋_GB2312" w:eastAsia="仿宋_GB2312"/>
              </w:rPr>
              <w:t>采购</w:t>
            </w:r>
            <w:r>
              <w:rPr>
                <w:rFonts w:ascii="仿宋_GB2312" w:hAnsi="仿宋_GB2312" w:cs="仿宋_GB2312" w:eastAsia="仿宋_GB2312"/>
              </w:rPr>
              <w:t>99%磷酸二氢钾晶体</w:t>
            </w:r>
            <w:r>
              <w:rPr>
                <w:rFonts w:ascii="仿宋_GB2312" w:hAnsi="仿宋_GB2312" w:cs="仿宋_GB2312" w:eastAsia="仿宋_GB2312"/>
              </w:rPr>
              <w:t>80000袋，</w:t>
            </w:r>
            <w:r>
              <w:rPr>
                <w:rFonts w:ascii="仿宋_GB2312" w:hAnsi="仿宋_GB2312" w:cs="仿宋_GB2312" w:eastAsia="仿宋_GB2312"/>
              </w:rPr>
              <w:t>包装</w:t>
            </w:r>
            <w:r>
              <w:rPr>
                <w:rFonts w:ascii="仿宋_GB2312" w:hAnsi="仿宋_GB2312" w:cs="仿宋_GB2312" w:eastAsia="仿宋_GB2312"/>
              </w:rPr>
              <w:t>规格</w:t>
            </w:r>
            <w:r>
              <w:rPr>
                <w:rFonts w:ascii="仿宋_GB2312" w:hAnsi="仿宋_GB2312" w:cs="仿宋_GB2312" w:eastAsia="仿宋_GB2312"/>
              </w:rPr>
              <w:t>100克/袋，</w:t>
            </w:r>
            <w:r>
              <w:rPr>
                <w:rFonts w:ascii="仿宋_GB2312" w:hAnsi="仿宋_GB2312" w:cs="仿宋_GB2312" w:eastAsia="仿宋_GB2312"/>
              </w:rPr>
              <w:t>执行标准</w:t>
            </w:r>
            <w:r>
              <w:rPr>
                <w:rFonts w:ascii="仿宋_GB2312" w:hAnsi="仿宋_GB2312" w:cs="仿宋_GB2312" w:eastAsia="仿宋_GB2312"/>
              </w:rPr>
              <w:t>HG/T 2321-2016</w:t>
            </w:r>
            <w:r>
              <w:rPr>
                <w:rFonts w:ascii="仿宋_GB2312" w:hAnsi="仿宋_GB2312" w:cs="仿宋_GB2312" w:eastAsia="仿宋_GB2312"/>
              </w:rPr>
              <w:t>。</w:t>
            </w:r>
          </w:p>
          <w:p>
            <w:pPr>
              <w:pStyle w:val="null3"/>
            </w:pPr>
            <w:r>
              <w:rPr>
                <w:rFonts w:ascii="仿宋_GB2312" w:hAnsi="仿宋_GB2312" w:cs="仿宋_GB2312" w:eastAsia="仿宋_GB2312"/>
              </w:rPr>
              <w:t>2、采购0.01%24-表芸苔素内酯可溶液剂</w:t>
            </w:r>
            <w:r>
              <w:rPr>
                <w:rFonts w:ascii="仿宋_GB2312" w:hAnsi="仿宋_GB2312" w:cs="仿宋_GB2312" w:eastAsia="仿宋_GB2312"/>
              </w:rPr>
              <w:t>80000袋</w:t>
            </w:r>
            <w:r>
              <w:rPr>
                <w:rFonts w:ascii="仿宋_GB2312" w:hAnsi="仿宋_GB2312" w:cs="仿宋_GB2312" w:eastAsia="仿宋_GB2312"/>
              </w:rPr>
              <w:t>，包装</w:t>
            </w:r>
            <w:r>
              <w:rPr>
                <w:rFonts w:ascii="仿宋_GB2312" w:hAnsi="仿宋_GB2312" w:cs="仿宋_GB2312" w:eastAsia="仿宋_GB2312"/>
              </w:rPr>
              <w:t>规格</w:t>
            </w:r>
            <w:r>
              <w:rPr>
                <w:rFonts w:ascii="仿宋_GB2312" w:hAnsi="仿宋_GB2312" w:cs="仿宋_GB2312" w:eastAsia="仿宋_GB2312"/>
              </w:rPr>
              <w:t>10毫升/袋</w:t>
            </w:r>
            <w:r>
              <w:rPr>
                <w:rFonts w:ascii="仿宋_GB2312" w:hAnsi="仿宋_GB2312" w:cs="仿宋_GB2312" w:eastAsia="仿宋_GB2312"/>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提供所投产品的质检报告（质检报告时间应在递交响应文件截止之日前</w:t>
            </w:r>
            <w:r>
              <w:rPr>
                <w:rFonts w:ascii="仿宋_GB2312" w:hAnsi="仿宋_GB2312" w:cs="仿宋_GB2312" w:eastAsia="仿宋_GB2312"/>
                <w:sz w:val="21"/>
              </w:rPr>
              <w:t>一</w:t>
            </w:r>
            <w:r>
              <w:rPr>
                <w:rFonts w:ascii="仿宋_GB2312" w:hAnsi="仿宋_GB2312" w:cs="仿宋_GB2312" w:eastAsia="仿宋_GB2312"/>
                <w:sz w:val="21"/>
              </w:rPr>
              <w:t>年之内）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注：本项目核心产品为：磷酸二氢钾</w:t>
            </w:r>
          </w:p>
          <w:p>
            <w:pPr>
              <w:pStyle w:val="null3"/>
            </w:pPr>
            <w:r>
              <w:rPr>
                <w:rFonts w:ascii="仿宋_GB2312" w:hAnsi="仿宋_GB2312" w:cs="仿宋_GB2312" w:eastAsia="仿宋_GB2312"/>
                <w:b/>
              </w:rPr>
              <w:t>二</w:t>
            </w:r>
            <w:r>
              <w:rPr>
                <w:rFonts w:ascii="仿宋_GB2312" w:hAnsi="仿宋_GB2312" w:cs="仿宋_GB2312" w:eastAsia="仿宋_GB2312"/>
                <w:b/>
              </w:rPr>
              <w:t>、</w:t>
            </w:r>
            <w:r>
              <w:rPr>
                <w:rFonts w:ascii="仿宋_GB2312" w:hAnsi="仿宋_GB2312" w:cs="仿宋_GB2312" w:eastAsia="仿宋_GB2312"/>
                <w:b/>
              </w:rPr>
              <w:t>服务要求</w:t>
            </w:r>
          </w:p>
          <w:p>
            <w:pPr>
              <w:pStyle w:val="null3"/>
            </w:pPr>
            <w:r>
              <w:rPr>
                <w:rFonts w:ascii="仿宋_GB2312" w:hAnsi="仿宋_GB2312" w:cs="仿宋_GB2312" w:eastAsia="仿宋_GB2312"/>
              </w:rPr>
              <w:t>1、合同签订后7个日历日内，供应商将中标货物按照甲方要求发放至村组并完成登记造册工作；在小麦生长周期内，负责提供药剂使用的技术指导。</w:t>
            </w:r>
          </w:p>
          <w:p>
            <w:pPr>
              <w:pStyle w:val="null3"/>
            </w:pPr>
            <w:r>
              <w:rPr>
                <w:rFonts w:ascii="仿宋_GB2312" w:hAnsi="仿宋_GB2312" w:cs="仿宋_GB2312" w:eastAsia="仿宋_GB2312"/>
              </w:rPr>
              <w:t>2、供货完成后，供应商需提交货物清单供当场验收；采购人相关人员依据合同约定内容开展验收工作，验收合格后，双方负责人需在验收单上签字确认。</w:t>
            </w:r>
          </w:p>
          <w:p>
            <w:pPr>
              <w:pStyle w:val="null3"/>
            </w:pPr>
            <w:r>
              <w:rPr>
                <w:rFonts w:ascii="仿宋_GB2312" w:hAnsi="仿宋_GB2312" w:cs="仿宋_GB2312" w:eastAsia="仿宋_GB2312"/>
              </w:rPr>
              <w:t>3、供应商应按照合同约定及实际供货情况提交验收资料；采购人须严格依据合同约定执行验收，不得擅自变更验收规则或增设验收条件。</w:t>
            </w:r>
          </w:p>
          <w:p>
            <w:pPr>
              <w:pStyle w:val="null3"/>
            </w:pPr>
            <w:r>
              <w:rPr>
                <w:rFonts w:ascii="仿宋_GB2312" w:hAnsi="仿宋_GB2312" w:cs="仿宋_GB2312" w:eastAsia="仿宋_GB2312"/>
                <w:b/>
              </w:rPr>
              <w:t>三、违约责任</w:t>
            </w:r>
          </w:p>
          <w:p>
            <w:pPr>
              <w:pStyle w:val="null3"/>
            </w:pPr>
            <w:r>
              <w:rPr>
                <w:rFonts w:ascii="仿宋_GB2312" w:hAnsi="仿宋_GB2312" w:cs="仿宋_GB2312" w:eastAsia="仿宋_GB2312"/>
              </w:rPr>
              <w:t>1、按《中华人民共和国民法典》中的相关条款执行。</w:t>
            </w:r>
          </w:p>
          <w:p>
            <w:pPr>
              <w:pStyle w:val="null3"/>
            </w:pPr>
            <w:r>
              <w:rPr>
                <w:rFonts w:ascii="仿宋_GB2312" w:hAnsi="仿宋_GB2312" w:cs="仿宋_GB2312" w:eastAsia="仿宋_GB2312"/>
              </w:rPr>
              <w:t>2、未按合同要求提供产品或质量不能满足技术要求，采购人有权终止合同，并对供应商违约行为进行追究，同时按《中华人民共和国政府采购法》的有关规定进行处罚。</w:t>
            </w:r>
          </w:p>
          <w:p>
            <w:pPr>
              <w:pStyle w:val="null3"/>
            </w:pPr>
            <w:r>
              <w:rPr>
                <w:rFonts w:ascii="仿宋_GB2312" w:hAnsi="仿宋_GB2312" w:cs="仿宋_GB2312" w:eastAsia="仿宋_GB2312"/>
              </w:rPr>
              <w:t>3、若中标方提供的叶面肥及生长调节剂经第三方检验存在质量问题，则须由中标方承担由此产生的相关经济损失。</w:t>
            </w:r>
          </w:p>
          <w:p>
            <w:pPr>
              <w:pStyle w:val="null3"/>
            </w:pPr>
            <w:r>
              <w:rPr>
                <w:rFonts w:ascii="仿宋_GB2312" w:hAnsi="仿宋_GB2312" w:cs="仿宋_GB2312" w:eastAsia="仿宋_GB2312"/>
                <w:b/>
              </w:rPr>
              <w:t>四、验收标准、规范</w:t>
            </w:r>
          </w:p>
          <w:p>
            <w:pPr>
              <w:pStyle w:val="null3"/>
            </w:pPr>
            <w:r>
              <w:rPr>
                <w:rFonts w:ascii="仿宋_GB2312" w:hAnsi="仿宋_GB2312" w:cs="仿宋_GB2312" w:eastAsia="仿宋_GB2312"/>
              </w:rPr>
              <w:t>按现行的国家标准或国家行政部门颁布的法律法规、规章制度及行业标准等。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自合同签订之日起7个日历日全部完成项目内容，并交付采购人验收合格。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项目验收完成后，按照财政资金拨付情况及时支付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 2、验收依据 1）本项目竞争性谈判文件、响应文件； 2）本合同及附件文本； 3）合同签订时国家及行业现行的标准和技术规范。 4）供应商应向采购人提交项目实施过程中的所有资料，以便采购人日后管理。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保修范围：全部采购内容。 保质期：供应商保证所供产品为全新合格产品，符合国家或行业标准。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采购法》第七十三条、《中华人民共和国民法典》第五百七十七条中的相关条款执行。未按合同或采购文件要求提供的产品或服务，质量不能满足采购人技术要求，采购单位有权终止合同，并依法向中标供应商要求经济索赔，并报请政府采购监督管理机关进行相应的行政处罚。中标方提供的叶面肥及生长调节剂经第三方检验出现质量问题需承担相关经济损失。 2、解决争议方法：因履行本合同所发生的或与本合同相关的争议，双方应通过友好协商解决；若协商后30日内未能达成一致解决方案，则可向有管辖权的人民法院提起诉讼，具体详见合同条款。</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1、结果公告发布5日内，成交供应商须提交与电子响应文件一致的一正一副加盖公章的纸质版响应文件送至采购代理机构。 2、如磋商文件中融资相关内容与新政策要求有出入，按照最新要求执行。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1、有效的注册登记证：具有独立承担民事责任能力，提供供应商合法注册的法人（负责人）或其他组织的营业执照等证明文件或自然人的身份证明。 2、财务状况报告：提供具有财务审计资质单位出具的2024年度或2025年度财务报告（成立时间至提交响应文件截止时间不足一年的可提供成立后任意时段的资产负债表），或提交响应文件截止时间前三个月内基本账户开户银行出具的资信证明，（以上两种形式的资料提供任何一种即可）。 3、社会保障资金缴纳证明：提供响应文件截止时间前近一年内已缴存的至少一个月的社会保障资金缴存单据或社保机构开具的社会保险参保缴费情况证明，依法不需要缴纳社会保障资金的单位应提供相关证明材料。 4、税收缴纳证明：提供响应文件递交截止时间前近一年内至少一个月已缴纳的纳税凭据或完税证明；依法免税的供应商应提供相关文件证明。 5、具有履行本合同所必需的设备和专业技术能力的说明及承诺：提供具有履行本合同所必需的设备和专业技术能力的说明及承诺。 6、无重大违法记录声明：参加本次政府采购活动前3年内在经营活动中没有重大违法记录，以及未被列入失信被执行人、重大税收违法案件当事人名单、政府采购严重违法失信行为记录名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法定代表人授权书（或法定代表人证明书）</w:t>
            </w:r>
          </w:p>
        </w:tc>
        <w:tc>
          <w:tcPr>
            <w:tcW w:type="dxa" w:w="3322"/>
          </w:tcPr>
          <w:p>
            <w:pPr>
              <w:pStyle w:val="null3"/>
            </w:pPr>
            <w:r>
              <w:rPr>
                <w:rFonts w:ascii="仿宋_GB2312" w:hAnsi="仿宋_GB2312" w:cs="仿宋_GB2312" w:eastAsia="仿宋_GB2312"/>
              </w:rPr>
              <w:t>法定代表人直接参加谈判只须提供法定代表人身份证明书（附法定代表人身份证复印件），法定代表人授权代表参加的须出具法定代表人授权委托书（附法定代表人身份证复印件及被授权人身份证复印件）及被授权人本单位的社保证明(谈判截止日前一年内已缴存的任意一个月的社会保障资金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供应商未被“信用中国”网站列入失信被执行人、重大税收违法失信主体名单，未被“中国政府采购网”网站列入政府采购严重违法失信行为记录名单（以采购代理机构或采购人现场查询为准）。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为生产厂家的提供所投农药产品合法有效的农药登记证、农药生产许可证、农药产品标准证；供应商为经销商的，须提供农药经营许可证及所投产品生产厂家合法有效的农药登记证、农药生产许可证、农药产品标准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响应文件的签署盖章，响应文件格式，填写均无遗漏，且与所投项目名称、项目编号完全一致。均符合竞争性谈判文件要求。</w:t>
            </w:r>
          </w:p>
        </w:tc>
        <w:tc>
          <w:tcPr>
            <w:tcW w:type="dxa" w:w="1661"/>
          </w:tcPr>
          <w:p>
            <w:pPr>
              <w:pStyle w:val="null3"/>
            </w:pPr>
            <w:r>
              <w:rPr>
                <w:rFonts w:ascii="仿宋_GB2312" w:hAnsi="仿宋_GB2312" w:cs="仿宋_GB2312" w:eastAsia="仿宋_GB2312"/>
              </w:rPr>
              <w:t>供应商参加政府采购活动承诺书.docx 技术方案.docx 关于符合本国产品标准的声明函.docx 中小企业声明函 报价表 商务应答表.docx 资格证明文件.docx 供应商概况.docx 响应文件封面 分项报价表.docx 残疾人福利性单位声明函 标的清单 产品技术参数表.docx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1.响应文件组成无缺漏项。 2.未出现漏项或产品数量与要求不符。</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响应程度审查</w:t>
            </w:r>
          </w:p>
        </w:tc>
        <w:tc>
          <w:tcPr>
            <w:tcW w:type="dxa" w:w="3322"/>
          </w:tcPr>
          <w:p>
            <w:pPr>
              <w:pStyle w:val="null3"/>
            </w:pPr>
            <w:r>
              <w:rPr>
                <w:rFonts w:ascii="仿宋_GB2312" w:hAnsi="仿宋_GB2312" w:cs="仿宋_GB2312" w:eastAsia="仿宋_GB2312"/>
              </w:rPr>
              <w:t>响应报价的响应程度、响应有效期，均符合竞争性谈判要求。</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技术要求、商务要求等响应情况</w:t>
            </w:r>
          </w:p>
        </w:tc>
        <w:tc>
          <w:tcPr>
            <w:tcW w:type="dxa" w:w="3322"/>
          </w:tcPr>
          <w:p>
            <w:pPr>
              <w:pStyle w:val="null3"/>
            </w:pPr>
            <w:r>
              <w:rPr>
                <w:rFonts w:ascii="仿宋_GB2312" w:hAnsi="仿宋_GB2312" w:cs="仿宋_GB2312" w:eastAsia="仿宋_GB2312"/>
              </w:rPr>
              <w:t>全部响应谈判文件要求</w:t>
            </w:r>
          </w:p>
        </w:tc>
        <w:tc>
          <w:tcPr>
            <w:tcW w:type="dxa" w:w="1661"/>
          </w:tcPr>
          <w:p>
            <w:pPr>
              <w:pStyle w:val="null3"/>
            </w:pPr>
            <w:r>
              <w:rPr>
                <w:rFonts w:ascii="仿宋_GB2312" w:hAnsi="仿宋_GB2312" w:cs="仿宋_GB2312" w:eastAsia="仿宋_GB2312"/>
              </w:rPr>
              <w:t>商务应答表.docx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应符合竞争性谈判文件规定的其他实质性要求的</w:t>
            </w:r>
          </w:p>
        </w:tc>
        <w:tc>
          <w:tcPr>
            <w:tcW w:type="dxa" w:w="1661"/>
          </w:tcPr>
          <w:p>
            <w:pPr>
              <w:pStyle w:val="null3"/>
            </w:pPr>
            <w:r>
              <w:rPr>
                <w:rFonts w:ascii="仿宋_GB2312" w:hAnsi="仿宋_GB2312" w:cs="仿宋_GB2312" w:eastAsia="仿宋_GB2312"/>
              </w:rPr>
              <w:t>供应商参加政府采购活动承诺书.docx 技术方案.docx 关于符合本国产品标准的声明函.docx 中小企业声明函 报价表 商务应答表.docx 资格证明文件.docx 供应商概况.docx 响应文件封面 分项报价表.docx 残疾人福利性单位声明函 标的清单 产品技术参数表.docx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详见附件：供应商概况.docx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