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版本号：SNJZ-2026-11420260424001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2026年长安区省级财政农业专项资金（农业防灾减灾支出—促弱转壮）项目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SNJZ-2026-114</w:t>
      </w:r>
      <w:r>
        <w:br/>
      </w:r>
      <w:r>
        <w:br/>
      </w:r>
      <w:r>
        <w:br/>
      </w:r>
    </w:p>
    <w:p>
      <w:pPr>
        <w:pStyle w:val="null3"/>
        <w:jc w:val="center"/>
        <w:outlineLvl w:val="2"/>
      </w:pPr>
      <w:r>
        <w:rPr>
          <w:rFonts w:ascii="仿宋_GB2312" w:hAnsi="仿宋_GB2312" w:cs="仿宋_GB2312" w:eastAsia="仿宋_GB2312"/>
          <w:sz w:val="28"/>
          <w:b/>
        </w:rPr>
        <w:t>西安市长安区农业技术推广中心</w:t>
      </w:r>
    </w:p>
    <w:p>
      <w:pPr>
        <w:pStyle w:val="null3"/>
        <w:jc w:val="center"/>
        <w:outlineLvl w:val="2"/>
      </w:pPr>
      <w:r>
        <w:rPr>
          <w:rFonts w:ascii="仿宋_GB2312" w:hAnsi="仿宋_GB2312" w:cs="仿宋_GB2312" w:eastAsia="仿宋_GB2312"/>
          <w:sz w:val="28"/>
          <w:b/>
        </w:rPr>
        <w:t>陕西教育招标有限责任公司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陕西教育招标有限责任公司</w:t>
      </w:r>
      <w:r>
        <w:rPr>
          <w:rFonts w:ascii="仿宋_GB2312" w:hAnsi="仿宋_GB2312" w:cs="仿宋_GB2312" w:eastAsia="仿宋_GB2312"/>
        </w:rPr>
        <w:t>（以下简称“代理机构”）受</w:t>
      </w:r>
      <w:r>
        <w:rPr>
          <w:rFonts w:ascii="仿宋_GB2312" w:hAnsi="仿宋_GB2312" w:cs="仿宋_GB2312" w:eastAsia="仿宋_GB2312"/>
        </w:rPr>
        <w:t>西安市长安区农业技术推广中心</w:t>
      </w:r>
      <w:r>
        <w:rPr>
          <w:rFonts w:ascii="仿宋_GB2312" w:hAnsi="仿宋_GB2312" w:cs="仿宋_GB2312" w:eastAsia="仿宋_GB2312"/>
        </w:rPr>
        <w:t>委托，拟对</w:t>
      </w:r>
      <w:r>
        <w:rPr>
          <w:rFonts w:ascii="仿宋_GB2312" w:hAnsi="仿宋_GB2312" w:cs="仿宋_GB2312" w:eastAsia="仿宋_GB2312"/>
        </w:rPr>
        <w:t>2026年长安区省级财政农业专项资金（农业防灾减灾支出—促弱转壮）项目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SNJZ-2026-114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2026年长安区省级财政农业专项资金（农业防灾减灾支出—促弱转壮）项目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本批次省级农业专项资金农业防灾减灾支出对相关街道开展小麦、油菜促弱转壮相关的应急救灾工作予以补助。粮油作物促弱转壮面积14.5万亩。</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采购包1（28-高芸苔素内酯可溶液剂采购）：属于专门面向中小企业采购。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法人代表授权书（证明书）：法定代表人参加谈判时，提供法定代表人证明书；授权代表参加谈判时，提供法定代表人、被授权人身份证复印件及被授权人投标截止日前一年内已缴存的至少一个月的社会保障资金凭证；非法人单位参照执行</w:t>
      </w:r>
    </w:p>
    <w:p>
      <w:pPr>
        <w:pStyle w:val="null3"/>
      </w:pPr>
      <w:r>
        <w:rPr>
          <w:rFonts w:ascii="仿宋_GB2312" w:hAnsi="仿宋_GB2312" w:cs="仿宋_GB2312" w:eastAsia="仿宋_GB2312"/>
        </w:rPr>
        <w:t>3、财务状况报告：法人提供经审计的2024或2025年度的财务报告或提交响应文件递交截止时间前一年内银行出具的资信证明；其他组织和自然人提供银行出具的资信证明或财务报表；或政府采购信用担保机构出具的《政府采购投标担保函》。</w:t>
      </w:r>
    </w:p>
    <w:p>
      <w:pPr>
        <w:pStyle w:val="null3"/>
      </w:pPr>
      <w:r>
        <w:rPr>
          <w:rFonts w:ascii="仿宋_GB2312" w:hAnsi="仿宋_GB2312" w:cs="仿宋_GB2312" w:eastAsia="仿宋_GB2312"/>
        </w:rPr>
        <w:t>4、税收缴纳证明：提供响应文件递交截止时间前近一年内至少一个月已缴纳的纳税凭据或完税证明；依法免税的供应商应提供相关文件证明。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响应文件截止时间前近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6、具有履行本合同所必需的设备和专业技术能力：提供具有履行本合同所必需的设备和专业技术能力的承诺书。</w:t>
      </w:r>
    </w:p>
    <w:p>
      <w:pPr>
        <w:pStyle w:val="null3"/>
      </w:pPr>
      <w:r>
        <w:rPr>
          <w:rFonts w:ascii="仿宋_GB2312" w:hAnsi="仿宋_GB2312" w:cs="仿宋_GB2312" w:eastAsia="仿宋_GB2312"/>
        </w:rPr>
        <w:t>7、政府采购活动前三年内在经营活动中没有重大违法记录：提供参加政府采购活动前三年内在经营活动中没有重大违法记录的书面声明。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8、生产厂家直接参与谈判时提供有效的“三证 ”（《农药登记证》、《农药生产许可证》和《农药标准证》）；供应商参与谈判时提供药剂生产厂家有效的“三证 ”（《农药登记证》、《农药生产许可证》和《农药标准证》）和供应商的《农药经营许可证》。：生产厂家直接参与谈判时提供有效的“三证 ”（《农药登记证》、《农药生产许可证》和《农药标准证》）；供应商参与谈判时提供药剂生产厂家有效的“三证 ”（《农药登记证》、《农药生产许可证》和《农药标准证》）和供应商的《农药经营许可证》。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西安市长安区农业技术推广中心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西安市长安区南长安街201A</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西安市长安区农业技术推广中心经办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029-85622271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陕西教育招标有限责任公司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陕西省西安市太白南路181号西部电子社区A座B区401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左建强 程钰 王力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029-88224929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采购包1：362,500.00元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代理服务费收费标准：5438.00元。代理服务费采用现金、电汇或银行转账方式交纳。服务费交纳账户： 开户行：中国光大银行陕西自贸试验区西安唐延路支行 开户名称：陕西教育招标有限责任公司 银行行号：303791000136 开户账号：78580188000058925 财务电话：029-88224928</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西安市长安区农业技术推广中心</w:t>
      </w:r>
      <w:r>
        <w:rPr>
          <w:rFonts w:ascii="仿宋_GB2312" w:hAnsi="仿宋_GB2312" w:cs="仿宋_GB2312" w:eastAsia="仿宋_GB2312"/>
        </w:rPr>
        <w:t>和</w:t>
      </w:r>
      <w:r>
        <w:rPr>
          <w:rFonts w:ascii="仿宋_GB2312" w:hAnsi="仿宋_GB2312" w:cs="仿宋_GB2312" w:eastAsia="仿宋_GB2312"/>
        </w:rPr>
        <w:t>陕西教育招标有限责任公司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西安市长安区农业技术推广中心</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陕西教育招标有限责任公司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西安市长安区农业技术推广中心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陕西教育招标有限责任公司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成交供应商按照采购需求质量标准和合同技术要求将货物送达采购人指定地点后双方进行验收，采购人对货物数量、规格、外观进行核对，同时采购人有权对所供货物抽样进行破拆检验(货物检验及恢复费用由成交供应商完成)，必须满足合同文件具体参数要求，确认无误后出具收货验收单并签字确认，若成交供应商提供货物与响应文件不一致，采购人有权拒绝接收并要求换货，若成交供应商不能在采购人要求的时间内换货至合格，则采购人有权解除合同或另行赔偿； 2.成交供应商交货时，必须同时出具符合国家规定的货物合格证书和说明书。3.验收依据 (1) 合同文本； (2) 国家有关的验收标准及规范； (3) 谈判文件； (4) 响应文件。</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联系人：左建强</w:t>
      </w:r>
    </w:p>
    <w:p>
      <w:pPr>
        <w:pStyle w:val="null3"/>
      </w:pPr>
      <w:r>
        <w:rPr>
          <w:rFonts w:ascii="仿宋_GB2312" w:hAnsi="仿宋_GB2312" w:cs="仿宋_GB2312" w:eastAsia="仿宋_GB2312"/>
        </w:rPr>
        <w:t>联系电话：029-88224929</w:t>
      </w:r>
    </w:p>
    <w:p>
      <w:pPr>
        <w:pStyle w:val="null3"/>
      </w:pPr>
      <w:r>
        <w:rPr>
          <w:rFonts w:ascii="仿宋_GB2312" w:hAnsi="仿宋_GB2312" w:cs="仿宋_GB2312" w:eastAsia="仿宋_GB2312"/>
        </w:rPr>
        <w:t>地址：陕西省西安市太白南路181号西部电子社区A座B区401</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本批次省级农业专项资金农业防灾减灾支出对相关街道开展小麦、油菜促弱转壮相关的应急救灾工作予以补助。粮油作物促弱转壮面积14.5万亩。</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362,500.00</w:t>
      </w:r>
    </w:p>
    <w:p>
      <w:pPr>
        <w:pStyle w:val="null3"/>
      </w:pPr>
      <w:r>
        <w:rPr>
          <w:rFonts w:ascii="仿宋_GB2312" w:hAnsi="仿宋_GB2312" w:cs="仿宋_GB2312" w:eastAsia="仿宋_GB2312"/>
        </w:rPr>
        <w:t>采购包最高限价（元）: 362,500.00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芸苔素</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362,500.00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标的名称：芸苔素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一、</w:t>
            </w:r>
            <w:r>
              <w:rPr>
                <w:rFonts w:ascii="仿宋_GB2312" w:hAnsi="仿宋_GB2312" w:cs="仿宋_GB2312" w:eastAsia="仿宋_GB2312"/>
                <w:sz w:val="21"/>
              </w:rPr>
              <w:t>采购要求</w:t>
            </w:r>
          </w:p>
          <w:p>
            <w:pPr>
              <w:pStyle w:val="null3"/>
              <w:ind w:firstLine="420"/>
              <w:jc w:val="both"/>
            </w:pPr>
            <w:r>
              <w:rPr>
                <w:rFonts w:ascii="仿宋_GB2312" w:hAnsi="仿宋_GB2312" w:cs="仿宋_GB2312" w:eastAsia="仿宋_GB2312"/>
                <w:sz w:val="21"/>
              </w:rPr>
              <w:t>采购</w:t>
            </w:r>
            <w:r>
              <w:rPr>
                <w:rFonts w:ascii="仿宋_GB2312" w:hAnsi="仿宋_GB2312" w:cs="仿宋_GB2312" w:eastAsia="仿宋_GB2312"/>
                <w:sz w:val="21"/>
              </w:rPr>
              <w:t>0.01%</w:t>
            </w:r>
            <w:r>
              <w:rPr>
                <w:rFonts w:ascii="仿宋_GB2312" w:hAnsi="仿宋_GB2312" w:cs="仿宋_GB2312" w:eastAsia="仿宋_GB2312"/>
                <w:sz w:val="21"/>
              </w:rPr>
              <w:t>28-高芸苔素内酯可溶液剂</w:t>
            </w:r>
            <w:r>
              <w:rPr>
                <w:rFonts w:ascii="仿宋_GB2312" w:hAnsi="仿宋_GB2312" w:cs="仿宋_GB2312" w:eastAsia="仿宋_GB2312"/>
                <w:sz w:val="21"/>
              </w:rPr>
              <w:t>145000袋，包装规格</w:t>
            </w:r>
            <w:r>
              <w:rPr>
                <w:rFonts w:ascii="仿宋_GB2312" w:hAnsi="仿宋_GB2312" w:cs="仿宋_GB2312" w:eastAsia="仿宋_GB2312"/>
                <w:sz w:val="21"/>
              </w:rPr>
              <w:t>8毫升/袋</w:t>
            </w:r>
            <w:r>
              <w:rPr>
                <w:rFonts w:ascii="仿宋_GB2312" w:hAnsi="仿宋_GB2312" w:cs="仿宋_GB2312" w:eastAsia="仿宋_GB2312"/>
                <w:sz w:val="21"/>
              </w:rPr>
              <w:t>，</w:t>
            </w:r>
            <w:r>
              <w:rPr>
                <w:rFonts w:ascii="仿宋_GB2312" w:hAnsi="仿宋_GB2312" w:cs="仿宋_GB2312" w:eastAsia="仿宋_GB2312"/>
                <w:sz w:val="21"/>
              </w:rPr>
              <w:t>主要用于小麦、油菜弱苗春季田管所需的生长调节剂补助。</w:t>
            </w:r>
          </w:p>
          <w:p>
            <w:pPr>
              <w:pStyle w:val="null3"/>
              <w:jc w:val="both"/>
            </w:pPr>
            <w:r>
              <w:rPr>
                <w:rFonts w:ascii="仿宋_GB2312" w:hAnsi="仿宋_GB2312" w:cs="仿宋_GB2312" w:eastAsia="仿宋_GB2312"/>
                <w:sz w:val="21"/>
              </w:rPr>
              <w:t>二、</w:t>
            </w:r>
            <w:r>
              <w:rPr>
                <w:rFonts w:ascii="仿宋_GB2312" w:hAnsi="仿宋_GB2312" w:cs="仿宋_GB2312" w:eastAsia="仿宋_GB2312"/>
                <w:sz w:val="21"/>
              </w:rPr>
              <w:t>服务要求</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合同签订后7个日历日内，成交单位将中标货物按照甲方要求发放至村组并完成登记造册工作。成交供应商在货物供货、配送的同时，须同步随货提供所投对应批次农药产品的有效质量检验报告，无质检报告的，采购人有权拒绝收货、不予验收。</w:t>
            </w:r>
          </w:p>
          <w:p>
            <w:pPr>
              <w:pStyle w:val="null3"/>
              <w:ind w:firstLine="420"/>
              <w:jc w:val="both"/>
            </w:pPr>
            <w:r>
              <w:rPr>
                <w:rFonts w:ascii="仿宋_GB2312" w:hAnsi="仿宋_GB2312" w:cs="仿宋_GB2312" w:eastAsia="仿宋_GB2312"/>
                <w:sz w:val="21"/>
              </w:rPr>
              <w:t>2、成交单位按照采购人要求完成项目实施过程资料的收集和整理。</w:t>
            </w:r>
          </w:p>
          <w:p>
            <w:pPr>
              <w:pStyle w:val="null3"/>
              <w:jc w:val="both"/>
            </w:pPr>
            <w:r>
              <w:rPr>
                <w:rFonts w:ascii="仿宋_GB2312" w:hAnsi="仿宋_GB2312" w:cs="仿宋_GB2312" w:eastAsia="仿宋_GB2312"/>
                <w:sz w:val="21"/>
              </w:rPr>
              <w:t>三</w:t>
            </w:r>
            <w:r>
              <w:rPr>
                <w:rFonts w:ascii="仿宋_GB2312" w:hAnsi="仿宋_GB2312" w:cs="仿宋_GB2312" w:eastAsia="仿宋_GB2312"/>
                <w:sz w:val="21"/>
              </w:rPr>
              <w:t>、其他</w:t>
            </w:r>
          </w:p>
          <w:p>
            <w:pPr>
              <w:pStyle w:val="null3"/>
              <w:jc w:val="left"/>
            </w:pPr>
            <w:r>
              <w:rPr>
                <w:rFonts w:ascii="仿宋_GB2312" w:hAnsi="仿宋_GB2312" w:cs="仿宋_GB2312" w:eastAsia="仿宋_GB2312"/>
                <w:sz w:val="21"/>
              </w:rPr>
              <w:t>1、成交单位提供</w:t>
            </w:r>
            <w:r>
              <w:rPr>
                <w:rFonts w:ascii="仿宋_GB2312" w:hAnsi="仿宋_GB2312" w:cs="仿宋_GB2312" w:eastAsia="仿宋_GB2312"/>
                <w:sz w:val="21"/>
              </w:rPr>
              <w:t>28-高芸苔素内酯可溶液剂</w:t>
            </w:r>
            <w:r>
              <w:rPr>
                <w:rFonts w:ascii="仿宋_GB2312" w:hAnsi="仿宋_GB2312" w:cs="仿宋_GB2312" w:eastAsia="仿宋_GB2312"/>
                <w:sz w:val="21"/>
              </w:rPr>
              <w:t>出现质量问题承担相关经济损失</w:t>
            </w:r>
            <w:r>
              <w:rPr>
                <w:rFonts w:ascii="仿宋_GB2312" w:hAnsi="仿宋_GB2312" w:cs="仿宋_GB2312" w:eastAsia="仿宋_GB2312"/>
                <w:sz w:val="21"/>
              </w:rPr>
              <w:t>。</w:t>
            </w:r>
            <w:r>
              <w:rPr>
                <w:rFonts w:ascii="仿宋_GB2312" w:hAnsi="仿宋_GB2312" w:cs="仿宋_GB2312" w:eastAsia="仿宋_GB2312"/>
                <w:sz w:val="21"/>
              </w:rPr>
              <w:t>与采购单位无关</w:t>
            </w:r>
            <w:r>
              <w:rPr>
                <w:rFonts w:ascii="仿宋_GB2312" w:hAnsi="仿宋_GB2312" w:cs="仿宋_GB2312" w:eastAsia="仿宋_GB2312"/>
                <w:sz w:val="21"/>
              </w:rPr>
              <w:t>。</w:t>
            </w:r>
          </w:p>
          <w:p>
            <w:pPr>
              <w:pStyle w:val="null3"/>
            </w:pPr>
            <w:r>
              <w:rPr>
                <w:rFonts w:ascii="仿宋_GB2312" w:hAnsi="仿宋_GB2312" w:cs="仿宋_GB2312" w:eastAsia="仿宋_GB2312"/>
                <w:sz w:val="21"/>
              </w:rPr>
              <w:t>2、成交单位按照采购人要求完成项目实施过程资料的收集和整理</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一、特别说明</w:t>
            </w:r>
          </w:p>
          <w:p>
            <w:pPr>
              <w:pStyle w:val="null3"/>
            </w:pPr>
            <w:r>
              <w:rPr>
                <w:rFonts w:ascii="仿宋_GB2312" w:hAnsi="仿宋_GB2312" w:cs="仿宋_GB2312" w:eastAsia="仿宋_GB2312"/>
                <w:sz w:val="21"/>
              </w:rPr>
              <w:t>1.</w:t>
            </w:r>
            <w:r>
              <w:rPr>
                <w:rFonts w:ascii="仿宋_GB2312" w:hAnsi="仿宋_GB2312" w:cs="仿宋_GB2312" w:eastAsia="仿宋_GB2312"/>
                <w:sz w:val="21"/>
              </w:rPr>
              <w:t>最终评审价格：</w:t>
            </w:r>
            <w:r>
              <w:rPr>
                <w:rFonts w:ascii="仿宋_GB2312" w:hAnsi="仿宋_GB2312" w:cs="仿宋_GB2312" w:eastAsia="仿宋_GB2312"/>
                <w:sz w:val="21"/>
              </w:rPr>
              <w:t>根据《国务院办公厅关于在政府采购中实施本国产品标准及相关政策的通知》的规定，</w:t>
            </w:r>
            <w:r>
              <w:rPr>
                <w:rFonts w:ascii="仿宋_GB2312" w:hAnsi="仿宋_GB2312" w:cs="仿宋_GB2312" w:eastAsia="仿宋_GB2312"/>
                <w:sz w:val="21"/>
              </w:rPr>
              <w:t>政府采购活动中既有本国产品又有非本国产品参与竞争的，依法对本国产品给予价格评审优惠，对本国产品的报价给予</w:t>
            </w:r>
            <w:r>
              <w:rPr>
                <w:rFonts w:ascii="仿宋_GB2312" w:hAnsi="仿宋_GB2312" w:cs="仿宋_GB2312" w:eastAsia="仿宋_GB2312"/>
                <w:sz w:val="21"/>
              </w:rPr>
              <w:t>20%的价格扣除，用扣除后的价格参与评审</w:t>
            </w:r>
            <w:r>
              <w:rPr>
                <w:rFonts w:ascii="仿宋_GB2312" w:hAnsi="仿宋_GB2312" w:cs="仿宋_GB2312" w:eastAsia="仿宋_GB2312"/>
                <w:sz w:val="21"/>
              </w:rPr>
              <w:t>。</w:t>
            </w:r>
            <w:r>
              <w:rPr>
                <w:rFonts w:ascii="仿宋_GB2312" w:hAnsi="仿宋_GB2312" w:cs="仿宋_GB2312" w:eastAsia="仿宋_GB2312"/>
                <w:sz w:val="21"/>
              </w:rPr>
              <w:t>供应商应按照《国务院办公厅关于在政府采购中实施本国产品标准及相关政策的通知》规定提供《关于符合本国产品标准的声明函》，未提供的不视为本国产品，不享受</w:t>
            </w:r>
            <w:r>
              <w:rPr>
                <w:rFonts w:ascii="仿宋_GB2312" w:hAnsi="仿宋_GB2312" w:cs="仿宋_GB2312" w:eastAsia="仿宋_GB2312"/>
                <w:sz w:val="21"/>
              </w:rPr>
              <w:t>价格评审优惠</w:t>
            </w:r>
            <w:r>
              <w:rPr>
                <w:rFonts w:ascii="仿宋_GB2312" w:hAnsi="仿宋_GB2312" w:cs="仿宋_GB2312" w:eastAsia="仿宋_GB2312"/>
                <w:sz w:val="21"/>
              </w:rPr>
              <w:t>。</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自合同签订之日起7个日历日完成全部项目内容，并交付采购人验收合格。</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该项目验收完成后 ，采购人结算，在付款前必须开具等额发票给采购人</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成交供应商按照采购需求质量标准和合同技术要求将货物送达采购人指定地点后双方进行验收，采购人对货物数量、规格、外观进行核对，同时采购人有权对所供货物抽样进行破拆检验(货物检验及恢复费用由成交供应商完成)，必须满足合同文件具体参数要求，确认无误后出具收货验收单并签字确认，若成交供应商提供货物与响应文件不一致，采购人有权拒绝接收并要求换货，若成交供应商不能在采购人要求的时间内换货至合格，则采购人有权解除合同或另行赔偿； 2.成交供应商交货时，必须同时出具符合国家规定的货物合格证书和说明书。3.验收依据 (1) 合同文本； (2) 国家有关的验收标准及规范； (3) 谈判文件； (4) 响应文件。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项目验收完成后一年。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1.款项结算：（1）结算单位：采购人结算，在付款前必须开具等额发票给采购人；（2）付款方式：该项目验收完成后，按照财政资金拨付情况及时支付。 2.最终评审价格：根据《国务院办公厅关于在政府采购中实施本国产品标准及相关政策的通知》的规定，政府采购活动中既有本国产品又有非本国产品参与竞争的，依法对本国产品给予价格评审优惠，对本国产品的报价给予20%的价格扣除，用扣除后的价格参与评审。供应商应按照《国务院办公厅关于在政府采购中实施本国产品标准及相关政策的通知》规定提供《关于符合本国产品标准的声明函》，未提供的不视为本国产品，不享受价格评审优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满足政府采购法第二十二条及特殊资格证明材料.docx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响应文件封面 满足政府采购法第二十二条及特殊资格证明材料.docx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法人代表授权书（证明书）</w:t>
            </w:r>
          </w:p>
        </w:tc>
        <w:tc>
          <w:tcPr>
            <w:tcW w:type="dxa" w:w="3322"/>
          </w:tcPr>
          <w:p>
            <w:pPr>
              <w:pStyle w:val="null3"/>
            </w:pPr>
            <w:r>
              <w:rPr>
                <w:rFonts w:ascii="仿宋_GB2312" w:hAnsi="仿宋_GB2312" w:cs="仿宋_GB2312" w:eastAsia="仿宋_GB2312"/>
              </w:rPr>
              <w:t>法定代表人参加谈判时，提供法定代表人证明书；授权代表参加谈判时，提供法定代表人、被授权人身份证复印件及被授权人投标截止日前一年内已缴存的至少一个月的社会保障资金凭证；非法人单位参照执行</w:t>
            </w:r>
          </w:p>
        </w:tc>
        <w:tc>
          <w:tcPr>
            <w:tcW w:type="dxa" w:w="1661"/>
          </w:tcPr>
          <w:p>
            <w:pPr>
              <w:pStyle w:val="null3"/>
            </w:pPr>
            <w:r>
              <w:rPr>
                <w:rFonts w:ascii="仿宋_GB2312" w:hAnsi="仿宋_GB2312" w:cs="仿宋_GB2312" w:eastAsia="仿宋_GB2312"/>
              </w:rPr>
              <w:t>法定代表人授权书（证明书）.docx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法人提供经审计的2024或2025年度的财务报告或提交响应文件递交截止时间前一年内银行出具的资信证明；其他组织和自然人提供银行出具的资信证明或财务报表；或政府采购信用担保机构出具的《政府采购投标担保函》。</w:t>
            </w:r>
          </w:p>
        </w:tc>
        <w:tc>
          <w:tcPr>
            <w:tcW w:type="dxa" w:w="1661"/>
          </w:tcPr>
          <w:p>
            <w:pPr>
              <w:pStyle w:val="null3"/>
            </w:pPr>
            <w:r>
              <w:rPr>
                <w:rFonts w:ascii="仿宋_GB2312" w:hAnsi="仿宋_GB2312" w:cs="仿宋_GB2312" w:eastAsia="仿宋_GB2312"/>
              </w:rPr>
              <w:t>满足政府采购法第二十二条及特殊资格证明材料.docx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提供响应文件递交截止时间前近一年内至少一个月已缴纳的纳税凭据或完税证明；依法免税的供应商应提供相关文件证明。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满足政府采购法第二十二条及特殊资格证明材料.docx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提供响应文件截止时间前近一年内已缴存的至少一个月的社会保障资金缴存单据或社保机构开具的社会保险参保缴费情况证明，依法不需要缴纳社会保障资金的单位应提供相关证明材料。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满足政府采购法第二十二条及特殊资格证明材料.docx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提供具有履行本合同所必需的设备和专业技术能力的承诺书。</w:t>
            </w:r>
          </w:p>
        </w:tc>
        <w:tc>
          <w:tcPr>
            <w:tcW w:type="dxa" w:w="1661"/>
          </w:tcPr>
          <w:p>
            <w:pPr>
              <w:pStyle w:val="null3"/>
            </w:pPr>
            <w:r>
              <w:rPr>
                <w:rFonts w:ascii="仿宋_GB2312" w:hAnsi="仿宋_GB2312" w:cs="仿宋_GB2312" w:eastAsia="仿宋_GB2312"/>
              </w:rPr>
              <w:t>满足政府采购法第二十二条及特殊资格证明材料.docx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满足政府采购法第二十二条及特殊资格证明材料.docx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生产厂家直接参与谈判时提供有效的“三证 ”（《农药登记证》、《农药生产许可证》和《农药标准证》）；供应商参与谈判时提供药剂生产厂家有效的“三证 ”（《农药登记证》、《农药生产许可证》和《农药标准证》）和供应商的《农药经营许可证》。</w:t>
            </w:r>
          </w:p>
        </w:tc>
        <w:tc>
          <w:tcPr>
            <w:tcW w:type="dxa" w:w="3322"/>
          </w:tcPr>
          <w:p>
            <w:pPr>
              <w:pStyle w:val="null3"/>
            </w:pPr>
            <w:r>
              <w:rPr>
                <w:rFonts w:ascii="仿宋_GB2312" w:hAnsi="仿宋_GB2312" w:cs="仿宋_GB2312" w:eastAsia="仿宋_GB2312"/>
              </w:rPr>
              <w:t>生产厂家直接参与谈判时提供有效的“三证 ”（《农药登记证》、《农药生产许可证》和《农药标准证》）；供应商参与谈判时提供药剂生产厂家有效的“三证 ”（《农药登记证》、《农药生产许可证》和《农药标准证》）和供应商的《农药经营许可证》。</w:t>
            </w:r>
          </w:p>
        </w:tc>
        <w:tc>
          <w:tcPr>
            <w:tcW w:type="dxa" w:w="1661"/>
          </w:tcPr>
          <w:p>
            <w:pPr>
              <w:pStyle w:val="null3"/>
            </w:pPr>
            <w:r>
              <w:rPr>
                <w:rFonts w:ascii="仿宋_GB2312" w:hAnsi="仿宋_GB2312" w:cs="仿宋_GB2312" w:eastAsia="仿宋_GB2312"/>
              </w:rPr>
              <w:t>满足政府采购法第二十二条及特殊资格证明材料.docx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报价不得超过公布的购预算或最高限价</w:t>
            </w:r>
          </w:p>
        </w:tc>
        <w:tc>
          <w:tcPr>
            <w:tcW w:type="dxa" w:w="3322"/>
          </w:tcPr>
          <w:p>
            <w:pPr>
              <w:pStyle w:val="null3"/>
            </w:pPr>
            <w:r>
              <w:rPr>
                <w:rFonts w:ascii="仿宋_GB2312" w:hAnsi="仿宋_GB2312" w:cs="仿宋_GB2312" w:eastAsia="仿宋_GB2312"/>
              </w:rPr>
              <w:t>报价不得超过公布的采购预算或最高限价，否则响应文件作为无效处理。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谈判有效期满足谈判文件要求，否则响应文件作为无效处理。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商务响应情况</w:t>
            </w:r>
          </w:p>
        </w:tc>
        <w:tc>
          <w:tcPr>
            <w:tcW w:type="dxa" w:w="3322"/>
          </w:tcPr>
          <w:p>
            <w:pPr>
              <w:pStyle w:val="null3"/>
            </w:pPr>
            <w:r>
              <w:rPr>
                <w:rFonts w:ascii="仿宋_GB2312" w:hAnsi="仿宋_GB2312" w:cs="仿宋_GB2312" w:eastAsia="仿宋_GB2312"/>
              </w:rPr>
              <w:t>满足谈判文件3.4商务要求，否则响应文件作为无效处理。</w:t>
            </w:r>
          </w:p>
        </w:tc>
        <w:tc>
          <w:tcPr>
            <w:tcW w:type="dxa" w:w="1661"/>
          </w:tcPr>
          <w:p>
            <w:pPr>
              <w:pStyle w:val="null3"/>
            </w:pPr>
            <w:r>
              <w:rPr>
                <w:rFonts w:ascii="仿宋_GB2312" w:hAnsi="仿宋_GB2312" w:cs="仿宋_GB2312" w:eastAsia="仿宋_GB2312"/>
              </w:rPr>
              <w:t>商务条款响应偏离表(1).docx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技术要求响应情况</w:t>
            </w:r>
          </w:p>
        </w:tc>
        <w:tc>
          <w:tcPr>
            <w:tcW w:type="dxa" w:w="3322"/>
          </w:tcPr>
          <w:p>
            <w:pPr>
              <w:pStyle w:val="null3"/>
            </w:pPr>
            <w:r>
              <w:rPr>
                <w:rFonts w:ascii="仿宋_GB2312" w:hAnsi="仿宋_GB2312" w:cs="仿宋_GB2312" w:eastAsia="仿宋_GB2312"/>
              </w:rPr>
              <w:t>满足谈判文件3.3技术要求，否则响应文件作为无效处理。</w:t>
            </w:r>
          </w:p>
        </w:tc>
        <w:tc>
          <w:tcPr>
            <w:tcW w:type="dxa" w:w="1661"/>
          </w:tcPr>
          <w:p>
            <w:pPr>
              <w:pStyle w:val="null3"/>
            </w:pPr>
            <w:r>
              <w:rPr>
                <w:rFonts w:ascii="仿宋_GB2312" w:hAnsi="仿宋_GB2312" w:cs="仿宋_GB2312" w:eastAsia="仿宋_GB2312"/>
              </w:rPr>
              <w:t>响应文件封面 技术规格响应偏离表.docx 投标方案证明材料.docx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拒绝政府采购领域商业贿赂承诺书</w:t>
            </w:r>
          </w:p>
        </w:tc>
        <w:tc>
          <w:tcPr>
            <w:tcW w:type="dxa" w:w="3322"/>
          </w:tcPr>
          <w:p>
            <w:pPr>
              <w:pStyle w:val="null3"/>
            </w:pPr>
            <w:r>
              <w:rPr>
                <w:rFonts w:ascii="仿宋_GB2312" w:hAnsi="仿宋_GB2312" w:cs="仿宋_GB2312" w:eastAsia="仿宋_GB2312"/>
              </w:rPr>
              <w:t>供应商提供拒绝政府采购领域商业贿赂承诺书，否则按响应文件作为无效处理。</w:t>
            </w:r>
          </w:p>
        </w:tc>
        <w:tc>
          <w:tcPr>
            <w:tcW w:type="dxa" w:w="1661"/>
          </w:tcPr>
          <w:p>
            <w:pPr>
              <w:pStyle w:val="null3"/>
            </w:pPr>
            <w:r>
              <w:rPr>
                <w:rFonts w:ascii="仿宋_GB2312" w:hAnsi="仿宋_GB2312" w:cs="仿宋_GB2312" w:eastAsia="仿宋_GB2312"/>
              </w:rPr>
              <w:t>响应文件封面 供应商拒绝政府采购领域商业贿赂承诺书.docx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其他实质性条款</w:t>
            </w:r>
          </w:p>
        </w:tc>
        <w:tc>
          <w:tcPr>
            <w:tcW w:type="dxa" w:w="3322"/>
          </w:tcPr>
          <w:p>
            <w:pPr>
              <w:pStyle w:val="null3"/>
            </w:pPr>
            <w:r>
              <w:rPr>
                <w:rFonts w:ascii="仿宋_GB2312" w:hAnsi="仿宋_GB2312" w:cs="仿宋_GB2312" w:eastAsia="仿宋_GB2312"/>
              </w:rPr>
              <w:t>出现不符合法律、法规和谈判文件中规定的其他实质性要求的情况，响应文件作为无效处理。</w:t>
            </w:r>
          </w:p>
        </w:tc>
        <w:tc>
          <w:tcPr>
            <w:tcW w:type="dxa" w:w="1661"/>
          </w:tcPr>
          <w:p>
            <w:pPr>
              <w:pStyle w:val="null3"/>
            </w:pPr>
            <w:r>
              <w:rPr>
                <w:rFonts w:ascii="仿宋_GB2312" w:hAnsi="仿宋_GB2312" w:cs="仿宋_GB2312" w:eastAsia="仿宋_GB2312"/>
              </w:rPr>
              <w:t>响应文件封面 技术规格响应偏离表.docx 商务条款响应偏离表(1).docx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按照最后报价由低到高的顺序推荐。最后报价相同的，按照技术指标优劣顺序推荐。 最终评审价格：根据《国务院办公厅关于在政府采购中实施本国产品标准及相关政策的通知》的规定，政府采购活动中既有本国产品又有非本国产品参与竞争的，依法对本国产品给予价格评审优惠，对本国产品的报价给予20%的价格扣除，用扣除后的价格参与评审。供应商应按照《国务院办公厅关于在政府采购中实施本国产品标准及相关政策的通知》规定提供《关于符合本国产品标准的声明函》，未提供的不视为本国产品，不享受价格评审优惠。</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详见附件：法定代表人授权书（证明书）.docx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详见附件：供应商拒绝政府采购领域商业贿赂承诺书.docx</w:t>
      </w:r>
    </w:p>
    <w:p>
      <w:pPr>
        <w:pStyle w:val="null3"/>
        <w:ind w:firstLine="960"/>
      </w:pPr>
      <w:r>
        <w:rPr>
          <w:rFonts w:ascii="仿宋_GB2312" w:hAnsi="仿宋_GB2312" w:cs="仿宋_GB2312" w:eastAsia="仿宋_GB2312"/>
        </w:rPr>
        <w:t>详见附件：技术规格响应偏离表.docx</w:t>
      </w:r>
    </w:p>
    <w:p>
      <w:pPr>
        <w:pStyle w:val="null3"/>
        <w:ind w:firstLine="960"/>
      </w:pPr>
      <w:r>
        <w:rPr>
          <w:rFonts w:ascii="仿宋_GB2312" w:hAnsi="仿宋_GB2312" w:cs="仿宋_GB2312" w:eastAsia="仿宋_GB2312"/>
        </w:rPr>
        <w:t>详见附件：满足政府采购法第二十二条及特殊资格证明材料.docx</w:t>
      </w:r>
    </w:p>
    <w:p>
      <w:pPr>
        <w:pStyle w:val="null3"/>
        <w:ind w:firstLine="960"/>
      </w:pPr>
      <w:r>
        <w:rPr>
          <w:rFonts w:ascii="仿宋_GB2312" w:hAnsi="仿宋_GB2312" w:cs="仿宋_GB2312" w:eastAsia="仿宋_GB2312"/>
        </w:rPr>
        <w:t>详见附件：投标方案证明材料.docx</w:t>
      </w:r>
    </w:p>
    <w:p>
      <w:pPr>
        <w:pStyle w:val="null3"/>
        <w:ind w:firstLine="960"/>
      </w:pPr>
      <w:r>
        <w:rPr>
          <w:rFonts w:ascii="仿宋_GB2312" w:hAnsi="仿宋_GB2312" w:cs="仿宋_GB2312" w:eastAsia="仿宋_GB2312"/>
        </w:rPr>
        <w:t>详见附件：商务条款响应偏离表(1).docx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