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版本号：SXZY202604（ZB）-00120260424001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西安市长安区2026年度水质检测项目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SXZY202604（ZB）-001</w:t>
      </w:r>
      <w:r>
        <w:br/>
      </w:r>
      <w:r>
        <w:br/>
      </w:r>
      <w:r>
        <w:br/>
      </w:r>
    </w:p>
    <w:p>
      <w:pPr>
        <w:pStyle w:val="null3"/>
        <w:jc w:val="center"/>
        <w:outlineLvl w:val="2"/>
      </w:pPr>
      <w:r>
        <w:rPr>
          <w:rFonts w:ascii="仿宋_GB2312" w:hAnsi="仿宋_GB2312" w:cs="仿宋_GB2312" w:eastAsia="仿宋_GB2312"/>
          <w:sz w:val="28"/>
          <w:b/>
        </w:rPr>
        <w:t>西安市长安区水务局</w:t>
      </w:r>
    </w:p>
    <w:p>
      <w:pPr>
        <w:pStyle w:val="null3"/>
        <w:jc w:val="center"/>
        <w:outlineLvl w:val="2"/>
      </w:pPr>
      <w:r>
        <w:rPr>
          <w:rFonts w:ascii="仿宋_GB2312" w:hAnsi="仿宋_GB2312" w:cs="仿宋_GB2312" w:eastAsia="仿宋_GB2312"/>
          <w:sz w:val="28"/>
          <w:b/>
        </w:rPr>
        <w:t>正耀项目管理有限公司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正耀项目管理有限公司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西安市长安区水务局</w:t>
      </w:r>
      <w:r>
        <w:rPr>
          <w:rFonts w:ascii="仿宋_GB2312" w:hAnsi="仿宋_GB2312" w:cs="仿宋_GB2312" w:eastAsia="仿宋_GB2312"/>
        </w:rPr>
        <w:t>委托，拟对</w:t>
      </w:r>
      <w:r>
        <w:rPr>
          <w:rFonts w:ascii="仿宋_GB2312" w:hAnsi="仿宋_GB2312" w:cs="仿宋_GB2312" w:eastAsia="仿宋_GB2312"/>
        </w:rPr>
        <w:t>西安市长安区2026年度水质检测项目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SXZY202604（ZB）-001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西安市长安区2026年度水质检测项目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切实保障农村居民饮用水安全，对全区范围内16个街办的410余处农村饮水安全项目进行每年2次的水质检测，全面掌握农村饮水水质状况，确保农村居民饮用水符合国家相关水质标准，及时发现并解决可能存在的水质问题，保障农村居民饮水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采购包1（西安市长安区2026年度水质检测项目）：属于专门面向中小企业采购。</w:t>
      </w:r>
    </w:p>
    <w:p>
      <w:pPr>
        <w:pStyle w:val="null3"/>
      </w:pPr>
      <w:r>
        <w:rPr>
          <w:rFonts w:ascii="仿宋_GB2312" w:hAnsi="仿宋_GB2312" w:cs="仿宋_GB2312" w:eastAsia="仿宋_GB2312"/>
        </w:rPr>
        <w:t>供应商合同分包的，分包意向协议中分包意向供应商应当为中小企业。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要求：在中华人民共和国境内注册，且具有独立承担民事责任能力的法人、其他组织或者自然人。企业法人应提供合法有效的标识有统一社会信用代码的营业执照；其他组织应提供合法登记证明文件；自然人应提供其身份证；</w:t>
      </w:r>
    </w:p>
    <w:p>
      <w:pPr>
        <w:pStyle w:val="null3"/>
      </w:pPr>
      <w:r>
        <w:rPr>
          <w:rFonts w:ascii="仿宋_GB2312" w:hAnsi="仿宋_GB2312" w:cs="仿宋_GB2312" w:eastAsia="仿宋_GB2312"/>
        </w:rPr>
        <w:t>2、供应商授权代表要求：法定代表人直接参加磋商的，须提交《法定代表人身份证明》和身份证电子版。法定代表人授权委托代理人参加磋商的，须提交《法定代表人授权委托书》；</w:t>
      </w:r>
    </w:p>
    <w:p>
      <w:pPr>
        <w:pStyle w:val="null3"/>
      </w:pPr>
      <w:r>
        <w:rPr>
          <w:rFonts w:ascii="仿宋_GB2312" w:hAnsi="仿宋_GB2312" w:cs="仿宋_GB2312" w:eastAsia="仿宋_GB2312"/>
        </w:rPr>
        <w:t>3、供应商信用情况：供应商不得在：“信用中国”网站（https://www.creditchina.gov.cn/）被列入严重失信主体名单及重大税收违法失信主体；中国执行信息公开网（https://zxgk.court.gov.cn/shixin/）被列入失信被执行人；中国政府采购网（https://www.ccgp.gov.cn/）被列入政府采购严重违法失信行为记录名单，否则将拒绝其参与政府采购活动；</w:t>
      </w:r>
    </w:p>
    <w:p>
      <w:pPr>
        <w:pStyle w:val="null3"/>
      </w:pPr>
      <w:r>
        <w:rPr>
          <w:rFonts w:ascii="仿宋_GB2312" w:hAnsi="仿宋_GB2312" w:cs="仿宋_GB2312" w:eastAsia="仿宋_GB2312"/>
        </w:rPr>
        <w:t>4、资质证书：供应商应具有生活饮用水水质检测CMA认证资质，并提供有效的《检验检测机构资质认定证书》及附表。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西安市长安区西长安街87号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崔少岚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029-85292202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正耀项目管理有限公司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陕西省西安市雁塔区锦业路绿地领海A座24层2408号房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屈冬至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18191322079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单位领取成交通知书前，向采购代理机构一次性支付成交服务费。代理服务费收费标准参考《国家计委关于印发&lt;采购代理服务收费管理暂行办法&gt;的通知》（计价格【2002】1980号）及《国家发改委关于降低部分建设项目收费标准规范收费行为等有关问题的通知》（发改价格[2011]534号）规定标准取费的90%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西安市长安区水务局</w:t>
      </w:r>
      <w:r>
        <w:rPr>
          <w:rFonts w:ascii="仿宋_GB2312" w:hAnsi="仿宋_GB2312" w:cs="仿宋_GB2312" w:eastAsia="仿宋_GB2312"/>
        </w:rPr>
        <w:t>和</w:t>
      </w:r>
      <w:r>
        <w:rPr>
          <w:rFonts w:ascii="仿宋_GB2312" w:hAnsi="仿宋_GB2312" w:cs="仿宋_GB2312" w:eastAsia="仿宋_GB2312"/>
        </w:rPr>
        <w:t>正耀项目管理有限公司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正耀项目管理有限公司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正耀项目管理有限公司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采购包1：分包比例11.63%，分包履行的内容：允许将自行无法检测的指标进行分包检测，但不得＞5项；资质要求详见第4章；资质要求详见第4章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检测服务按照合同约定在规定期限内完成并达到预期目标；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正耀项目管理有限公司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正耀项目管理有限公司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正耀项目管理有限公司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联系人：屈冬至</w:t>
      </w:r>
    </w:p>
    <w:p>
      <w:pPr>
        <w:pStyle w:val="null3"/>
      </w:pPr>
      <w:r>
        <w:rPr>
          <w:rFonts w:ascii="仿宋_GB2312" w:hAnsi="仿宋_GB2312" w:cs="仿宋_GB2312" w:eastAsia="仿宋_GB2312"/>
        </w:rPr>
        <w:t>联系电话：18191322079</w:t>
      </w:r>
    </w:p>
    <w:p>
      <w:pPr>
        <w:pStyle w:val="null3"/>
      </w:pPr>
      <w:r>
        <w:rPr>
          <w:rFonts w:ascii="仿宋_GB2312" w:hAnsi="仿宋_GB2312" w:cs="仿宋_GB2312" w:eastAsia="仿宋_GB2312"/>
        </w:rPr>
        <w:t>地址：陕西省西安市雁塔区丈八街道绿地领海大厦A座2408室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切实保障农村居民饮用水安全，对全区范围内16个街办的410余处农村饮水安全项目进行每年2次的水质检测，全面掌握农村饮水水质状况，确保农村居民饮用水符合国家相关水质标准，及时发现并解决可能存在的水质问题，保障农村居民饮水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1,280,000.00</w:t>
      </w:r>
    </w:p>
    <w:p>
      <w:pPr>
        <w:pStyle w:val="null3"/>
      </w:pPr>
      <w:r>
        <w:rPr>
          <w:rFonts w:ascii="仿宋_GB2312" w:hAnsi="仿宋_GB2312" w:cs="仿宋_GB2312" w:eastAsia="仿宋_GB2312"/>
        </w:rPr>
        <w:t>采购包最高限价（元）: 1,280,000.00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西安市长安区2026年度水质检测项目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标的名称：西安市长安区2026年度水质检测项目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允许将自行无法检测的指标进行分包检测，但不得＞</w:t>
            </w:r>
            <w:r>
              <w:rPr>
                <w:rFonts w:ascii="仿宋_GB2312" w:hAnsi="仿宋_GB2312" w:cs="仿宋_GB2312" w:eastAsia="仿宋_GB2312"/>
                <w:sz w:val="21"/>
              </w:rPr>
              <w:t>5</w:t>
            </w:r>
            <w:r>
              <w:rPr>
                <w:rFonts w:ascii="仿宋_GB2312" w:hAnsi="仿宋_GB2312" w:cs="仿宋_GB2312" w:eastAsia="仿宋_GB2312"/>
                <w:sz w:val="21"/>
              </w:rPr>
              <w:t>项，且供应商（含分包单位检测部分）检测能力必须完全满足本项目</w:t>
            </w:r>
            <w:r>
              <w:rPr>
                <w:rFonts w:ascii="仿宋_GB2312" w:hAnsi="仿宋_GB2312" w:cs="仿宋_GB2312" w:eastAsia="仿宋_GB2312"/>
                <w:sz w:val="21"/>
              </w:rPr>
              <w:t>43</w:t>
            </w:r>
            <w:r>
              <w:rPr>
                <w:rFonts w:ascii="仿宋_GB2312" w:hAnsi="仿宋_GB2312" w:cs="仿宋_GB2312" w:eastAsia="仿宋_GB2312"/>
                <w:sz w:val="21"/>
              </w:rPr>
              <w:t>项检测内容，检验方法以《生活饮用水标准检验方法》（</w:t>
            </w:r>
            <w:r>
              <w:rPr>
                <w:rFonts w:ascii="仿宋_GB2312" w:hAnsi="仿宋_GB2312" w:cs="仿宋_GB2312" w:eastAsia="仿宋_GB2312"/>
                <w:sz w:val="21"/>
              </w:rPr>
              <w:t>GB5750-2023</w:t>
            </w:r>
            <w:r>
              <w:rPr>
                <w:rFonts w:ascii="仿宋_GB2312" w:hAnsi="仿宋_GB2312" w:cs="仿宋_GB2312" w:eastAsia="仿宋_GB2312"/>
                <w:sz w:val="21"/>
              </w:rPr>
              <w:t>）标准为准，否则其响应文件无效。</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）微生物指标（</w:t>
            </w:r>
            <w:r>
              <w:rPr>
                <w:rFonts w:ascii="仿宋_GB2312" w:hAnsi="仿宋_GB2312" w:cs="仿宋_GB2312" w:eastAsia="仿宋_GB2312"/>
              </w:rPr>
              <w:t>3</w:t>
            </w:r>
            <w:r>
              <w:rPr>
                <w:rFonts w:ascii="仿宋_GB2312" w:hAnsi="仿宋_GB2312" w:cs="仿宋_GB2312" w:eastAsia="仿宋_GB2312"/>
              </w:rPr>
              <w:t>项）：总大肠菌群、大肠埃希氏菌、菌落总数；</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）毒理指标（</w:t>
            </w:r>
            <w:r>
              <w:rPr>
                <w:rFonts w:ascii="仿宋_GB2312" w:hAnsi="仿宋_GB2312" w:cs="仿宋_GB2312" w:eastAsia="仿宋_GB2312"/>
              </w:rPr>
              <w:t>18</w:t>
            </w:r>
            <w:r>
              <w:rPr>
                <w:rFonts w:ascii="仿宋_GB2312" w:hAnsi="仿宋_GB2312" w:cs="仿宋_GB2312" w:eastAsia="仿宋_GB2312"/>
              </w:rPr>
              <w:t>项）：砷、镉、铬（六价）、铅、汞、氰化物、氟化物、硝酸盐（以</w:t>
            </w:r>
            <w:r>
              <w:rPr>
                <w:rFonts w:ascii="仿宋_GB2312" w:hAnsi="仿宋_GB2312" w:cs="仿宋_GB2312" w:eastAsia="仿宋_GB2312"/>
              </w:rPr>
              <w:t>N</w:t>
            </w:r>
            <w:r>
              <w:rPr>
                <w:rFonts w:ascii="仿宋_GB2312" w:hAnsi="仿宋_GB2312" w:cs="仿宋_GB2312" w:eastAsia="仿宋_GB2312"/>
              </w:rPr>
              <w:t>计）、三氯甲烷、一氯二溴甲烷、二氯一溴甲烷、三溴甲烷、三卤甲烷（注：三卤甲烷仅为三氯甲烷、一氯二溴甲烷、二氯一溴甲烷、三溴甲烷计算之和，无需提供单独认证）、二氯乙酸、三氯乙酸、溴酸盐、亚氯酸盐、氯酸盐；</w:t>
            </w:r>
          </w:p>
          <w:p>
            <w:pPr>
              <w:pStyle w:val="null3"/>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）感官性状和一般化学指标（</w:t>
            </w:r>
            <w:r>
              <w:rPr>
                <w:rFonts w:ascii="仿宋_GB2312" w:hAnsi="仿宋_GB2312" w:cs="仿宋_GB2312" w:eastAsia="仿宋_GB2312"/>
              </w:rPr>
              <w:t>16</w:t>
            </w:r>
            <w:r>
              <w:rPr>
                <w:rFonts w:ascii="仿宋_GB2312" w:hAnsi="仿宋_GB2312" w:cs="仿宋_GB2312" w:eastAsia="仿宋_GB2312"/>
              </w:rPr>
              <w:t>项）：色度、浑浊度、臭和味、肉眼可见物、</w:t>
            </w:r>
            <w:r>
              <w:rPr>
                <w:rFonts w:ascii="仿宋_GB2312" w:hAnsi="仿宋_GB2312" w:cs="仿宋_GB2312" w:eastAsia="仿宋_GB2312"/>
              </w:rPr>
              <w:t>pH</w:t>
            </w:r>
            <w:r>
              <w:rPr>
                <w:rFonts w:ascii="仿宋_GB2312" w:hAnsi="仿宋_GB2312" w:cs="仿宋_GB2312" w:eastAsia="仿宋_GB2312"/>
              </w:rPr>
              <w:t>、铝、铁、锰、铜、锌、氯化物、硫酸盐、溶解性总固体、总硬度、高锰酸盐指数（以</w:t>
            </w:r>
            <w:r>
              <w:rPr>
                <w:rFonts w:ascii="仿宋_GB2312" w:hAnsi="仿宋_GB2312" w:cs="仿宋_GB2312" w:eastAsia="仿宋_GB2312"/>
              </w:rPr>
              <w:t>O2</w:t>
            </w:r>
            <w:r>
              <w:rPr>
                <w:rFonts w:ascii="仿宋_GB2312" w:hAnsi="仿宋_GB2312" w:cs="仿宋_GB2312" w:eastAsia="仿宋_GB2312"/>
              </w:rPr>
              <w:t>计）、氨（以</w:t>
            </w:r>
            <w:r>
              <w:rPr>
                <w:rFonts w:ascii="仿宋_GB2312" w:hAnsi="仿宋_GB2312" w:cs="仿宋_GB2312" w:eastAsia="仿宋_GB2312"/>
              </w:rPr>
              <w:t>N</w:t>
            </w:r>
            <w:r>
              <w:rPr>
                <w:rFonts w:ascii="仿宋_GB2312" w:hAnsi="仿宋_GB2312" w:cs="仿宋_GB2312" w:eastAsia="仿宋_GB2312"/>
              </w:rPr>
              <w:t>计）；</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）放射性指标（</w:t>
            </w:r>
            <w:r>
              <w:rPr>
                <w:rFonts w:ascii="仿宋_GB2312" w:hAnsi="仿宋_GB2312" w:cs="仿宋_GB2312" w:eastAsia="仿宋_GB2312"/>
                <w:sz w:val="21"/>
              </w:rPr>
              <w:t>6</w:t>
            </w:r>
            <w:r>
              <w:rPr>
                <w:rFonts w:ascii="仿宋_GB2312" w:hAnsi="仿宋_GB2312" w:cs="仿宋_GB2312" w:eastAsia="仿宋_GB2312"/>
                <w:sz w:val="21"/>
              </w:rPr>
              <w:t>项）：总</w:t>
            </w:r>
            <w:r>
              <w:rPr>
                <w:rFonts w:ascii="仿宋_GB2312" w:hAnsi="仿宋_GB2312" w:cs="仿宋_GB2312" w:eastAsia="仿宋_GB2312"/>
                <w:sz w:val="21"/>
              </w:rPr>
              <w:t>α</w:t>
            </w:r>
            <w:r>
              <w:rPr>
                <w:rFonts w:ascii="仿宋_GB2312" w:hAnsi="仿宋_GB2312" w:cs="仿宋_GB2312" w:eastAsia="仿宋_GB2312"/>
                <w:sz w:val="21"/>
              </w:rPr>
              <w:t>放射性、总</w:t>
            </w:r>
            <w:r>
              <w:rPr>
                <w:rFonts w:ascii="仿宋_GB2312" w:hAnsi="仿宋_GB2312" w:cs="仿宋_GB2312" w:eastAsia="仿宋_GB2312"/>
                <w:sz w:val="21"/>
              </w:rPr>
              <w:t>β</w:t>
            </w:r>
            <w:r>
              <w:rPr>
                <w:rFonts w:ascii="仿宋_GB2312" w:hAnsi="仿宋_GB2312" w:cs="仿宋_GB2312" w:eastAsia="仿宋_GB2312"/>
                <w:sz w:val="21"/>
              </w:rPr>
              <w:t>放射性、游离氯、总氯、臭氧、二氧化氯。</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若接到检测异议（即供应商完成水质检测并出具报告后，采购方或16个街办相关人员对检测结果、检测流程、报告内容等有疑问的情况）、报告咨询或服务需求后，应在一小时内响应、四小时内到场处理。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1、履约验收交付标准 1.1总体要求 （1）检测范围全覆盖：完成全区16个街办、410余处农村饮水安全项目的检测任务，每处每年检测2次，共计不少于820批次水样。 （2）检测方法合规：严格采用《生活饮用水标准检验方法》（GB/T 5750-2023）中规定的相应方法。 （3）结果判定标准：水质评价依据《生活饮用水卫生标准》（GB 5749-2022）。 1.2交付成果标准 交付物 标准要求 检测报告 具有CMA认证的检测报告，包含：采样信息（点位、时间）、检测指标、检测方法、检测结果、限值对照、单项合格判定、综合结论。数量：1式2份，1正1副。 采样确认表 采样确认表完整齐全。数量：1式2份，1正1副。 1.3质量与合规标准 （1）检测单位须具备CMA资质，检测能力覆盖全部43项指标。 （2）数据不得伪造、篡改，所有报告须有授权签字人签字及CMA标识。 2、履约验收方法 2.1验收组织 （1）组织单位：西安市长安区水务局。 （2）参与方：检测单位。 （3）验收方式：分阶段验收+最终成果验收。 2.2验收阶段划分 （1）过程验收 ①检查采样确认表、样品流转单、实验室原始记录。 ②核查检测报告格式、内容、数据完整性。 （2）最终成果验收：收齐全部820余份单工程检测报告。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第一批次向采购人出具所有检测点位的检测报告</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第二批次向采购人出具所有检测点位的检测报告</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能在约定时间内完成检测任务或者检测报告不符合合同要求，供应商应负责采取补救措施或者根据采购人的要求赔偿因此造成的损失。解决争议的方法：1、由于不可抗力因素致使本合同无法履行时，各方应及时协商解决；2、本合同未尽事宜双方协商解决，协商不成依法向合同签订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（1）如有不合格水样，应在七十二小时内复检并出具整改建议； （2）出具的成果文件：具有CMA认证的《检验报告》及其配套证明文件，1式2份，1正1副。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证明文件如下：2025年度（如果没有可提供2024年度）的财务报告（注：至少包括财务报告、资产负债表、利润表（或损益表）、现金流量表及财务报表附注）；或其开标前三个月内基本存款账户开户银行出具的资信证明及基本存款账户开户信息；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供应商主体要求</w:t>
            </w:r>
          </w:p>
        </w:tc>
        <w:tc>
          <w:tcPr>
            <w:tcW w:type="dxa" w:w="3322"/>
          </w:tcPr>
          <w:p>
            <w:pPr>
              <w:pStyle w:val="null3"/>
            </w:pPr>
            <w:r>
              <w:rPr>
                <w:rFonts w:ascii="仿宋_GB2312" w:hAnsi="仿宋_GB2312" w:cs="仿宋_GB2312" w:eastAsia="仿宋_GB2312"/>
              </w:rPr>
              <w:t>在中华人民共和国境内注册，且具有独立承担民事责任能力的法人、其他组织或者自然人。企业法人应提供合法有效的标识有统一社会信用代码的营业执照；其他组织应提供合法登记证明文件；自然人应提供其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供应商授权代表要求</w:t>
            </w:r>
          </w:p>
        </w:tc>
        <w:tc>
          <w:tcPr>
            <w:tcW w:type="dxa" w:w="3322"/>
          </w:tcPr>
          <w:p>
            <w:pPr>
              <w:pStyle w:val="null3"/>
            </w:pPr>
            <w:r>
              <w:rPr>
                <w:rFonts w:ascii="仿宋_GB2312" w:hAnsi="仿宋_GB2312" w:cs="仿宋_GB2312" w:eastAsia="仿宋_GB2312"/>
              </w:rPr>
              <w:t>法定代表人直接参加磋商的，须提交《法定代表人身份证明》和身份证电子版。法定代表人授权委托代理人参加磋商的，须提交《法定代表人授权委托书》；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供应商信用情况</w:t>
            </w:r>
          </w:p>
        </w:tc>
        <w:tc>
          <w:tcPr>
            <w:tcW w:type="dxa" w:w="3322"/>
          </w:tcPr>
          <w:p>
            <w:pPr>
              <w:pStyle w:val="null3"/>
            </w:pPr>
            <w:r>
              <w:rPr>
                <w:rFonts w:ascii="仿宋_GB2312" w:hAnsi="仿宋_GB2312" w:cs="仿宋_GB2312" w:eastAsia="仿宋_GB2312"/>
              </w:rPr>
              <w:t>供应商不得在：“信用中国”网站（https://www.creditchina.gov.cn/）被列入严重失信主体名单及重大税收违法失信主体；中国执行信息公开网（https://zxgk.court.gov.cn/shixin/）被列入失信被执行人；中国政府采购网（https://www.ccgp.gov.cn/）被列入政府采购严重违法失信行为记录名单，否则将拒绝其参与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供应商应具有生活饮用水水质检测CMA认证资质，并提供有效的《检验检测机构资质认定证书》及附表。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1.在磋商过程中，根据《关于推动解决政府采购异常低价问题的通知》财库〔2026〕2号文件规定，磋商小组应当启动异常低价响应审查程序： 1）响应报价低于全部通过符合性审查供应商响应报价平均值50%的； 2）响应报价低于通过符合性审查的次低报价供应商响应报价50%的； 3）响应报价低于采购项目最高限价45%的； 4）评审委员会基于专业判断，认为供应商报价过低，有可能影响产品质量或者不能诚信履约的其他情形。 2.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不超过40分钟。其中，属于第3）项情形，供应商已随响应文件一并提交相关书面说明及必要的证明材料的，在评审现场可不再重复提交。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4.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响应文件的签字、盖章是否符合磋商文件要求。</w:t>
            </w:r>
          </w:p>
        </w:tc>
        <w:tc>
          <w:tcPr>
            <w:tcW w:type="dxa" w:w="1661"/>
          </w:tcPr>
          <w:p>
            <w:pPr>
              <w:pStyle w:val="null3"/>
            </w:pPr>
            <w:r>
              <w:rPr>
                <w:rFonts w:ascii="仿宋_GB2312" w:hAnsi="仿宋_GB2312" w:cs="仿宋_GB2312" w:eastAsia="仿宋_GB2312"/>
              </w:rPr>
              <w:t>响应文件封面 供应商须提供的其他资料.docx 供应商应提交的相关资格证明材料.docx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首轮报价是否唯一有效，且未超过采购预算或最高限价。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磋商文件规定的实质性要求</w:t>
            </w:r>
          </w:p>
        </w:tc>
        <w:tc>
          <w:tcPr>
            <w:tcW w:type="dxa" w:w="3322"/>
          </w:tcPr>
          <w:p>
            <w:pPr>
              <w:pStyle w:val="null3"/>
            </w:pPr>
            <w:r>
              <w:rPr>
                <w:rFonts w:ascii="仿宋_GB2312" w:hAnsi="仿宋_GB2312" w:cs="仿宋_GB2312" w:eastAsia="仿宋_GB2312"/>
              </w:rPr>
              <w:t>供应商应完全响应</w:t>
            </w:r>
          </w:p>
        </w:tc>
        <w:tc>
          <w:tcPr>
            <w:tcW w:type="dxa" w:w="1661"/>
          </w:tcPr>
          <w:p>
            <w:pPr>
              <w:pStyle w:val="null3"/>
            </w:pPr>
            <w:r>
              <w:rPr>
                <w:rFonts w:ascii="仿宋_GB2312" w:hAnsi="仿宋_GB2312" w:cs="仿宋_GB2312" w:eastAsia="仿宋_GB2312"/>
              </w:rPr>
              <w:t>响应文件封面 供应商须提供的其他资料.docx 供应商应提交的相关资格证明材料.docx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国家法律法规及采购文件规定的其他无效响应</w:t>
            </w:r>
          </w:p>
        </w:tc>
        <w:tc>
          <w:tcPr>
            <w:tcW w:type="dxa" w:w="1661"/>
          </w:tcPr>
          <w:p>
            <w:pPr>
              <w:pStyle w:val="null3"/>
            </w:pPr>
            <w:r>
              <w:rPr>
                <w:rFonts w:ascii="仿宋_GB2312" w:hAnsi="仿宋_GB2312" w:cs="仿宋_GB2312" w:eastAsia="仿宋_GB2312"/>
              </w:rPr>
              <w:t>响应文件封面 供应商须提供的其他资料.docx 供应商应提交的相关资格证明材料.docx 中小企业声明函 残疾人福利性单位声明函 商务应答表 服务方案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供应商自2023年1月1日以来承接过的水质检测业绩，每个得2分，满分6分。（以合同或中标/成交通知书扫描件加盖公章为准）。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供应商须提供的其他资料.docx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售后服务承诺包括但不限于：若接到检测异议、报告咨询或服务需求后的响应时效，报告交付与整改服务，档案管理服务等。 其中：①满足采购需求的响应及到场时间得4分；未提供或不满足采购需求，本条不得分；②承诺按时交付报告并满足采购需求对不合格水样复检要求的得4分；未提供或不满足采购需求，本条不得分；③建立410处水样电子+纸质档案、可随时查阅调取得2分；未提供或不满足采购需求，本条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供应商须提供的其他资料.docx</w:t>
            </w:r>
          </w:p>
        </w:tc>
      </w:tr>
      <w:tr>
        <w:tc>
          <w:tcPr>
            <w:tcW w:type="dxa" w:w="831"/>
            <w:vMerge/>
          </w:tcPr>
          <w:p/>
        </w:tc>
        <w:tc>
          <w:tcPr>
            <w:tcW w:type="dxa" w:w="1661"/>
          </w:tcPr>
          <w:p>
            <w:pPr>
              <w:pStyle w:val="null3"/>
            </w:pPr>
            <w:r>
              <w:rPr>
                <w:rFonts w:ascii="仿宋_GB2312" w:hAnsi="仿宋_GB2312" w:cs="仿宋_GB2312" w:eastAsia="仿宋_GB2312"/>
              </w:rPr>
              <w:t>采样实施方案</w:t>
            </w:r>
          </w:p>
        </w:tc>
        <w:tc>
          <w:tcPr>
            <w:tcW w:type="dxa" w:w="2492"/>
          </w:tcPr>
          <w:p>
            <w:pPr>
              <w:pStyle w:val="null3"/>
            </w:pPr>
            <w:r>
              <w:rPr>
                <w:rFonts w:ascii="仿宋_GB2312" w:hAnsi="仿宋_GB2312" w:cs="仿宋_GB2312" w:eastAsia="仿宋_GB2312"/>
              </w:rPr>
              <w:t>采样实施方案包括但不限于：采样人员配置及职责分工，采样器具及样品保存运输方案，采样点位布设及采样频次计划，样品标识及流转管理制度等。 其中：①采样人员不少于四人，提供采样人员名单、岗位职责分工表，且采样人员持有有效的上岗证或培训合格证明的得3分，每少一人或分工不明确的扣1分，扣完为止不得负分；②提供采样器具清单（符合GB/T 5750-2023要求）、样品保存方案（含保存剂使用、温度控制要求）、样品运输方案（含冷链运输设备、运输时效控制、运输过程温度记录措施）的，根据方案完整程度得[4~2]分，方案缺失或不符合GB/T 5750-2023要求的得（2~0]分；③针对所有地点农村饮水安全项目，提供具体采样点位布设方案（含点位编号、位置描述、采样顺序），并制定采样计划（含各期采样时间安排、采样频次），根据计划完整程度及具有较强的针对性得[4~2]分，计划缺失或严重偏离实际的得（2~0]分。④完整制度包括：提供样品唯一性标识规则、样品交接记录单样式、样品流转各环节（采样→运输→接收→入库）责任人及时限要求的得[4~2]分，制度不完整或未提供的得（2~0]分。 注：“[、]”表示包含本数，“（、）”表示不包含本数。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检测实施方案</w:t>
            </w:r>
          </w:p>
        </w:tc>
        <w:tc>
          <w:tcPr>
            <w:tcW w:type="dxa" w:w="2492"/>
          </w:tcPr>
          <w:p>
            <w:pPr>
              <w:pStyle w:val="null3"/>
            </w:pPr>
            <w:r>
              <w:rPr>
                <w:rFonts w:ascii="仿宋_GB2312" w:hAnsi="仿宋_GB2312" w:cs="仿宋_GB2312" w:eastAsia="仿宋_GB2312"/>
              </w:rPr>
              <w:t>检测实施方案包括但不限于：检测方法及技术路线，检测人员配置及职责分工，检测能力证明等。 其中：①针对全部检测项，逐一明确具体检验方法，技术路线清晰合理的得6分，每缺少1项扣1分，扣完为止不得负分；②检测人员不少于四人，提供采样人员名单、岗位职责分工表，且采样人员持有有效的上岗证或培训合格证明的得3分，每少一人或分工不明确的扣1分，扣完为止不得负分；③检测能力应提供：检测设备选型明确、配置完整、设备功能齐全，完全满足检测能力需求，得11分，每缺少一个检测项对应的检测设备，扣2分，扣完为止不得负分，检测设备应对应检测项目，并提供设备主要参数，否则将作为无效设备。</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项目进度控制措施</w:t>
            </w:r>
          </w:p>
        </w:tc>
        <w:tc>
          <w:tcPr>
            <w:tcW w:type="dxa" w:w="2492"/>
          </w:tcPr>
          <w:p>
            <w:pPr>
              <w:pStyle w:val="null3"/>
            </w:pPr>
            <w:r>
              <w:rPr>
                <w:rFonts w:ascii="仿宋_GB2312" w:hAnsi="仿宋_GB2312" w:cs="仿宋_GB2312" w:eastAsia="仿宋_GB2312"/>
              </w:rPr>
              <w:t>项目进度控制措施包括但不限于：各阶段进度目标设定，进度保障措施，进度监控及纠偏机制等。 其中：①进度目标设定应明确划分采样阶段、检测阶段、报告出具阶段、结果汇总上报阶段，并为各阶段设定明确的时间节点（具体到日期或工作日）的得3分，缺失一项进度目标阶段的扣1分，扣完为止不得负分；②进度保障措施包括：提供人员调配方案（采样及检测人员的替补机制）、设备调度方案（设备清单及备用设备）、外部风险应对措施（如恶劣天气、交通管制等对采样进度的影响应对）齐全的得[6~4]分；每缺失一项措施方案的扣2分，扣完为止不得负分；③进度监控及纠偏机制包括：进度跟踪方式（如周报、进度看板、项目调度会等）、进度偏差报告机制（偏差超过×天时向采购人报告）、纠偏措施预案（如增派人员、加班作业、调整路线等）齐全的得[6~4]分；每缺失一项措施方案的扣2分，扣完为止不得负分。 注：“[、]”表示包含本数，“（、）”表示不包含本数。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项目质量控制措施</w:t>
            </w:r>
          </w:p>
        </w:tc>
        <w:tc>
          <w:tcPr>
            <w:tcW w:type="dxa" w:w="2492"/>
          </w:tcPr>
          <w:p>
            <w:pPr>
              <w:pStyle w:val="null3"/>
            </w:pPr>
            <w:r>
              <w:rPr>
                <w:rFonts w:ascii="仿宋_GB2312" w:hAnsi="仿宋_GB2312" w:cs="仿宋_GB2312" w:eastAsia="仿宋_GB2312"/>
              </w:rPr>
              <w:t>项目质量控制措施包括但不限于：检测过程内部质量控制措施、数据记录与审核管理、检测结果异常处理机制等。 其中：①内部质量控制措施包括：水样采集与保存的质量控制、各指标类别检测质量控制措施及实验室内部质量控制体系等，齐全的得[5~3]分，每缺失一项措施方案的扣2分，扣完为止不得负分；②数据记录与审核管理包括：提供原始记录填写规范（含修改要求）及相应记录表单样式，齐全的得[5~3]分，缺失一项制度扣2分，扣完为止不得负分。③提供检测结果异常（超出标准限值或质控判断异常）时的处理流程，包括：复测程序、原因排查、记录保留、报告程序，流程齐全的得[5~3]分，缺失一项制度扣2分，扣完为止不得负分。 注：“[、]”表示包含本数，“（、）”表示不包含本数。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应急检测方案</w:t>
            </w:r>
          </w:p>
        </w:tc>
        <w:tc>
          <w:tcPr>
            <w:tcW w:type="dxa" w:w="2492"/>
          </w:tcPr>
          <w:p>
            <w:pPr>
              <w:pStyle w:val="null3"/>
            </w:pPr>
            <w:r>
              <w:rPr>
                <w:rFonts w:ascii="仿宋_GB2312" w:hAnsi="仿宋_GB2312" w:cs="仿宋_GB2312" w:eastAsia="仿宋_GB2312"/>
              </w:rPr>
              <w:t>应急检测方案包括但不限于：应急响应启动条件及响应时限、应急采样及检测流程、应急检测报告，信息报送机制等。 其中：①启动条件及响应时限应明确：启动应急检测的具体情形（如水质投诉、水质异常事件、采购人指令等），并承诺自接到应急指令后几小时内启动现场采样、几小时内出具应急检测报告，内容齐全的得[5~3]分，内容不全或未编制的得（3~0]分；②提供应急状态下的简化采样流程（含样品快速流转通道）和优先检测流程（含设备及人员优先安排方案），内容齐全的得[4~2]分，内容不全或未编制的得（2~0]分；流程不完整或缺乏可操作性的得1分；未提供的得0分。 注：“[、]”表示包含本数，“（、）”表示不包含本数。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详见附件：供应商须提供的其他资料.docx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详见附件：技术合同.docx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