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版本号：JZZB2026-102820260407001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长安区12所标准化考点智能安检门采购项目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JZZB2026-1028</w:t>
      </w:r>
      <w:r>
        <w:br/>
      </w:r>
      <w:r>
        <w:br/>
      </w:r>
      <w:r>
        <w:br/>
      </w:r>
    </w:p>
    <w:p>
      <w:pPr>
        <w:pStyle w:val="null3"/>
        <w:jc w:val="center"/>
        <w:outlineLvl w:val="2"/>
      </w:pPr>
      <w:r>
        <w:rPr>
          <w:rFonts w:ascii="仿宋_GB2312" w:hAnsi="仿宋_GB2312" w:cs="仿宋_GB2312" w:eastAsia="仿宋_GB2312"/>
          <w:sz w:val="28"/>
          <w:b/>
        </w:rPr>
        <w:t>西安市长安区教育考试中心</w:t>
      </w:r>
    </w:p>
    <w:p>
      <w:pPr>
        <w:pStyle w:val="null3"/>
        <w:jc w:val="center"/>
        <w:outlineLvl w:val="2"/>
      </w:pPr>
      <w:r>
        <w:rPr>
          <w:rFonts w:ascii="仿宋_GB2312" w:hAnsi="仿宋_GB2312" w:cs="仿宋_GB2312" w:eastAsia="仿宋_GB2312"/>
          <w:sz w:val="28"/>
          <w:b/>
        </w:rPr>
        <w:t>陕西金字招标有限责任公司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西安市长安区教育考试中心</w:t>
      </w:r>
      <w:r>
        <w:rPr>
          <w:rFonts w:ascii="仿宋_GB2312" w:hAnsi="仿宋_GB2312" w:cs="仿宋_GB2312" w:eastAsia="仿宋_GB2312"/>
        </w:rPr>
        <w:t>委托，拟对</w:t>
      </w:r>
      <w:r>
        <w:rPr>
          <w:rFonts w:ascii="仿宋_GB2312" w:hAnsi="仿宋_GB2312" w:cs="仿宋_GB2312" w:eastAsia="仿宋_GB2312"/>
        </w:rPr>
        <w:t>长安区12所标准化考点智能安检门采购项目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JZZB2026-1028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长安区12所标准化考点智能安检门采购项目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长安区12所标准化考点智能安检门采购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采购包1（长安区12所标准化考点智能安检门采购项目）：属于专门面向中小企业采购。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加投标的，须出具法人身份证明及身份证复印件；法定代表人授权代表参加投标的，须出具法定代表人授权书及授权代表身份证复印件：法定代表人直接参加投标的，须出具法人身份证明及身份证复印件；法定代表人授权代表参加投标的，须出具法定代表人授权书及授权代表身份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西安市长安区教育考试中心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西安市长安区教育局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029-85292235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029-87976716转603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说明： 1、供应商所投产品如属于国家以下强制性管理范围的，必须在响应文件中提供相应有效证明资料。未提供、证明资料无效或与投标产品不符的，其投标将被视为无效。具体要求包括： （1）强制性产品认证（CCC）：属于《强制性产品认证目录》的，须提供相关证明资料。 （2）消毒产品备案：属于消毒器械等消毒产品备案管理范围的产品，须提供“全国消毒产品网上备案信息服务平台”的备案凭证截图。 （3）产品属于强制节能采购的产品范围，供应商应当提供国家确定的认证机构出具的、处于有效期之内的节能产品认证证书，否则作无效响应处理。</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代理服务费收费标准：参照国家计委颁布的《招标代理服务收费管理暂行办法》（计价格[2002]1980号）和（发改办价格[2003]857号）的有关规定执行，由中标/成交供应商一次性支付。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西安市长安区教育考试中心</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西安市长安区教育考试中心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西安市长安区教育考试中心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联系人：王婷</w:t>
      </w:r>
    </w:p>
    <w:p>
      <w:pPr>
        <w:pStyle w:val="null3"/>
      </w:pPr>
      <w:r>
        <w:rPr>
          <w:rFonts w:ascii="仿宋_GB2312" w:hAnsi="仿宋_GB2312" w:cs="仿宋_GB2312" w:eastAsia="仿宋_GB2312"/>
        </w:rPr>
        <w:t>联系电话：029-87976716转603</w:t>
      </w:r>
    </w:p>
    <w:p>
      <w:pPr>
        <w:pStyle w:val="null3"/>
      </w:pPr>
      <w:r>
        <w:rPr>
          <w:rFonts w:ascii="仿宋_GB2312" w:hAnsi="仿宋_GB2312" w:cs="仿宋_GB2312" w:eastAsia="仿宋_GB2312"/>
        </w:rPr>
        <w:t>地址：陕西省西安市碑林区更新街13号铭爵大厦7楼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长安区12所标准化考点智能安检门采购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长安区12所标准化考点智能安检门采购项目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标的名称：长安区12所标准化考点智能安检门采购项目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智能安检门采购项目，</w:t>
            </w:r>
            <w:r>
              <w:rPr>
                <w:rFonts w:ascii="仿宋_GB2312" w:hAnsi="仿宋_GB2312" w:cs="仿宋_GB2312" w:eastAsia="仿宋_GB2312"/>
                <w:sz w:val="24"/>
              </w:rPr>
              <w:t>29套（含场地设计与安装调试等）。</w:t>
            </w:r>
          </w:p>
          <w:p>
            <w:pPr>
              <w:pStyle w:val="null3"/>
            </w:pPr>
            <w:r>
              <w:rPr>
                <w:rFonts w:ascii="仿宋_GB2312" w:hAnsi="仿宋_GB2312" w:cs="仿宋_GB2312" w:eastAsia="仿宋_GB2312"/>
                <w:sz w:val="24"/>
              </w:rPr>
              <w:t>1、屏幕：≥26英寸显示屏。</w:t>
            </w:r>
          </w:p>
          <w:p>
            <w:pPr>
              <w:pStyle w:val="null3"/>
            </w:pPr>
            <w:r>
              <w:rPr>
                <w:rFonts w:ascii="仿宋_GB2312" w:hAnsi="仿宋_GB2312" w:cs="仿宋_GB2312" w:eastAsia="仿宋_GB2312"/>
                <w:sz w:val="24"/>
              </w:rPr>
              <w:t>2、通道净宽度≥710mm，净高度≥1980mm，净深度≤910mm。</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探测区位：</w:t>
            </w:r>
            <w:r>
              <w:rPr>
                <w:rFonts w:ascii="仿宋_GB2312" w:hAnsi="仿宋_GB2312" w:cs="仿宋_GB2312" w:eastAsia="仿宋_GB2312"/>
                <w:sz w:val="24"/>
              </w:rPr>
              <w:t>≥36区位探测，根椐人体基本结构划分安检门的探测区域采用相互重叠的左中右、正面、背面网状探测方式,多区位报警,准确判断物品的位置。</w:t>
            </w:r>
          </w:p>
          <w:p>
            <w:pPr>
              <w:pStyle w:val="null3"/>
            </w:pPr>
            <w:r>
              <w:rPr>
                <w:rFonts w:ascii="仿宋_GB2312" w:hAnsi="仿宋_GB2312" w:cs="仿宋_GB2312" w:eastAsia="仿宋_GB2312"/>
                <w:sz w:val="24"/>
              </w:rPr>
              <w:t>4、安检门应能在违禁品探测模式、电子产品探测模式、电子产品及违禁品探测模式和全金属探测模式间进行切换。</w:t>
            </w:r>
          </w:p>
          <w:p>
            <w:pPr>
              <w:pStyle w:val="null3"/>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应报警测试物进入探测区</w:t>
            </w:r>
            <w:r>
              <w:rPr>
                <w:rFonts w:ascii="仿宋_GB2312" w:hAnsi="仿宋_GB2312" w:cs="仿宋_GB2312" w:eastAsia="仿宋_GB2312"/>
                <w:sz w:val="24"/>
              </w:rPr>
              <w:t>1s内，金属门应发出报警指示，此测试物离开探测区后报警指示延续应小于等于1s。</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探测功能：全金属探测：全金属探测模式下灵敏度应可调，人员以标准姿势通过安检门时，正常着装上的硬币、钥匙、金属纽扣、皮带扣等小金属及违禁品通过时均应报警并提示违禁品的藏匿位置。电子产品探测模式：电子产品探测模式下灵敏度可调，人员以标准姿势通过安检门时，正常着装上的机械手表、金属纽扣、项链、打火机、钥匙、硬币、皮带扣、金属肩章、警帽帽徽、制服金属标牌、钥匙、钢笔、折叠雨伞、不锈钢水杯等小金属通过时系统应不报警，当携带电子产品通过时，系统应有声光报警，并以图形和文字的形式提示，应能提示藏匿位置。</w:t>
            </w:r>
          </w:p>
          <w:p>
            <w:pPr>
              <w:pStyle w:val="null3"/>
            </w:pPr>
            <w:r>
              <w:rPr>
                <w:rFonts w:ascii="仿宋_GB2312" w:hAnsi="仿宋_GB2312" w:cs="仿宋_GB2312" w:eastAsia="仿宋_GB2312"/>
                <w:sz w:val="24"/>
              </w:rPr>
              <w:t>7、在探测区左右边界各向内150mm的区域中，任意一点的磁感应强度均应小于等于30uT。</w:t>
            </w:r>
          </w:p>
          <w:p>
            <w:pPr>
              <w:pStyle w:val="null3"/>
            </w:pPr>
            <w:r>
              <w:rPr>
                <w:rFonts w:ascii="仿宋_GB2312" w:hAnsi="仿宋_GB2312" w:cs="仿宋_GB2312" w:eastAsia="仿宋_GB2312"/>
                <w:sz w:val="24"/>
              </w:rPr>
              <w:t>8、支持联网数据传输功能，可通过网络将安检数据传输至指定系统平台。</w:t>
            </w:r>
          </w:p>
          <w:p>
            <w:pPr>
              <w:pStyle w:val="null3"/>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安检门机箱应配备双液晶屏，显示屏应可显示报警物品的种类、区位、报警时间等信息，当液晶屏及内置主机因故中断，应不影响安检门违禁品探测功能的正常使用。</w:t>
            </w:r>
          </w:p>
          <w:p>
            <w:pPr>
              <w:pStyle w:val="null3"/>
            </w:pPr>
            <w:r>
              <w:rPr>
                <w:rFonts w:ascii="仿宋_GB2312" w:hAnsi="仿宋_GB2312" w:cs="仿宋_GB2312" w:eastAsia="仿宋_GB2312"/>
                <w:sz w:val="24"/>
              </w:rPr>
              <w:t>10、安检门应可配置串口、USB口、网线接口、WIF设备，应可组网，应具有数据存储功能，应能将通过人数、告警次数，报警人数、报警抓取照片、违禁品携带位置、故障告警、人脸比对结果等工作参数保存在数据库。数据应与测温数据进行绑定，数据库应能根据条件进行查询、统计并导出数据，应可与其他电子设备进行数据交换。</w:t>
            </w:r>
          </w:p>
          <w:p>
            <w:pPr>
              <w:pStyle w:val="null3"/>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支持将一站式安检数据实时上传上报至考务综合管理平台，对入场数据进行统计展示和分析。</w:t>
            </w:r>
          </w:p>
          <w:p>
            <w:pPr>
              <w:pStyle w:val="null3"/>
            </w:pPr>
            <w:r>
              <w:rPr>
                <w:rFonts w:ascii="仿宋_GB2312" w:hAnsi="仿宋_GB2312" w:cs="仿宋_GB2312" w:eastAsia="仿宋_GB2312"/>
                <w:sz w:val="24"/>
              </w:rPr>
              <w:t>12、金属门应能记录有效受检人数和发生过报警的人次，并能复位清零。</w:t>
            </w:r>
          </w:p>
          <w:p>
            <w:pPr>
              <w:pStyle w:val="null3"/>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安检门应能从低到高方便地调节灵敏度，灵敏度调节应大于等于</w:t>
            </w:r>
            <w:r>
              <w:rPr>
                <w:rFonts w:ascii="仿宋_GB2312" w:hAnsi="仿宋_GB2312" w:cs="仿宋_GB2312" w:eastAsia="仿宋_GB2312"/>
                <w:sz w:val="24"/>
              </w:rPr>
              <w:t>100个级别，总区及分区灵敏度均应可调。应内置多种工作模式或工作场景，每种模式或场景对应一套参数设置值，应可一键设置。</w:t>
            </w:r>
          </w:p>
          <w:p>
            <w:pPr>
              <w:pStyle w:val="null3"/>
            </w:pPr>
            <w:r>
              <w:rPr>
                <w:rFonts w:ascii="仿宋_GB2312" w:hAnsi="仿宋_GB2312" w:cs="仿宋_GB2312" w:eastAsia="仿宋_GB2312"/>
                <w:sz w:val="24"/>
              </w:rPr>
              <w:t>14、支持显示报警物品分类:包含手机、手表、违禁品、日常金属、电脑、其他物品。支持显示报警物品位置:包含左小腿、右小腿、左大腿、右大腿、左腰部、右腰部、左胸部、右胸部、头部。</w:t>
            </w:r>
          </w:p>
          <w:p>
            <w:pPr>
              <w:pStyle w:val="null3"/>
            </w:pPr>
            <w:r>
              <w:rPr>
                <w:rFonts w:ascii="仿宋_GB2312" w:hAnsi="仿宋_GB2312" w:cs="仿宋_GB2312" w:eastAsia="仿宋_GB2312"/>
                <w:sz w:val="24"/>
              </w:rPr>
              <w:t>15、工作温度为-10摄氏度至40摄氏度，输入电压为220伏交流电，允许正负偏差，频率为50赫兹。</w:t>
            </w:r>
          </w:p>
          <w:p>
            <w:pPr>
              <w:pStyle w:val="null3"/>
            </w:pPr>
            <w:r>
              <w:rPr>
                <w:rFonts w:ascii="仿宋_GB2312" w:hAnsi="仿宋_GB2312" w:cs="仿宋_GB2312" w:eastAsia="仿宋_GB2312"/>
                <w:sz w:val="24"/>
              </w:rPr>
              <w:t>1.安装辅料：螺丝、膨胀管、卡扣、线槽、线管、电源线、插板等。</w:t>
            </w:r>
          </w:p>
          <w:p>
            <w:pPr>
              <w:pStyle w:val="null3"/>
            </w:pPr>
            <w:r>
              <w:rPr>
                <w:rFonts w:ascii="仿宋_GB2312" w:hAnsi="仿宋_GB2312" w:cs="仿宋_GB2312" w:eastAsia="仿宋_GB2312"/>
                <w:sz w:val="24"/>
              </w:rPr>
              <w:t>2.安装调试：完成设备安装及线路修改、调试等</w:t>
            </w:r>
          </w:p>
          <w:p>
            <w:pPr>
              <w:pStyle w:val="null3"/>
            </w:pPr>
            <w:r>
              <w:rPr>
                <w:rFonts w:ascii="仿宋_GB2312" w:hAnsi="仿宋_GB2312" w:cs="仿宋_GB2312" w:eastAsia="仿宋_GB2312"/>
                <w:sz w:val="24"/>
              </w:rPr>
              <w:t>3.培训使用：完成对相关人员常规操作与日常维护的基础培训。</w:t>
            </w:r>
          </w:p>
          <w:p>
            <w:pPr>
              <w:pStyle w:val="null3"/>
              <w:jc w:val="both"/>
            </w:pPr>
            <w:r>
              <w:rPr>
                <w:rFonts w:ascii="仿宋_GB2312" w:hAnsi="仿宋_GB2312" w:cs="仿宋_GB2312" w:eastAsia="仿宋_GB2312"/>
                <w:sz w:val="24"/>
                <w:b/>
              </w:rPr>
              <w:t>注：</w:t>
            </w:r>
          </w:p>
          <w:p>
            <w:pPr>
              <w:pStyle w:val="null3"/>
              <w:jc w:val="both"/>
            </w:pPr>
            <w:r>
              <w:rPr>
                <w:rFonts w:ascii="仿宋_GB2312" w:hAnsi="仿宋_GB2312" w:cs="仿宋_GB2312" w:eastAsia="仿宋_GB2312"/>
                <w:sz w:val="24"/>
                <w:b/>
              </w:rPr>
              <w:t>1.本项目为</w:t>
            </w:r>
            <w:r>
              <w:rPr>
                <w:rFonts w:ascii="仿宋_GB2312" w:hAnsi="仿宋_GB2312" w:cs="仿宋_GB2312" w:eastAsia="仿宋_GB2312"/>
                <w:sz w:val="24"/>
                <w:b/>
                <w:color w:val="000000"/>
              </w:rPr>
              <w:t>固定总价</w:t>
            </w:r>
            <w:r>
              <w:rPr>
                <w:rFonts w:ascii="仿宋_GB2312" w:hAnsi="仿宋_GB2312" w:cs="仿宋_GB2312" w:eastAsia="仿宋_GB2312"/>
                <w:sz w:val="24"/>
                <w:b/>
              </w:rPr>
              <w:t>，供应商投标报价需包含完成本项目全部费用；</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标</w:t>
            </w:r>
            <w:r>
              <w:rPr>
                <w:rFonts w:ascii="仿宋_GB2312" w:hAnsi="仿宋_GB2312" w:cs="仿宋_GB2312" w:eastAsia="仿宋_GB2312"/>
                <w:sz w:val="24"/>
                <w:b/>
                <w:color w:val="000000"/>
              </w:rPr>
              <w:t>▲的</w:t>
            </w:r>
            <w:r>
              <w:rPr>
                <w:rFonts w:ascii="仿宋_GB2312" w:hAnsi="仿宋_GB2312" w:cs="仿宋_GB2312" w:eastAsia="仿宋_GB2312"/>
                <w:sz w:val="24"/>
                <w:b/>
              </w:rPr>
              <w:t>提供相关证明文件，包括但不限于原厂印刷的质量证书或产品检测报告或产品合格证或官网功能截图或产品彩页等</w:t>
            </w:r>
            <w:r>
              <w:rPr>
                <w:rFonts w:ascii="仿宋_GB2312" w:hAnsi="仿宋_GB2312" w:cs="仿宋_GB2312" w:eastAsia="仿宋_GB2312"/>
                <w:sz w:val="24"/>
                <w:b/>
              </w:rPr>
              <w:t>,若未响应,按扣分处理，具体详见</w:t>
            </w:r>
            <w:r>
              <w:rPr>
                <w:rFonts w:ascii="仿宋_GB2312" w:hAnsi="仿宋_GB2312" w:cs="仿宋_GB2312" w:eastAsia="仿宋_GB2312"/>
                <w:sz w:val="24"/>
                <w:b/>
              </w:rPr>
              <w:t>招标</w:t>
            </w:r>
            <w:r>
              <w:rPr>
                <w:rFonts w:ascii="仿宋_GB2312" w:hAnsi="仿宋_GB2312" w:cs="仿宋_GB2312" w:eastAsia="仿宋_GB2312"/>
                <w:sz w:val="24"/>
                <w:b/>
              </w:rPr>
              <w:t>文件。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自合同签订后15日历天内供货安装调试完毕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自合同签订后供货安装调试经验收合格后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剩余价款一年后产品无任何质量问题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1、产品运抵采购人所在地现场后，采购人与中标人共同验收，验收结果双方认可。 2、必须保证投标商品的完整性，能满足全部功能的使用。 3、提供的产品（技术指标除另作规定外）均应符合行业相关标准。必须对供货的的商品进行检验。由采购人组织验收，并出具验收结果和意见，中标人负责向验收组提交验收所需文件和相关资料（如检测报告等）。 4、产品的包装应为生产厂商出产时的原包装，包装箱内必须附有详细的装箱清单。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3年，维保6年,以国家相关标准为准。合同签订后维保六年，每年考区12所标准化考点承担国家级、省、市级考试次数约18次左右，每次考试现场中标人需提供不低于1名/考点的技术人员提供全方位技术支持与保障服务，如遇雨雪天气，中标人还须提供并安装足够数量的雨棚，满足安检门检测与防护需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合同执行中发生争议的，当事人双方应协商解决，无法协商或协商达不成一致时，双方均有权向甲方所在地人民法院提请诉讼。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1.中标结果公示发布后，中标供应商须向采购代理机构提供一正一副（和上传文件保持一致的）纸质投标（响应）文件用于备案及档案保存。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 （3）、财务状况报告：供应商提供2024或2025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4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（5）、税收缴纳证明：供应商提供已缴纳的2025年4月至今任意一个月的纳税证明或完税证明，纳税证明或完税证明上应有代收机构或税务机关的公章。依法免税的供应商应提供相关文件证明；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（7）、具备履行合同所必需的设备和专业技术能力的证明材料（书面声明）。供应商需在项目电子化交易系统中按要求填写《投标函》完成承诺并进行电子签章。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其他材料.docx 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其他材料.docx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法定代表人直接参加投标的，须出具法人身份证明及身份证复印件；法定代表人授权代表参加投标的，须出具法定代表人授权书及授权代表身份证复印件</w:t>
            </w:r>
          </w:p>
        </w:tc>
        <w:tc>
          <w:tcPr>
            <w:tcW w:type="dxa" w:w="1661"/>
          </w:tcPr>
          <w:p>
            <w:pPr>
              <w:pStyle w:val="null3"/>
            </w:pPr>
            <w:r>
              <w:rPr>
                <w:rFonts w:ascii="仿宋_GB2312" w:hAnsi="仿宋_GB2312" w:cs="仿宋_GB2312" w:eastAsia="仿宋_GB2312"/>
              </w:rPr>
              <w:t>其他材料.docx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其他材料.docx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中小企业声明函 商务应答表 满足详细评审办法的内容.docx 资格证明文件.docx 投标人应提交的相关资格证明材料 产品技术参数表 分项报价表.docx 投标函 残疾人福利性单位声明函 标的清单 投标文件封面 其他材料.docx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供应商提供的技术偏离表及技术指标（参数）的相应的证明材料（包括但不限于原厂印刷的质量证书或产品检测报告或产品合格证或官网功能截图或产品彩页等），经评审小组审定方可得分。技术指标完全响应得满分30分，标▲项的每出现一项负偏离扣2分，其他技术指标每负偏离一项扣1分，扣完为止，未提供佐证材料的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产品来源渠道可靠，有质量保证，有针对此项目的供货证明（提供证明文件包括但不限于原厂印刷的质量证书或产品检测报告或产品合格证或官网功能截图或产品彩页等），按其响应程度进行打分。 证明材料详细全面，得6 分； 证明材料较详细、较全面，得4.5 分； 证明材料基本详细、基本全面，得2.5 分；证明材料不够详细全面，得1 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供应商提供的项目组织实施方案的科学性、合理性、规范性和可操作性，评审专家对设备供货、安装调试、试运行、测试、系统管理培训、系统运行维护培训等内容进行比较。 内容完整齐全、针对性极强、可操作性极强、完全贴合本项目：15 分； 内容较完整、针对性强、可操作性强、基本贴合本项目：12 分； 内容基本完整、针对性一般、可操作性一般、基本满足需求：9 分； 内容不够完整、针对性较弱、可操作性较弱、存在明显不足：6 分； 内容缺失严重、无针对性、不可操作、不符合项目需求：3 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供应商针对本项目提出具体的运输供货方案，评审专家对运输成品保护方案、运输中遇到的紧急情况等处理方案进行比较。 内容全面详细、条理清晰详尽：10 分； 内容较全面、条理清晰、较详尽：8 分； 内容基本完整、条理基本清晰、不够详尽：4 分； 内容简略、条理模糊：2 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供应商提供完善的售后服务方案，包括且不限于售后服务承诺及故障处理应急预案、 售后服务人员配置及响应计划、质量保证期限及质量保证的范围、本地化售后方案等 。 内容全面、合理可行：5 分； 内容较全面、较合理可行：4 分； 内容基本全面、基本合理可行：2 分； 内容不够全面、合理性差：1 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供应商提供2023年4月1日至今（以合同签订时间为准）类似项目供货业绩，每提供 一份有效业绩得2分，最高得4分； 备注：业绩证明材料以合同复印件（合同需体现合同首页、清单页或交付内容、合同签订日期、双方盖章页等关键信息）加盖供应商公章为评审依据，内容不完整或不提供者不得分。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采用低价优先法计算，即满足招标文件要求且响应价格最低的报价为评标基准价，其价格分为满分。其他供应商价格分统一按照下列公式计算： 投标报价得分=(投标基准价／投标报价)×价格权值×100计算分数时四舍五入取小数点后两位。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