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版本号：ZCBN-长安区-2026-0005720260407001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2025年库峪河高庙村左岸水毁修复工程（施工）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ZCBN-长安区-2026-00057</w:t>
      </w:r>
      <w:r>
        <w:br/>
      </w:r>
      <w:r>
        <w:br/>
      </w:r>
      <w:r>
        <w:br/>
      </w:r>
    </w:p>
    <w:p>
      <w:pPr>
        <w:pStyle w:val="null3"/>
        <w:jc w:val="center"/>
        <w:outlineLvl w:val="2"/>
      </w:pPr>
      <w:r>
        <w:rPr>
          <w:rFonts w:ascii="仿宋_GB2312" w:hAnsi="仿宋_GB2312" w:cs="仿宋_GB2312" w:eastAsia="仿宋_GB2312"/>
          <w:sz w:val="28"/>
          <w:b/>
        </w:rPr>
        <w:t>西安市长安区河道管理中心</w:t>
      </w:r>
    </w:p>
    <w:p>
      <w:pPr>
        <w:pStyle w:val="null3"/>
        <w:jc w:val="center"/>
        <w:outlineLvl w:val="2"/>
      </w:pPr>
      <w:r>
        <w:rPr>
          <w:rFonts w:ascii="仿宋_GB2312" w:hAnsi="仿宋_GB2312" w:cs="仿宋_GB2312" w:eastAsia="仿宋_GB2312"/>
          <w:sz w:val="28"/>
          <w:b/>
        </w:rPr>
        <w:t>陕西天意达工程咨询有限公司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陕西天意达工程咨询有限公司</w:t>
      </w:r>
      <w:r>
        <w:rPr>
          <w:rFonts w:ascii="仿宋_GB2312" w:hAnsi="仿宋_GB2312" w:cs="仿宋_GB2312" w:eastAsia="仿宋_GB2312"/>
        </w:rPr>
        <w:t>（以下简称“代理机构”）受</w:t>
      </w:r>
      <w:r>
        <w:rPr>
          <w:rFonts w:ascii="仿宋_GB2312" w:hAnsi="仿宋_GB2312" w:cs="仿宋_GB2312" w:eastAsia="仿宋_GB2312"/>
        </w:rPr>
        <w:t>西安市长安区河道管理中心</w:t>
      </w:r>
      <w:r>
        <w:rPr>
          <w:rFonts w:ascii="仿宋_GB2312" w:hAnsi="仿宋_GB2312" w:cs="仿宋_GB2312" w:eastAsia="仿宋_GB2312"/>
        </w:rPr>
        <w:t>委托，拟对</w:t>
      </w:r>
      <w:r>
        <w:rPr>
          <w:rFonts w:ascii="仿宋_GB2312" w:hAnsi="仿宋_GB2312" w:cs="仿宋_GB2312" w:eastAsia="仿宋_GB2312"/>
        </w:rPr>
        <w:t>2025年库峪河高庙村左岸水毁修复工程（施工）</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ZCBN-长安区-2026-00057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2025年库峪河高庙村左岸水毁修复工程（施工）</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建设内容为修复水毁堤防，长度108.85m，防护采用“C25埋石砼挡墙基础(埋石率≥20%)+格宾护垫+植草护坡”的形式，新建挡墙基础与上、下游现状基础顺接，衔接处铺设单层格宾石笼防护，并对现状穿堤DN1200钢筋砼排水管进行延长、出口处进行防护。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采购包1（2025年库峪河高庙村左岸水毁修复工程（施工））：属于专门面向中小企业采购。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1、法人授权委托书：法定代表人直接参加磋商的，须出具法定代表人身份证明及身份证，法定代表人委托代理人参加磋商的，须出具法定代表人授权委托书及身份证。</w:t>
      </w:r>
    </w:p>
    <w:p>
      <w:pPr>
        <w:pStyle w:val="null3"/>
      </w:pPr>
      <w:r>
        <w:rPr>
          <w:rFonts w:ascii="仿宋_GB2312" w:hAnsi="仿宋_GB2312" w:cs="仿宋_GB2312" w:eastAsia="仿宋_GB2312"/>
        </w:rPr>
        <w:t>2、资质：供应商须具备水利水电工程施工总承包三级及以上资质，且具备合格有效的安全生产许可证。</w:t>
      </w:r>
    </w:p>
    <w:p>
      <w:pPr>
        <w:pStyle w:val="null3"/>
      </w:pPr>
      <w:r>
        <w:rPr>
          <w:rFonts w:ascii="仿宋_GB2312" w:hAnsi="仿宋_GB2312" w:cs="仿宋_GB2312" w:eastAsia="仿宋_GB2312"/>
        </w:rPr>
        <w:t>3、拟派项目经理：拟派项目经理具有本企业注册的水利水电工程专业二级及以上注册建造师证书及安全生产考核合格证,且未担任其他在建工程的项目经理。</w:t>
      </w:r>
    </w:p>
    <w:p>
      <w:pPr>
        <w:pStyle w:val="null3"/>
      </w:pPr>
      <w:r>
        <w:rPr>
          <w:rFonts w:ascii="仿宋_GB2312" w:hAnsi="仿宋_GB2312" w:cs="仿宋_GB2312" w:eastAsia="仿宋_GB2312"/>
        </w:rPr>
        <w:t>4、信誉：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查询，不强制要求供应商提供查询截图，以磋商当日网上查询结果为评审依据）。</w:t>
      </w:r>
    </w:p>
    <w:p>
      <w:pPr>
        <w:pStyle w:val="null3"/>
      </w:pPr>
      <w:r>
        <w:rPr>
          <w:rFonts w:ascii="仿宋_GB2312" w:hAnsi="仿宋_GB2312" w:cs="仿宋_GB2312" w:eastAsia="仿宋_GB2312"/>
        </w:rPr>
        <w:t>5、控股管理关系：单位负责人为同一人或者存在直接控股、管理关系的供应商，不得参加同一合同下的政府采购活动。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6、联合体：本项目不接受联合体磋商。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西安市长安区河道管理中心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西安市长安区韦曲街办南长安街85号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贾少楠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029-85291983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陕西天意达工程咨询有限公司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西安市未央区未央路荣民中央国际16层1615室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蔚浩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15002971117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采购包1：764,957.00元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中标价作为基数、参照国家标准进行计算，费用由成交单位在领取《成交通知书》时向代理机构支付。2、招标代理服务费的计取：参照发改委《招标代理服务收费管理暂行办法》（计价格[2002]1980号）、国家发改委发改办价格 [2003]857号文件及发改价格[2011]534号文件收费标准（90%）计取。3、招标代理服务费采取对公账户银行转账等方式缴纳。名称：陕西天意达工程咨询有限公司，开户行：中国建设银行股份有限公司西安唐延路支行，账号：61001923900052500393</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西安市长安区河道管理中心</w:t>
      </w:r>
      <w:r>
        <w:rPr>
          <w:rFonts w:ascii="仿宋_GB2312" w:hAnsi="仿宋_GB2312" w:cs="仿宋_GB2312" w:eastAsia="仿宋_GB2312"/>
        </w:rPr>
        <w:t>和</w:t>
      </w:r>
      <w:r>
        <w:rPr>
          <w:rFonts w:ascii="仿宋_GB2312" w:hAnsi="仿宋_GB2312" w:cs="仿宋_GB2312" w:eastAsia="仿宋_GB2312"/>
        </w:rPr>
        <w:t>陕西天意达工程咨询有限公司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西安市长安区河道管理中心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陕西天意达工程咨询有限公司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西安市长安区河道管理中心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陕西天意达工程咨询有限公司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符合国家及行业现行技术规范标准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陕西天意达工程咨询有限公司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陕西天意达工程咨询有限公司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陕西天意达工程咨询有限公司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联系人：蔚浩</w:t>
      </w:r>
    </w:p>
    <w:p>
      <w:pPr>
        <w:pStyle w:val="null3"/>
      </w:pPr>
      <w:r>
        <w:rPr>
          <w:rFonts w:ascii="仿宋_GB2312" w:hAnsi="仿宋_GB2312" w:cs="仿宋_GB2312" w:eastAsia="仿宋_GB2312"/>
        </w:rPr>
        <w:t>联系电话：15002971117</w:t>
      </w:r>
    </w:p>
    <w:p>
      <w:pPr>
        <w:pStyle w:val="null3"/>
      </w:pPr>
      <w:r>
        <w:rPr>
          <w:rFonts w:ascii="仿宋_GB2312" w:hAnsi="仿宋_GB2312" w:cs="仿宋_GB2312" w:eastAsia="仿宋_GB2312"/>
        </w:rPr>
        <w:t>地址：西安市未央区未央路荣民中央国际16层1615室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764,957.00</w:t>
      </w:r>
    </w:p>
    <w:p>
      <w:pPr>
        <w:pStyle w:val="null3"/>
      </w:pPr>
      <w:r>
        <w:rPr>
          <w:rFonts w:ascii="仿宋_GB2312" w:hAnsi="仿宋_GB2312" w:cs="仿宋_GB2312" w:eastAsia="仿宋_GB2312"/>
        </w:rPr>
        <w:t>采购包最高限价（元）: 764,957.00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2025年库峪河高庙村左岸水毁修复工程（施工）</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764,957.00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标的名称：2025年库峪河高庙村左岸水毁修复工程（施工）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符合国家及行业现行技术规范标准。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符合国家及行业现行技术规范标准。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的磋商报价应是为完成本项目磋商文件中所提出的施工范围及要求的全部价格体现，包括供应商实施本项目所需的直接费、间接费、利润、税金及其它相关的一切费用。包括但不限于：人工费、材料费、设备费、管理费、保险、运输、维护、验收费、缺陷修复及合同所有责任、义务和风险等全部费用。（2）事业单位参与投标时，可不提供财务状况报告、社会保障资金和税收缴纳证明；依法免税或不需要缴纳社会保障资金的供应商，应提供相应证明文件，证明其依法免税或不需要缴纳社会保障资金。（3）自然人（仅限中国公民）参与投标时，只须提供身份证复印件。（4）项目属性：工程。（5）本项目所属行业为：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6）若为授权代表参加磋商，响应文件中需提供被授权代表开标前三个月内任意一个月在本单位的社保缴纳证明。（7）计划工期：90日历天。（8）质量标准：合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为具有独立承担民事责任能力的法人、其他组织或自然人；（企业法人应提供统一社会信用代码的营业执照；事业单位法人应提供统一社会信用代码的事业单位法人证；其他组织提供合法证明文件；自然人提供身份证明文件。）（2）财务状况报告：提供具有财务审计资质单位出具的2024或2025年度财务报告（成立时间至磋商截止时间不足一年的可提供成立后任意时段的资产负债表）或磋商截止时间前六个月内其基本账户银行出具的资信证明或政府采购信用担保机构出具的磋商担保函；（3）税收缴纳证明：提供磋商截止时间前一年内任意一个月的缴费凭据；（依法免税的供应商应提供相关文件证明）；（4）社会保障资金缴纳证明：提供磋商截止时间前一年内任意一个月的社保缴费凭据或社保机构开具的社会保险参保缴费情况证明(依法不需要缴纳社会保障资金的供应商应提供相关证明）；（5）提供具有履行本合同所必需的设备和专业技术能力的说明及承诺；（6）参加政府采购活动前三年内在经营活动中没有重大违法记录的书面声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响应文件格式.pdf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或2025年度财务报告（成立时间至磋商截止时间不足一年的可提供成立后任意时段的资产负债表）或磋商截止时间前六个月内其基本账户银行出具的资信证明或政府采购信用担保机构出具的磋商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响应文件格式.pdf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响应文件格式.pdf</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法人授权委托书</w:t>
            </w:r>
          </w:p>
        </w:tc>
        <w:tc>
          <w:tcPr>
            <w:tcW w:type="dxa" w:w="3322"/>
          </w:tcPr>
          <w:p>
            <w:pPr>
              <w:pStyle w:val="null3"/>
            </w:pPr>
            <w:r>
              <w:rPr>
                <w:rFonts w:ascii="仿宋_GB2312" w:hAnsi="仿宋_GB2312" w:cs="仿宋_GB2312" w:eastAsia="仿宋_GB2312"/>
              </w:rPr>
              <w:t>法定代表人直接参加磋商的，须出具法定代表人身份证明及身份证，法定代表人委托代理人参加磋商的，须出具法定代表人授权委托书及身份证。</w:t>
            </w:r>
          </w:p>
        </w:tc>
        <w:tc>
          <w:tcPr>
            <w:tcW w:type="dxa" w:w="1661"/>
          </w:tcPr>
          <w:p>
            <w:pPr>
              <w:pStyle w:val="null3"/>
            </w:pPr>
            <w:r>
              <w:rPr>
                <w:rFonts w:ascii="仿宋_GB2312" w:hAnsi="仿宋_GB2312" w:cs="仿宋_GB2312" w:eastAsia="仿宋_GB2312"/>
              </w:rPr>
              <w:t>响应文件格式.pdf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供应商须具备水利水电工程施工总承包三级及以上资质，且具备合格有效的安全生产许可证。</w:t>
            </w:r>
          </w:p>
        </w:tc>
        <w:tc>
          <w:tcPr>
            <w:tcW w:type="dxa" w:w="1661"/>
          </w:tcPr>
          <w:p>
            <w:pPr>
              <w:pStyle w:val="null3"/>
            </w:pPr>
            <w:r>
              <w:rPr>
                <w:rFonts w:ascii="仿宋_GB2312" w:hAnsi="仿宋_GB2312" w:cs="仿宋_GB2312" w:eastAsia="仿宋_GB2312"/>
              </w:rPr>
              <w:t>响应文件格式.pdf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拟派项目经理具有本企业注册的水利水电工程专业二级及以上注册建造师证书及安全生产考核合格证,且未担任其他在建工程的项目经理。</w:t>
            </w:r>
          </w:p>
        </w:tc>
        <w:tc>
          <w:tcPr>
            <w:tcW w:type="dxa" w:w="1661"/>
          </w:tcPr>
          <w:p>
            <w:pPr>
              <w:pStyle w:val="null3"/>
            </w:pPr>
            <w:r>
              <w:rPr>
                <w:rFonts w:ascii="仿宋_GB2312" w:hAnsi="仿宋_GB2312" w:cs="仿宋_GB2312" w:eastAsia="仿宋_GB2312"/>
              </w:rPr>
              <w:t>响应文件格式.pdf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查询，不强制要求供应商提供查询截图，以磋商当日网上查询结果为评审依据）。</w:t>
            </w:r>
          </w:p>
        </w:tc>
        <w:tc>
          <w:tcPr>
            <w:tcW w:type="dxa" w:w="1661"/>
          </w:tcPr>
          <w:p>
            <w:pPr>
              <w:pStyle w:val="null3"/>
            </w:pPr>
            <w:r>
              <w:rPr>
                <w:rFonts w:ascii="仿宋_GB2312" w:hAnsi="仿宋_GB2312" w:cs="仿宋_GB2312" w:eastAsia="仿宋_GB2312"/>
              </w:rPr>
              <w:t>响应文件格式.pdf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响应文件格式.pdf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响应文件格式.pdf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 响应文件格式.pdf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响应文件格式.pdf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完全理解并响应合同条款的要求，且未含有采购人不能接受的附加条件的。</w:t>
            </w:r>
          </w:p>
        </w:tc>
        <w:tc>
          <w:tcPr>
            <w:tcW w:type="dxa" w:w="1661"/>
          </w:tcPr>
          <w:p>
            <w:pPr>
              <w:pStyle w:val="null3"/>
            </w:pPr>
            <w:r>
              <w:rPr>
                <w:rFonts w:ascii="仿宋_GB2312" w:hAnsi="仿宋_GB2312" w:cs="仿宋_GB2312" w:eastAsia="仿宋_GB2312"/>
              </w:rPr>
              <w:t>响应文件格式.pdf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响应文件格式.pdf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响应文件格式.pdf</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总体方案内容至少包括①施工准备；②施工进度安排;③施工方法；④重点难点工程分析及解决措施； ⑤影响正常施工外在因素分析及对应预案等。以上内容专门针对本项目且阐述明晰、全面、合理得10分，每缺一项内容扣2分，若上述内容存在瑕疵，每存在1处瑕疵扣1分，扣完为止。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响应文件格式.pdf</w:t>
            </w:r>
          </w:p>
        </w:tc>
      </w:tr>
      <w:tr>
        <w:tc>
          <w:tcPr>
            <w:tcW w:type="dxa" w:w="831"/>
            <w:vMerge/>
          </w:tcPr>
          <w:p/>
        </w:tc>
        <w:tc>
          <w:tcPr>
            <w:tcW w:type="dxa" w:w="1661"/>
          </w:tcPr>
          <w:p>
            <w:pPr>
              <w:pStyle w:val="null3"/>
            </w:pPr>
            <w:r>
              <w:rPr>
                <w:rFonts w:ascii="仿宋_GB2312" w:hAnsi="仿宋_GB2312" w:cs="仿宋_GB2312" w:eastAsia="仿宋_GB2312"/>
              </w:rPr>
              <w:t>工程质量的技术组织措施</w:t>
            </w:r>
          </w:p>
        </w:tc>
        <w:tc>
          <w:tcPr>
            <w:tcW w:type="dxa" w:w="2492"/>
          </w:tcPr>
          <w:p>
            <w:pPr>
              <w:pStyle w:val="null3"/>
            </w:pPr>
            <w:r>
              <w:rPr>
                <w:rFonts w:ascii="仿宋_GB2312" w:hAnsi="仿宋_GB2312" w:cs="仿宋_GB2312" w:eastAsia="仿宋_GB2312"/>
              </w:rPr>
              <w:t>工程质量的技术组织措施内容至少包括①质量管理 工作流程；②工程质量保障方案；③工程质量控制体系；④材料和构配件的质量控制等；⑤施工检测及工序交验方案等。以上内容专门针对本项目且阐述明晰、全面、合理得10分，每缺一项内容扣2分，若上述内容存在瑕疵，每存在1处瑕疵扣1分，扣完为止。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响应文件格式.pdf</w:t>
            </w:r>
          </w:p>
        </w:tc>
      </w:tr>
      <w:tr>
        <w:tc>
          <w:tcPr>
            <w:tcW w:type="dxa" w:w="831"/>
            <w:vMerge/>
          </w:tcPr>
          <w:p/>
        </w:tc>
        <w:tc>
          <w:tcPr>
            <w:tcW w:type="dxa" w:w="1661"/>
          </w:tcPr>
          <w:p>
            <w:pPr>
              <w:pStyle w:val="null3"/>
            </w:pPr>
            <w:r>
              <w:rPr>
                <w:rFonts w:ascii="仿宋_GB2312" w:hAnsi="仿宋_GB2312" w:cs="仿宋_GB2312" w:eastAsia="仿宋_GB2312"/>
              </w:rPr>
              <w:t>安全生产技术组织措施</w:t>
            </w:r>
          </w:p>
        </w:tc>
        <w:tc>
          <w:tcPr>
            <w:tcW w:type="dxa" w:w="2492"/>
          </w:tcPr>
          <w:p>
            <w:pPr>
              <w:pStyle w:val="null3"/>
            </w:pPr>
            <w:r>
              <w:rPr>
                <w:rFonts w:ascii="仿宋_GB2312" w:hAnsi="仿宋_GB2312" w:cs="仿宋_GB2312" w:eastAsia="仿宋_GB2312"/>
              </w:rPr>
              <w:t>安全生产技术组织措施内容至少包括①安全生产管 理制度；②配置安全组织机构；③安全隐患排查、整改制度；④应急救援机制等。以上内容专门针对本项目且阐述明晰、全面、合理 得10分，每缺一项内容扣2.5分，若上述内容存在瑕疵，每出存在1处瑕疵扣1分，扣完为止。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响应文件格式.pdf</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文明施工及环境保护组织措施内容至少包括①文明及环境保护管理制度；②防尘降噪措施；③节能减排措施；④文明及环境保护施工监督检查机制等。以上内容专门针对本项目且阐述明晰、全面、合理得10分，每缺一项内容扣 2.5分，若上述内容存在瑕疵，每存在1处瑕疵扣1分，扣完为止。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响应文件格式.pdf</w:t>
            </w:r>
          </w:p>
        </w:tc>
      </w:tr>
      <w:tr>
        <w:tc>
          <w:tcPr>
            <w:tcW w:type="dxa" w:w="831"/>
            <w:vMerge/>
          </w:tcPr>
          <w:p/>
        </w:tc>
        <w:tc>
          <w:tcPr>
            <w:tcW w:type="dxa" w:w="1661"/>
          </w:tcPr>
          <w:p>
            <w:pPr>
              <w:pStyle w:val="null3"/>
            </w:pPr>
            <w:r>
              <w:rPr>
                <w:rFonts w:ascii="仿宋_GB2312" w:hAnsi="仿宋_GB2312" w:cs="仿宋_GB2312" w:eastAsia="仿宋_GB2312"/>
              </w:rPr>
              <w:t>施工组织和项目管理机构</w:t>
            </w:r>
          </w:p>
        </w:tc>
        <w:tc>
          <w:tcPr>
            <w:tcW w:type="dxa" w:w="2492"/>
          </w:tcPr>
          <w:p>
            <w:pPr>
              <w:pStyle w:val="null3"/>
            </w:pPr>
            <w:r>
              <w:rPr>
                <w:rFonts w:ascii="仿宋_GB2312" w:hAnsi="仿宋_GB2312" w:cs="仿宋_GB2312" w:eastAsia="仿宋_GB2312"/>
              </w:rPr>
              <w:t>施工组织和项目管理机构内容至少包括①项目管理 机构图;②岗位安排及职责（配备施工员、安全员、资料员、材料员、质量员）；③管理制度；④相应的协调措施等。以上内容专门针对本项目且阐述明晰、全面、合理得10分，每缺一项内容扣2.5分，若上述内容存在瑕疵，每存在 1处瑕疵扣1分，扣完为止。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响应文件格式.pdf</w:t>
            </w:r>
          </w:p>
        </w:tc>
      </w:tr>
      <w:tr>
        <w:tc>
          <w:tcPr>
            <w:tcW w:type="dxa" w:w="831"/>
            <w:vMerge/>
          </w:tcPr>
          <w:p/>
        </w:tc>
        <w:tc>
          <w:tcPr>
            <w:tcW w:type="dxa" w:w="1661"/>
          </w:tcPr>
          <w:p>
            <w:pPr>
              <w:pStyle w:val="null3"/>
            </w:pPr>
            <w:r>
              <w:rPr>
                <w:rFonts w:ascii="仿宋_GB2312" w:hAnsi="仿宋_GB2312" w:cs="仿宋_GB2312" w:eastAsia="仿宋_GB2312"/>
              </w:rPr>
              <w:t>施工部署与进度计划</w:t>
            </w:r>
          </w:p>
        </w:tc>
        <w:tc>
          <w:tcPr>
            <w:tcW w:type="dxa" w:w="2492"/>
          </w:tcPr>
          <w:p>
            <w:pPr>
              <w:pStyle w:val="null3"/>
            </w:pPr>
            <w:r>
              <w:rPr>
                <w:rFonts w:ascii="仿宋_GB2312" w:hAnsi="仿宋_GB2312" w:cs="仿宋_GB2312" w:eastAsia="仿宋_GB2312"/>
              </w:rPr>
              <w:t>施工部署与进度计划内容至少包括①施工总平面布 置；②进度安排计划；③工期目标控制和保证措施；④材料供应措施；⑤成品、半成品保护监管措施等。以上内容专门针对本项目且阐述明晰、全面、合理得5分，每缺一项内容扣1分，若上述内容存在瑕疵，每存在1处瑕疵扣0.5分，扣完为止。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响应文件格式.pdf</w:t>
            </w:r>
          </w:p>
        </w:tc>
      </w:tr>
      <w:tr>
        <w:tc>
          <w:tcPr>
            <w:tcW w:type="dxa" w:w="831"/>
            <w:vMerge/>
          </w:tcPr>
          <w:p/>
        </w:tc>
        <w:tc>
          <w:tcPr>
            <w:tcW w:type="dxa" w:w="1661"/>
          </w:tcPr>
          <w:p>
            <w:pPr>
              <w:pStyle w:val="null3"/>
            </w:pPr>
            <w:r>
              <w:rPr>
                <w:rFonts w:ascii="仿宋_GB2312" w:hAnsi="仿宋_GB2312" w:cs="仿宋_GB2312" w:eastAsia="仿宋_GB2312"/>
              </w:rPr>
              <w:t>施工机械配置 和材料投入计划</w:t>
            </w:r>
          </w:p>
        </w:tc>
        <w:tc>
          <w:tcPr>
            <w:tcW w:type="dxa" w:w="2492"/>
          </w:tcPr>
          <w:p>
            <w:pPr>
              <w:pStyle w:val="null3"/>
            </w:pPr>
            <w:r>
              <w:rPr>
                <w:rFonts w:ascii="仿宋_GB2312" w:hAnsi="仿宋_GB2312" w:cs="仿宋_GB2312" w:eastAsia="仿宋_GB2312"/>
              </w:rPr>
              <w:t>施工机械配置和材料投入计划内容至少包括①施工 机械配置计划；②施工材料投入计划；③施工机械的维护保养和材料的贮存；④施工机械、材料的监督和检查等。以上内容专门针对本项目且阐述明晰、全面、合理得10分，每缺一项内容扣2.5分，若上述内容存在瑕疵， 每存在1处瑕疵扣1分，扣完为止。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响应文件格式.pdf</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提供2023年1月1日至今类似项目（提供合同协议书以合同签订日期为准，或中标（成交）通知书复印件），每份有效业绩得2.5分，满分5分。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各供应商的在多次报价中应逐次降价，二次报价超过首次报价的，为无效报价，取消其磋商资格。3、满足磋商文件实质性要求且最终报价最低的供应商的价格为磋商基准价，其价格分为满分30分。4、磋商报价得分=（磋商基准价/最终磋商报价）×价格权值×100% 5、磋商报价不完整的，不进入磋商基准价的计算，本项得0分。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响应文件格式.pdf</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详见附件：响应文件格式.pdf</w:t>
      </w:r>
    </w:p>
    <w:p>
      <w:pPr>
        <w:pStyle w:val="null3"/>
        <w:ind w:firstLine="960"/>
      </w:pPr>
      <w:r>
        <w:rPr>
          <w:rFonts w:ascii="仿宋_GB2312" w:hAnsi="仿宋_GB2312" w:cs="仿宋_GB2312" w:eastAsia="仿宋_GB2312"/>
        </w:rPr>
        <w:t>详见附件：已标价工程量清单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