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版本号：ZCTH2026-04-02820260408001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2026体检服务采购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ZCTH2026-04-028</w:t>
      </w:r>
      <w:r>
        <w:br/>
      </w:r>
      <w:r>
        <w:br/>
      </w:r>
      <w:r>
        <w:br/>
      </w:r>
    </w:p>
    <w:p>
      <w:pPr>
        <w:pStyle w:val="null3"/>
        <w:jc w:val="center"/>
        <w:outlineLvl w:val="2"/>
      </w:pPr>
      <w:r>
        <w:rPr>
          <w:rFonts w:ascii="仿宋_GB2312" w:hAnsi="仿宋_GB2312" w:cs="仿宋_GB2312" w:eastAsia="仿宋_GB2312"/>
          <w:sz w:val="28"/>
          <w:b/>
        </w:rPr>
        <w:t>西安市公安局长安分局</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西安市公安局长安分局</w:t>
      </w:r>
      <w:r>
        <w:rPr>
          <w:rFonts w:ascii="仿宋_GB2312" w:hAnsi="仿宋_GB2312" w:cs="仿宋_GB2312" w:eastAsia="仿宋_GB2312"/>
        </w:rPr>
        <w:t>委托，拟对</w:t>
      </w:r>
      <w:r>
        <w:rPr>
          <w:rFonts w:ascii="仿宋_GB2312" w:hAnsi="仿宋_GB2312" w:cs="仿宋_GB2312" w:eastAsia="仿宋_GB2312"/>
        </w:rPr>
        <w:t>2026体检服务采购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ZCTH2026-04-028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2026体检服务采购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2026体检服务采购,详见采购文件。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委托书：法定代表人身份证明或法定代表人授权委托书：法定代表人直接参加磋商的，须出具法定代表人身份证明及法人身份证；法定代表人授权代表参加磋商的，须出具法定代表人授权委托书和被授权人身份证；</w:t>
      </w:r>
    </w:p>
    <w:p>
      <w:pPr>
        <w:pStyle w:val="null3"/>
      </w:pPr>
      <w:r>
        <w:rPr>
          <w:rFonts w:ascii="仿宋_GB2312" w:hAnsi="仿宋_GB2312" w:cs="仿宋_GB2312" w:eastAsia="仿宋_GB2312"/>
        </w:rPr>
        <w:t>2、资质证书：供应商应具有卫生行政部门核准登记取得且有效的《医疗机构执业许可证》和《放射诊疗许可证》；</w:t>
      </w:r>
    </w:p>
    <w:p>
      <w:pPr>
        <w:pStyle w:val="null3"/>
      </w:pPr>
      <w:r>
        <w:rPr>
          <w:rFonts w:ascii="仿宋_GB2312" w:hAnsi="仿宋_GB2312" w:cs="仿宋_GB2312" w:eastAsia="仿宋_GB2312"/>
        </w:rPr>
        <w:t>3、信用记录：供应商未被“信用中国”网站列入失信被执行人和重大税收违法失信主体，未被中国政府采购 网列入政府采购严重违法失信行为记录名单(处 罚期限届满的除外)（以现场信用记录查询结果为准）；</w:t>
      </w:r>
    </w:p>
    <w:p>
      <w:pPr>
        <w:pStyle w:val="null3"/>
      </w:pPr>
      <w:r>
        <w:rPr>
          <w:rFonts w:ascii="仿宋_GB2312" w:hAnsi="仿宋_GB2312" w:cs="仿宋_GB2312" w:eastAsia="仿宋_GB2312"/>
        </w:rPr>
        <w:t>4、非联合体投标：本项目不允许联合体参与磋商。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西安市公安局长安分局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西安市长安区韦曲街道西长安街2366号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029-86750668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柏维娜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左崇苇</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代理服务费收费标准：参照国家计委关于印发《招标代理服务收费管理暂行办法》（计价格[2002]1980号）的通知）的有关规定执行。 成交单位在领取成交通知书前，须向采购代理机构一次性支付招标代理服务费。 招标代理服务费账户 户名：陕西中诚天和项目管理有限公司 开户行：中国建设银行股份有限公司西安高新自贸区支行 账号：61050110066700001164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西安市公安局长安分局</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西安市公安局长安分局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西安市公安局长安分局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地址：西安市高新区锦业一路52号宝德云谷国际-B座14层1406-6室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2026体检服务采购，详见采购文件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1,320,000.00</w:t>
      </w:r>
    </w:p>
    <w:p>
      <w:pPr>
        <w:pStyle w:val="null3"/>
      </w:pPr>
      <w:r>
        <w:rPr>
          <w:rFonts w:ascii="仿宋_GB2312" w:hAnsi="仿宋_GB2312" w:cs="仿宋_GB2312" w:eastAsia="仿宋_GB2312"/>
        </w:rPr>
        <w:t>采购包最高限价（元）: 1,320,000.00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2026体检服务采购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标的名称：2026体检服务采购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一、项目总预算：</w:t>
            </w:r>
            <w:r>
              <w:rPr>
                <w:rFonts w:ascii="仿宋_GB2312" w:hAnsi="仿宋_GB2312" w:cs="仿宋_GB2312" w:eastAsia="仿宋_GB2312"/>
                <w:sz w:val="20"/>
              </w:rPr>
              <w:t>1,3</w:t>
            </w:r>
            <w:r>
              <w:rPr>
                <w:rFonts w:ascii="仿宋_GB2312" w:hAnsi="仿宋_GB2312" w:cs="仿宋_GB2312" w:eastAsia="仿宋_GB2312"/>
                <w:sz w:val="20"/>
              </w:rPr>
              <w:t>2</w:t>
            </w:r>
            <w:r>
              <w:rPr>
                <w:rFonts w:ascii="仿宋_GB2312" w:hAnsi="仿宋_GB2312" w:cs="仿宋_GB2312" w:eastAsia="仿宋_GB2312"/>
                <w:sz w:val="20"/>
              </w:rPr>
              <w:t>0,000.00元</w:t>
            </w:r>
            <w:r>
              <w:rPr>
                <w:rFonts w:ascii="仿宋_GB2312" w:hAnsi="仿宋_GB2312" w:cs="仿宋_GB2312" w:eastAsia="仿宋_GB2312"/>
                <w:sz w:val="20"/>
              </w:rPr>
              <w:t>，</w:t>
            </w:r>
            <w:r>
              <w:rPr>
                <w:rFonts w:ascii="仿宋_GB2312" w:hAnsi="仿宋_GB2312" w:cs="仿宋_GB2312" w:eastAsia="仿宋_GB2312"/>
                <w:sz w:val="20"/>
              </w:rPr>
              <w:t>据实结算，最终支付总额不超过总预算。</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服务内容：</w:t>
            </w:r>
            <w:r>
              <w:rPr>
                <w:rFonts w:ascii="仿宋_GB2312" w:hAnsi="仿宋_GB2312" w:cs="仿宋_GB2312" w:eastAsia="仿宋_GB2312"/>
                <w:sz w:val="20"/>
              </w:rPr>
              <w:t>预算总人数</w:t>
            </w:r>
            <w:r>
              <w:rPr>
                <w:rFonts w:ascii="仿宋_GB2312" w:hAnsi="仿宋_GB2312" w:cs="仿宋_GB2312" w:eastAsia="仿宋_GB2312"/>
                <w:sz w:val="20"/>
              </w:rPr>
              <w:t>15</w:t>
            </w:r>
            <w:r>
              <w:rPr>
                <w:rFonts w:ascii="仿宋_GB2312" w:hAnsi="仿宋_GB2312" w:cs="仿宋_GB2312" w:eastAsia="仿宋_GB2312"/>
                <w:sz w:val="20"/>
              </w:rPr>
              <w:t>33</w:t>
            </w:r>
            <w:r>
              <w:rPr>
                <w:rFonts w:ascii="仿宋_GB2312" w:hAnsi="仿宋_GB2312" w:cs="仿宋_GB2312" w:eastAsia="仿宋_GB2312"/>
                <w:sz w:val="20"/>
              </w:rPr>
              <w:t>人，其中正式民警含退休人员</w:t>
            </w:r>
            <w:r>
              <w:rPr>
                <w:rFonts w:ascii="仿宋_GB2312" w:hAnsi="仿宋_GB2312" w:cs="仿宋_GB2312" w:eastAsia="仿宋_GB2312"/>
                <w:sz w:val="20"/>
              </w:rPr>
              <w:t>884人，辅警630人，临聘人员</w:t>
            </w:r>
            <w:r>
              <w:rPr>
                <w:rFonts w:ascii="仿宋_GB2312" w:hAnsi="仿宋_GB2312" w:cs="仿宋_GB2312" w:eastAsia="仿宋_GB2312"/>
                <w:sz w:val="20"/>
              </w:rPr>
              <w:t>19</w:t>
            </w:r>
            <w:r>
              <w:rPr>
                <w:rFonts w:ascii="仿宋_GB2312" w:hAnsi="仿宋_GB2312" w:cs="仿宋_GB2312" w:eastAsia="仿宋_GB2312"/>
                <w:sz w:val="20"/>
              </w:rPr>
              <w:t>人。据实结算。</w:t>
            </w:r>
          </w:p>
          <w:p>
            <w:pPr>
              <w:pStyle w:val="null3"/>
              <w:jc w:val="center"/>
            </w:pPr>
            <w:r>
              <w:rPr>
                <w:rFonts w:ascii="仿宋_GB2312" w:hAnsi="仿宋_GB2312" w:cs="仿宋_GB2312" w:eastAsia="仿宋_GB2312"/>
                <w:sz w:val="20"/>
                <w:b/>
              </w:rPr>
              <w:t>体检分组及人数清单</w:t>
            </w:r>
          </w:p>
          <w:tbl>
            <w:tblPr>
              <w:tblInd w:type="dxa" w:w="210"/>
              <w:tblBorders>
                <w:top w:val="none" w:color="000000" w:sz="4"/>
                <w:left w:val="none" w:color="000000" w:sz="4"/>
                <w:bottom w:val="none" w:color="000000" w:sz="4"/>
                <w:right w:val="none" w:color="000000" w:sz="4"/>
                <w:insideH w:val="none"/>
                <w:insideV w:val="none"/>
              </w:tblBorders>
            </w:tblPr>
            <w:tblGrid>
              <w:gridCol w:w="265"/>
              <w:gridCol w:w="371"/>
              <w:gridCol w:w="514"/>
              <w:gridCol w:w="510"/>
              <w:gridCol w:w="240"/>
            </w:tblGrid>
            <w:tr>
              <w:tc>
                <w:tcPr>
                  <w:tcW w:type="dxa" w:w="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88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分组</w:t>
                  </w:r>
                </w:p>
              </w:tc>
              <w:tc>
                <w:tcPr>
                  <w:tcW w:type="dxa" w:w="5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人数</w:t>
                  </w:r>
                </w:p>
              </w:tc>
              <w:tc>
                <w:tcPr>
                  <w:tcW w:type="dxa" w:w="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正式民警含退休人员</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男性＜</w:t>
                  </w:r>
                  <w:r>
                    <w:rPr>
                      <w:rFonts w:ascii="仿宋_GB2312" w:hAnsi="仿宋_GB2312" w:cs="仿宋_GB2312" w:eastAsia="仿宋_GB2312"/>
                      <w:sz w:val="20"/>
                    </w:rPr>
                    <w:t>45岁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456</w:t>
                  </w:r>
                </w:p>
              </w:tc>
              <w:tc>
                <w:tcPr>
                  <w:tcW w:type="dxa" w:w="24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884人</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71"/>
                  <w:vMerge/>
                  <w:tcBorders>
                    <w:top w:val="none" w:color="000000" w:sz="4"/>
                    <w:left w:val="none" w:color="000000" w:sz="4"/>
                    <w:bottom w:val="single" w:color="000000" w:sz="4"/>
                    <w:right w:val="single" w:color="000000" w:sz="4"/>
                  </w:tcBorders>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男性</w:t>
                  </w:r>
                  <w:r>
                    <w:rPr>
                      <w:rFonts w:ascii="仿宋_GB2312" w:hAnsi="仿宋_GB2312" w:cs="仿宋_GB2312" w:eastAsia="仿宋_GB2312"/>
                      <w:sz w:val="20"/>
                    </w:rPr>
                    <w:t>≥45岁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355</w:t>
                  </w:r>
                </w:p>
              </w:tc>
              <w:tc>
                <w:tcPr>
                  <w:tcW w:type="dxa" w:w="240"/>
                  <w:vMerge/>
                  <w:tcBorders>
                    <w:top w:val="single" w:color="000000" w:sz="4"/>
                    <w:left w:val="none" w:color="000000" w:sz="4"/>
                    <w:bottom w:val="non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71"/>
                  <w:vMerge/>
                  <w:tcBorders>
                    <w:top w:val="none" w:color="000000" w:sz="4"/>
                    <w:left w:val="none" w:color="000000" w:sz="4"/>
                    <w:bottom w:val="single" w:color="000000" w:sz="4"/>
                    <w:right w:val="single" w:color="000000" w:sz="4"/>
                  </w:tcBorders>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女性</w:t>
                  </w:r>
                  <w:r>
                    <w:rPr>
                      <w:rFonts w:ascii="仿宋_GB2312" w:hAnsi="仿宋_GB2312" w:cs="仿宋_GB2312" w:eastAsia="仿宋_GB2312"/>
                      <w:sz w:val="20"/>
                    </w:rPr>
                    <w:t>≥35岁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40"/>
                  <w:vMerge/>
                  <w:tcBorders>
                    <w:top w:val="single" w:color="000000" w:sz="4"/>
                    <w:left w:val="none" w:color="000000" w:sz="4"/>
                    <w:bottom w:val="non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71"/>
                  <w:vMerge/>
                  <w:tcBorders>
                    <w:top w:val="none" w:color="000000" w:sz="4"/>
                    <w:left w:val="none" w:color="000000" w:sz="4"/>
                    <w:bottom w:val="single" w:color="000000" w:sz="4"/>
                    <w:right w:val="single" w:color="000000" w:sz="4"/>
                  </w:tcBorders>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女性＜</w:t>
                  </w:r>
                  <w:r>
                    <w:rPr>
                      <w:rFonts w:ascii="仿宋_GB2312" w:hAnsi="仿宋_GB2312" w:cs="仿宋_GB2312" w:eastAsia="仿宋_GB2312"/>
                      <w:sz w:val="20"/>
                    </w:rPr>
                    <w:t>35岁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40"/>
                  <w:vMerge/>
                  <w:tcBorders>
                    <w:top w:val="single" w:color="000000" w:sz="4"/>
                    <w:left w:val="none" w:color="000000" w:sz="4"/>
                    <w:bottom w:val="non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辅警人员</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男性</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568</w:t>
                  </w:r>
                </w:p>
              </w:tc>
              <w:tc>
                <w:tcPr>
                  <w:tcW w:type="dxa" w:w="2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630人</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71"/>
                  <w:vMerge/>
                  <w:tcBorders>
                    <w:top w:val="none" w:color="000000" w:sz="4"/>
                    <w:left w:val="none" w:color="000000" w:sz="4"/>
                    <w:bottom w:val="single" w:color="000000" w:sz="4"/>
                    <w:right w:val="single" w:color="000000" w:sz="4"/>
                  </w:tcBorders>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女性</w:t>
                  </w:r>
                  <w:r>
                    <w:rPr>
                      <w:rFonts w:ascii="仿宋_GB2312" w:hAnsi="仿宋_GB2312" w:cs="仿宋_GB2312" w:eastAsia="仿宋_GB2312"/>
                      <w:sz w:val="20"/>
                    </w:rPr>
                    <w:t>≥35岁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40"/>
                  <w:vMerge/>
                  <w:tcBorders>
                    <w:top w:val="none" w:color="000000" w:sz="4"/>
                    <w:left w:val="none" w:color="000000" w:sz="4"/>
                    <w:bottom w:val="non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71"/>
                  <w:vMerge/>
                  <w:tcBorders>
                    <w:top w:val="none" w:color="000000" w:sz="4"/>
                    <w:left w:val="none" w:color="000000" w:sz="4"/>
                    <w:bottom w:val="single" w:color="000000" w:sz="4"/>
                    <w:right w:val="single" w:color="000000" w:sz="4"/>
                  </w:tcBorders>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女性＜</w:t>
                  </w:r>
                  <w:r>
                    <w:rPr>
                      <w:rFonts w:ascii="仿宋_GB2312" w:hAnsi="仿宋_GB2312" w:cs="仿宋_GB2312" w:eastAsia="仿宋_GB2312"/>
                      <w:sz w:val="20"/>
                    </w:rPr>
                    <w:t>35岁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40"/>
                  <w:vMerge/>
                  <w:tcBorders>
                    <w:top w:val="none" w:color="000000" w:sz="4"/>
                    <w:left w:val="none" w:color="000000" w:sz="4"/>
                    <w:bottom w:val="non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临聘人员</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男性</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19人</w:t>
                  </w: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71"/>
                  <w:vMerge/>
                  <w:tcBorders>
                    <w:top w:val="none" w:color="000000" w:sz="4"/>
                    <w:left w:val="none" w:color="000000" w:sz="4"/>
                    <w:bottom w:val="single" w:color="000000" w:sz="4"/>
                    <w:right w:val="single" w:color="000000" w:sz="4"/>
                  </w:tcBorders>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女性</w:t>
                  </w:r>
                  <w:r>
                    <w:rPr>
                      <w:rFonts w:ascii="仿宋_GB2312" w:hAnsi="仿宋_GB2312" w:cs="仿宋_GB2312" w:eastAsia="仿宋_GB2312"/>
                      <w:sz w:val="20"/>
                    </w:rPr>
                    <w:t>≥35岁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40"/>
                  <w:vMerge/>
                  <w:tcBorders>
                    <w:top w:val="none" w:color="000000" w:sz="4"/>
                    <w:left w:val="none" w:color="000000" w:sz="4"/>
                    <w:bottom w:val="none" w:color="000000" w:sz="4"/>
                    <w:right w:val="single" w:color="000000" w:sz="4"/>
                  </w:tcBorders>
                </w:tcPr>
                <w:p/>
              </w:tc>
            </w:tr>
            <w:tr>
              <w:tc>
                <w:tcPr>
                  <w:tcW w:type="dxa" w:w="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71"/>
                  <w:vMerge/>
                  <w:tcBorders>
                    <w:top w:val="none" w:color="000000" w:sz="4"/>
                    <w:left w:val="none" w:color="000000" w:sz="4"/>
                    <w:bottom w:val="single" w:color="000000" w:sz="4"/>
                    <w:right w:val="single" w:color="000000" w:sz="4"/>
                  </w:tcBorders>
                </w:tc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女性＜</w:t>
                  </w:r>
                  <w:r>
                    <w:rPr>
                      <w:rFonts w:ascii="仿宋_GB2312" w:hAnsi="仿宋_GB2312" w:cs="仿宋_GB2312" w:eastAsia="仿宋_GB2312"/>
                      <w:sz w:val="20"/>
                    </w:rPr>
                    <w:t>35岁</w:t>
                  </w:r>
                </w:p>
              </w:tc>
              <w:tc>
                <w:tcPr>
                  <w:tcW w:type="dxa" w:w="5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40"/>
                  <w:vMerge/>
                  <w:tcBorders>
                    <w:top w:val="none" w:color="000000" w:sz="4"/>
                    <w:left w:val="none" w:color="000000" w:sz="4"/>
                    <w:bottom w:val="none" w:color="000000" w:sz="4"/>
                    <w:right w:val="single" w:color="000000" w:sz="4"/>
                  </w:tcBorders>
                </w:tcPr>
                <w:p/>
              </w:tc>
            </w:tr>
          </w:tbl>
          <w:p>
            <w:pPr>
              <w:pStyle w:val="null3"/>
              <w:jc w:val="both"/>
            </w:pPr>
            <w:r>
              <w:rPr>
                <w:rFonts w:ascii="仿宋_GB2312" w:hAnsi="仿宋_GB2312" w:cs="仿宋_GB2312" w:eastAsia="仿宋_GB2312"/>
                <w:sz w:val="28"/>
                <w:b/>
              </w:rPr>
              <w:t>三、</w:t>
            </w:r>
            <w:r>
              <w:rPr>
                <w:rFonts w:ascii="仿宋_GB2312" w:hAnsi="仿宋_GB2312" w:cs="仿宋_GB2312" w:eastAsia="仿宋_GB2312"/>
                <w:sz w:val="28"/>
                <w:b/>
              </w:rPr>
              <w:t>体检项目：</w:t>
            </w:r>
          </w:p>
          <w:p>
            <w:pPr>
              <w:pStyle w:val="null3"/>
              <w:jc w:val="center"/>
            </w:pPr>
            <w:r>
              <w:rPr>
                <w:rFonts w:ascii="仿宋_GB2312" w:hAnsi="仿宋_GB2312" w:cs="仿宋_GB2312" w:eastAsia="仿宋_GB2312"/>
                <w:sz w:val="28"/>
                <w:b/>
              </w:rPr>
              <w:t>分组一：正式民警含退休人员</w:t>
            </w:r>
            <w:r>
              <w:rPr>
                <w:rFonts w:ascii="仿宋_GB2312" w:hAnsi="仿宋_GB2312" w:cs="仿宋_GB2312" w:eastAsia="仿宋_GB2312"/>
                <w:sz w:val="28"/>
                <w:b/>
              </w:rPr>
              <w:t>884人</w:t>
            </w:r>
          </w:p>
          <w:tbl>
            <w:tblPr>
              <w:tblBorders>
                <w:top w:val="none" w:color="000000" w:sz="4"/>
                <w:left w:val="none" w:color="000000" w:sz="4"/>
                <w:bottom w:val="none" w:color="000000" w:sz="4"/>
                <w:right w:val="none" w:color="000000" w:sz="4"/>
                <w:insideH w:val="none"/>
                <w:insideV w:val="none"/>
              </w:tblBorders>
            </w:tblPr>
            <w:tblGrid>
              <w:gridCol w:w="168"/>
              <w:gridCol w:w="411"/>
              <w:gridCol w:w="617"/>
              <w:gridCol w:w="242"/>
              <w:gridCol w:w="253"/>
              <w:gridCol w:w="247"/>
              <w:gridCol w:w="596"/>
            </w:tblGrid>
            <w:tr>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4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临床意义</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男</w:t>
                  </w:r>
                </w:p>
                <w:p>
                  <w:pPr>
                    <w:pStyle w:val="null3"/>
                    <w:jc w:val="center"/>
                  </w:pPr>
                  <w:r>
                    <w:rPr>
                      <w:rFonts w:ascii="仿宋_GB2312" w:hAnsi="仿宋_GB2312" w:cs="仿宋_GB2312" w:eastAsia="仿宋_GB2312"/>
                      <w:sz w:val="18"/>
                      <w:b/>
                    </w:rPr>
                    <w:t>（＜</w:t>
                  </w:r>
                  <w:r>
                    <w:rPr>
                      <w:rFonts w:ascii="仿宋_GB2312" w:hAnsi="仿宋_GB2312" w:cs="仿宋_GB2312" w:eastAsia="仿宋_GB2312"/>
                      <w:sz w:val="18"/>
                      <w:b/>
                    </w:rPr>
                    <w:t>45岁）</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男</w:t>
                  </w:r>
                </w:p>
                <w:p>
                  <w:pPr>
                    <w:pStyle w:val="null3"/>
                    <w:jc w:val="center"/>
                  </w:pPr>
                  <w:r>
                    <w:rPr>
                      <w:rFonts w:ascii="仿宋_GB2312" w:hAnsi="仿宋_GB2312" w:cs="仿宋_GB2312" w:eastAsia="仿宋_GB2312"/>
                      <w:sz w:val="18"/>
                      <w:b/>
                    </w:rPr>
                    <w:t>（</w:t>
                  </w:r>
                  <w:r>
                    <w:rPr>
                      <w:rFonts w:ascii="仿宋_GB2312" w:hAnsi="仿宋_GB2312" w:cs="仿宋_GB2312" w:eastAsia="仿宋_GB2312"/>
                      <w:sz w:val="18"/>
                      <w:b/>
                    </w:rPr>
                    <w:t>≥45岁）</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女</w:t>
                  </w:r>
                </w:p>
                <w:p>
                  <w:pPr>
                    <w:pStyle w:val="null3"/>
                    <w:jc w:val="center"/>
                  </w:pPr>
                  <w:r>
                    <w:rPr>
                      <w:rFonts w:ascii="仿宋_GB2312" w:hAnsi="仿宋_GB2312" w:cs="仿宋_GB2312" w:eastAsia="仿宋_GB2312"/>
                      <w:sz w:val="18"/>
                      <w:b/>
                    </w:rPr>
                    <w:t>（</w:t>
                  </w:r>
                  <w:r>
                    <w:rPr>
                      <w:rFonts w:ascii="仿宋_GB2312" w:hAnsi="仿宋_GB2312" w:cs="仿宋_GB2312" w:eastAsia="仿宋_GB2312"/>
                      <w:sz w:val="18"/>
                      <w:b/>
                    </w:rPr>
                    <w:t>≥35岁）</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女</w:t>
                  </w:r>
                </w:p>
                <w:p>
                  <w:pPr>
                    <w:pStyle w:val="null3"/>
                    <w:jc w:val="center"/>
                  </w:pPr>
                  <w:r>
                    <w:rPr>
                      <w:rFonts w:ascii="仿宋_GB2312" w:hAnsi="仿宋_GB2312" w:cs="仿宋_GB2312" w:eastAsia="仿宋_GB2312"/>
                      <w:sz w:val="18"/>
                      <w:b/>
                    </w:rPr>
                    <w:t>（＜</w:t>
                  </w:r>
                  <w:r>
                    <w:rPr>
                      <w:rFonts w:ascii="仿宋_GB2312" w:hAnsi="仿宋_GB2312" w:cs="仿宋_GB2312" w:eastAsia="仿宋_GB2312"/>
                      <w:sz w:val="18"/>
                      <w:b/>
                    </w:rPr>
                    <w:t>35岁）</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一般检查（身高、体重、血压、体重指数、腰围、臀围）</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通过仪器测量人体身高、体重及血压，科学判断体重是否标准、血压是否正常。</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心电图</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了解有无心脏肥大、心律失常、心电传导异常等疾病。</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血常规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通过血常规检查发现血液方面的问题，有助于临床急慢性感染、病毒性疾病的判断；有助于了解有无贫血及贫血分类；有助于出血性疾病的诊断等。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尿常规</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通过尿常规检查，对泌尿系统感染疾病、肾脏疾病、糖尿病等提供辅助诊断依据。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肝功九项</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该系列指标检查可以评价肝脏功能情况，是否有肝功能损害、胆道梗阻及蛋白质代谢异常等。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肾功四项</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可以了解有无肾脏功能损害以及某些肾脏疾病的发生，如急、慢性肾炎等。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血脂四项</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主要检查体内血脂的情况，是否存在异常。血脂异常最大的危害，就是导致动脉粥样硬化性心血管疾病的发生。</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空腹血糖</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检查血糖含量的高低，是早期发现糖尿病、糖代谢异常的重要指标。</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肿瘤五项检查</w:t>
                  </w:r>
                  <w:r>
                    <w:rPr>
                      <w:rFonts w:ascii="仿宋_GB2312" w:hAnsi="仿宋_GB2312" w:cs="仿宋_GB2312" w:eastAsia="仿宋_GB2312"/>
                      <w:sz w:val="18"/>
                    </w:rPr>
                    <w:t>(男性)</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是通过血液检测五种与肿瘤相关的特定物质</w:t>
                  </w:r>
                  <w:r>
                    <w:rPr>
                      <w:rFonts w:ascii="仿宋_GB2312" w:hAnsi="仿宋_GB2312" w:cs="仿宋_GB2312" w:eastAsia="仿宋_GB2312"/>
                      <w:sz w:val="18"/>
                    </w:rPr>
                    <w:t>(如蛋白质、糖类抗原等),用于辅助筛查、诊断或检测肿瘤发生发展的检查项目;主要与胰腺癌、胃癌、小细胞癌和神经母细胞瘤、前列腺癌等相关。</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肿瘤三项检查</w:t>
                  </w:r>
                  <w:r>
                    <w:rPr>
                      <w:rFonts w:ascii="仿宋_GB2312" w:hAnsi="仿宋_GB2312" w:cs="仿宋_GB2312" w:eastAsia="仿宋_GB2312"/>
                      <w:sz w:val="18"/>
                    </w:rPr>
                    <w:t>(男性)</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是通过血液检测三种与肿瘤相关的特定物质</w:t>
                  </w:r>
                  <w:r>
                    <w:rPr>
                      <w:rFonts w:ascii="仿宋_GB2312" w:hAnsi="仿宋_GB2312" w:cs="仿宋_GB2312" w:eastAsia="仿宋_GB2312"/>
                      <w:sz w:val="18"/>
                    </w:rPr>
                    <w:t>(如蛋白质、糖类抗原等),用于辅助筛查、诊断或检测肿瘤发生发展的检查项目;主要与胰腺癌、胃癌、小细胞癌和神经母细胞瘤、前列腺癌等相关。</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肿瘤三项检查</w:t>
                  </w:r>
                  <w:r>
                    <w:rPr>
                      <w:rFonts w:ascii="仿宋_GB2312" w:hAnsi="仿宋_GB2312" w:cs="仿宋_GB2312" w:eastAsia="仿宋_GB2312"/>
                      <w:sz w:val="18"/>
                    </w:rPr>
                    <w:t>(女性)</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是通过血液检测八种与肿瘤相关的特定物质</w:t>
                  </w:r>
                  <w:r>
                    <w:rPr>
                      <w:rFonts w:ascii="仿宋_GB2312" w:hAnsi="仿宋_GB2312" w:cs="仿宋_GB2312" w:eastAsia="仿宋_GB2312"/>
                      <w:sz w:val="18"/>
                    </w:rPr>
                    <w:t>(如蛋白质、糖类抗原等),用于辅助筛查、诊断或检测肿瘤发生发展的检查项目;主要与小细胞癌和神经母细胞瘤、卵巢癌、乳腺癌等相关。</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碳</w:t>
                  </w:r>
                  <w:r>
                    <w:rPr>
                      <w:rFonts w:ascii="仿宋_GB2312" w:hAnsi="仿宋_GB2312" w:cs="仿宋_GB2312" w:eastAsia="仿宋_GB2312"/>
                      <w:sz w:val="18"/>
                    </w:rPr>
                    <w:t>13呼气试验</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幽门螺杆菌呼气试验是指通过呼吸吹气的方式</w:t>
                  </w:r>
                  <w:r>
                    <w:rPr>
                      <w:rFonts w:ascii="仿宋_GB2312" w:hAnsi="仿宋_GB2312" w:cs="仿宋_GB2312" w:eastAsia="仿宋_GB2312"/>
                      <w:sz w:val="18"/>
                    </w:rPr>
                    <w:t>,检测机体是否感染幽门螺杆菌.对于治疗慢性胃炎、消化性溃疡和预防胃癌等具有十分重要的意义。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胸部薄层平扫</w:t>
                  </w:r>
                  <w:r>
                    <w:rPr>
                      <w:rFonts w:ascii="仿宋_GB2312" w:hAnsi="仿宋_GB2312" w:cs="仿宋_GB2312" w:eastAsia="仿宋_GB2312"/>
                      <w:sz w:val="18"/>
                    </w:rPr>
                    <w:t>CT和头颅CT平扫（二选一）</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了解心脏、肺、胸膜、纵隔、膈肌、肋骨等发育及疾病，如心脏肥大、肺结核、肺炎、支气管炎等。评估肺部和胸腔内的肿块、结节或其他异常。</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肝胆胰脾彩超</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对人体腹部内脏器官（肝、胆、脾、胰）的状况和各种病变（如肿瘤、结石、积水、脂肪肝等）提供高清晰度的彩色动态超声断层图像判断，依病灶周围血管情况、病灶内血流血供情况</w:t>
                  </w:r>
                  <w:r>
                    <w:rPr>
                      <w:rFonts w:ascii="仿宋_GB2312" w:hAnsi="仿宋_GB2312" w:cs="仿宋_GB2312" w:eastAsia="仿宋_GB2312"/>
                      <w:sz w:val="18"/>
                    </w:rPr>
                    <w:t>-良恶性病变鉴别。</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泌尿系彩超</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了解肾脏、膀胱、输尿管、前列腺等结构功能是否发生变化，可以对泌尿系统的相关疾病做出初步的诊断和鉴别诊断。</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甲状腺及颈部淋巴结彩超</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了解甲状腺大小、形态、回声、血流以及有没有结节、结节是良性还是可疑恶性。</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颈部血管彩超</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检查颈动脉及椎动脉的结构是否正常，筛查并评估动脉粥样硬化</w:t>
                  </w:r>
                  <w:r>
                    <w:rPr>
                      <w:rFonts w:ascii="仿宋_GB2312" w:hAnsi="仿宋_GB2312" w:cs="仿宋_GB2312" w:eastAsia="仿宋_GB2312"/>
                      <w:sz w:val="18"/>
                    </w:rPr>
                    <w:t>,预警脑中风高危人群等。</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乳腺彩超</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发现乳腺内各种病变</w:t>
                  </w:r>
                  <w:r>
                    <w:rPr>
                      <w:rFonts w:ascii="仿宋_GB2312" w:hAnsi="仿宋_GB2312" w:cs="仿宋_GB2312" w:eastAsia="仿宋_GB2312"/>
                      <w:sz w:val="18"/>
                    </w:rPr>
                    <w:t>,鉴别结节的良恶性,评估腋窝淋巴结是否肿大、形态是否正常。</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妇科彩超</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了解子宫及附件情况，对子宫及卵巢相关疾病诊断提供检测依据。</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妇科常规检查</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是指通过仪器或手指触诊的方法，观察阴道及子宫颈等部位是否存在异常。</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21</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白带常规检查</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判断女性是否存在白带异常，有无滴虫、霉菌感染。</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7"/>
                  <w:vMerge/>
                  <w:tcBorders>
                    <w:top w:val="none" w:color="000000" w:sz="4"/>
                    <w:left w:val="none" w:color="000000" w:sz="4"/>
                    <w:bottom w:val="single" w:color="000000" w:sz="4"/>
                    <w:right w:val="single" w:color="000000" w:sz="4"/>
                  </w:tcBorders>
                </w:tc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22</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TCT（宫颈液基细胞学检查）</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薄层液基细胞法主要是了解宫颈上皮是否存在病变，用于宫颈癌的筛查。</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23</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HPV基因分型检测</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主要是为了查找宫颈癌发病的因素，判断是否存在导致宫颈癌的病因，因为人乳头瘤病毒，即</w:t>
                  </w:r>
                  <w:r>
                    <w:rPr>
                      <w:rFonts w:ascii="仿宋_GB2312" w:hAnsi="仿宋_GB2312" w:cs="仿宋_GB2312" w:eastAsia="仿宋_GB2312"/>
                      <w:sz w:val="18"/>
                    </w:rPr>
                    <w:t>HPV病毒是导致宫颈病变和宫颈癌元凶。</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24</w:t>
                  </w:r>
                </w:p>
              </w:tc>
              <w:tc>
                <w:tcPr>
                  <w:tcW w:type="dxa" w:w="4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肺通气功能检查</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有助于评估气流受限程度</w:t>
                  </w:r>
                  <w:r>
                    <w:rPr>
                      <w:rFonts w:ascii="仿宋_GB2312" w:hAnsi="仿宋_GB2312" w:cs="仿宋_GB2312" w:eastAsia="仿宋_GB2312"/>
                      <w:sz w:val="18"/>
                    </w:rPr>
                    <w:t>,有助于诊断慢性阻塞性肺疾病、哮喘等气道阻塞性疾病,监测药物治疗效果。</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bl>
          <w:p>
            <w:pPr>
              <w:pStyle w:val="null3"/>
              <w:jc w:val="center"/>
            </w:pPr>
            <w:r>
              <w:rPr>
                <w:rFonts w:ascii="仿宋_GB2312" w:hAnsi="仿宋_GB2312" w:cs="仿宋_GB2312" w:eastAsia="仿宋_GB2312"/>
                <w:sz w:val="28"/>
                <w:b/>
              </w:rPr>
              <w:t>分组二：辅警人员</w:t>
            </w:r>
            <w:r>
              <w:rPr>
                <w:rFonts w:ascii="仿宋_GB2312" w:hAnsi="仿宋_GB2312" w:cs="仿宋_GB2312" w:eastAsia="仿宋_GB2312"/>
                <w:sz w:val="28"/>
                <w:b/>
              </w:rPr>
              <w:t>630人</w:t>
            </w:r>
          </w:p>
          <w:tbl>
            <w:tblPr>
              <w:tblBorders>
                <w:top w:val="none" w:color="000000" w:sz="4"/>
                <w:left w:val="none" w:color="000000" w:sz="4"/>
                <w:bottom w:val="none" w:color="000000" w:sz="4"/>
                <w:right w:val="none" w:color="000000" w:sz="4"/>
                <w:insideH w:val="none"/>
                <w:insideV w:val="none"/>
              </w:tblBorders>
            </w:tblPr>
            <w:tblGrid>
              <w:gridCol w:w="207"/>
              <w:gridCol w:w="369"/>
              <w:gridCol w:w="774"/>
              <w:gridCol w:w="291"/>
              <w:gridCol w:w="405"/>
              <w:gridCol w:w="493"/>
            </w:tblGrid>
            <w:tr>
              <w:tc>
                <w:tcPr>
                  <w:tcW w:type="dxa" w:w="2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w:t>
                  </w:r>
                </w:p>
              </w:tc>
              <w:tc>
                <w:tcPr>
                  <w:tcW w:type="dxa" w:w="7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临床意义</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男</w:t>
                  </w:r>
                </w:p>
              </w:tc>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女</w:t>
                  </w:r>
                </w:p>
                <w:p>
                  <w:pPr>
                    <w:pStyle w:val="null3"/>
                    <w:jc w:val="center"/>
                  </w:pPr>
                  <w:r>
                    <w:rPr>
                      <w:rFonts w:ascii="仿宋_GB2312" w:hAnsi="仿宋_GB2312" w:cs="仿宋_GB2312" w:eastAsia="仿宋_GB2312"/>
                      <w:sz w:val="18"/>
                      <w:b/>
                    </w:rPr>
                    <w:t>（</w:t>
                  </w:r>
                  <w:r>
                    <w:rPr>
                      <w:rFonts w:ascii="仿宋_GB2312" w:hAnsi="仿宋_GB2312" w:cs="仿宋_GB2312" w:eastAsia="仿宋_GB2312"/>
                      <w:sz w:val="18"/>
                      <w:b/>
                    </w:rPr>
                    <w:t>≥35岁）</w:t>
                  </w:r>
                </w:p>
              </w:tc>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女</w:t>
                  </w:r>
                </w:p>
                <w:p>
                  <w:pPr>
                    <w:pStyle w:val="null3"/>
                    <w:jc w:val="center"/>
                  </w:pPr>
                  <w:r>
                    <w:rPr>
                      <w:rFonts w:ascii="仿宋_GB2312" w:hAnsi="仿宋_GB2312" w:cs="仿宋_GB2312" w:eastAsia="仿宋_GB2312"/>
                      <w:sz w:val="18"/>
                      <w:b/>
                    </w:rPr>
                    <w:t>（＜</w:t>
                  </w:r>
                  <w:r>
                    <w:rPr>
                      <w:rFonts w:ascii="仿宋_GB2312" w:hAnsi="仿宋_GB2312" w:cs="仿宋_GB2312" w:eastAsia="仿宋_GB2312"/>
                      <w:sz w:val="18"/>
                      <w:b/>
                    </w:rPr>
                    <w:t>35岁）</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一般检查（身高、体重、血压、体重指数、腰围、臀围）</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通过仪器测量人体身高、体重及血压，科学判断体重是否标准、血压是否正常。</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心电图</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了解有无心脏肥大、心律失常、心电传导异常等疾病。</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血常规</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通过血常规检查发现血液方面的问题，有助于临床急慢性感染、病毒性疾病的判断；有助于了解有无贫血及贫血分类；有助于出血性疾病的诊断等。</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尿常规</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通过尿常规检查，对泌尿系统感染疾病、肾脏疾病、糖尿病等提供辅助诊断依据。</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肝功五项</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该系列指标检查可以评价肝脏功能情况，是否有肝功能损害、胆道梗阻及蛋白质代谢异常等。</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肾功四项</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可以了解有无肾脏功能损害以及某些肾脏疾病的发生，如急、慢性肾炎等。</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血脂四项</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主要检查体内血脂的情况，是否存在异常。血脂异常最大的危害，就是导致动脉粥样硬化性心血管疾病的发生。</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空腹血糖</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检查血糖含量的高低，是早期发现糖尿病、糖代谢异常的重要指标。</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肿瘤标志物两项</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是通过血液检测八种与肿瘤相关的特定物质</w:t>
                  </w:r>
                  <w:r>
                    <w:rPr>
                      <w:rFonts w:ascii="仿宋_GB2312" w:hAnsi="仿宋_GB2312" w:cs="仿宋_GB2312" w:eastAsia="仿宋_GB2312"/>
                      <w:sz w:val="18"/>
                    </w:rPr>
                    <w:t>(如蛋白质、糖类抗原等),用于辅助筛查、诊断或检测肿瘤发生发展的检查项目;主要与肝癌、胰腺癌等。</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幽门螺杆菌抗体检测</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通过检测血液中的幽门螺杆菌抗体</w:t>
                  </w:r>
                  <w:r>
                    <w:rPr>
                      <w:rFonts w:ascii="仿宋_GB2312" w:hAnsi="仿宋_GB2312" w:cs="仿宋_GB2312" w:eastAsia="仿宋_GB2312"/>
                      <w:sz w:val="18"/>
                    </w:rPr>
                    <w:t>,可快速判断个体是否曾感染过幽门螺杆菌。</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肝胆胰脾彩超</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对人体腹部内脏器官（肝、胆、脾、胰）的状况和各种病变（如肿瘤、结石、积水、脂肪肝等）提供高清晰度的彩色动态超声断层图像判断，依病灶周围血管情况、病灶内血流血供情况</w:t>
                  </w:r>
                  <w:r>
                    <w:rPr>
                      <w:rFonts w:ascii="仿宋_GB2312" w:hAnsi="仿宋_GB2312" w:cs="仿宋_GB2312" w:eastAsia="仿宋_GB2312"/>
                      <w:sz w:val="18"/>
                    </w:rPr>
                    <w:t>-良恶性病变鉴别。</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泌尿系彩超</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了解肾脏、膀胱、输尿管、前列腺等结构功能是否发生变化，可以对泌尿系统的相关疾病做出初步的诊断和鉴别诊断。</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甲状腺及颈部淋巴结彩超</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了解甲状腺大小、形态、回声、血流以及有没有结节、结节是良性还是可疑恶性。</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胸部正位片</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了解心脏、肺、胸膜、纵隔、膈肌、肋骨等发育及疾病，如心脏肥大、肺结核、肺炎、支气管炎等。</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乳腺彩超</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发现乳腺内各种病变</w:t>
                  </w:r>
                  <w:r>
                    <w:rPr>
                      <w:rFonts w:ascii="仿宋_GB2312" w:hAnsi="仿宋_GB2312" w:cs="仿宋_GB2312" w:eastAsia="仿宋_GB2312"/>
                      <w:sz w:val="18"/>
                    </w:rPr>
                    <w:t>,鉴别结节的良恶性,评估腋窝淋巴结是否肿大、形态是否正常。</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妇科彩超</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了解子宫及附件情况，对子宫及卵巢相关疾病诊断提供检测依据。</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妇科常规检查</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是指通过仪器或手指触诊的方法，观察阴道及子宫颈等部位是否存在异常。</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4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18</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白带常规检查</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判断女性是否存在白带异常，有无滴虫、霉菌感染。</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405"/>
                  <w:vMerge/>
                  <w:tcBorders>
                    <w:top w:val="none" w:color="000000" w:sz="4"/>
                    <w:left w:val="single" w:color="000000" w:sz="4"/>
                    <w:bottom w:val="single" w:color="000000" w:sz="4"/>
                    <w:right w:val="single" w:color="000000" w:sz="4"/>
                  </w:tcBorders>
                </w:tc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19</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HPV基因分型检测</w:t>
                  </w:r>
                </w:p>
              </w:tc>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主要是为了查找宫颈癌发病的因素，判断是否存在导致宫颈癌的病因，因为人乳头瘤病毒，即</w:t>
                  </w:r>
                  <w:r>
                    <w:rPr>
                      <w:rFonts w:ascii="仿宋_GB2312" w:hAnsi="仿宋_GB2312" w:cs="仿宋_GB2312" w:eastAsia="仿宋_GB2312"/>
                      <w:sz w:val="18"/>
                    </w:rPr>
                    <w:t>HPV病毒是导致宫颈病变和宫颈癌元凶。</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bl>
          <w:p>
            <w:pPr>
              <w:pStyle w:val="null3"/>
              <w:jc w:val="center"/>
            </w:pPr>
            <w:r>
              <w:rPr>
                <w:rFonts w:ascii="仿宋_GB2312" w:hAnsi="仿宋_GB2312" w:cs="仿宋_GB2312" w:eastAsia="仿宋_GB2312"/>
                <w:sz w:val="28"/>
                <w:b/>
              </w:rPr>
              <w:t>分组三：临聘人员</w:t>
            </w:r>
            <w:r>
              <w:rPr>
                <w:rFonts w:ascii="仿宋_GB2312" w:hAnsi="仿宋_GB2312" w:cs="仿宋_GB2312" w:eastAsia="仿宋_GB2312"/>
                <w:sz w:val="28"/>
                <w:b/>
              </w:rPr>
              <w:t>19人</w:t>
            </w:r>
          </w:p>
          <w:tbl>
            <w:tblPr>
              <w:tblBorders>
                <w:top w:val="none" w:color="000000" w:sz="4"/>
                <w:left w:val="none" w:color="000000" w:sz="4"/>
                <w:bottom w:val="none" w:color="000000" w:sz="4"/>
                <w:right w:val="none" w:color="000000" w:sz="4"/>
                <w:insideH w:val="none"/>
                <w:insideV w:val="none"/>
              </w:tblBorders>
            </w:tblPr>
            <w:tblGrid>
              <w:gridCol w:w="293"/>
              <w:gridCol w:w="261"/>
              <w:gridCol w:w="982"/>
              <w:gridCol w:w="202"/>
              <w:gridCol w:w="320"/>
              <w:gridCol w:w="480"/>
            </w:tblGrid>
            <w:tr>
              <w:tc>
                <w:tcPr>
                  <w:tcW w:type="dxa" w:w="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项目</w:t>
                  </w:r>
                </w:p>
              </w:tc>
              <w:tc>
                <w:tcPr>
                  <w:tcW w:type="dxa" w:w="9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临床意义</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男</w:t>
                  </w:r>
                </w:p>
              </w:tc>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女</w:t>
                  </w:r>
                </w:p>
                <w:p>
                  <w:pPr>
                    <w:pStyle w:val="null3"/>
                    <w:jc w:val="center"/>
                  </w:pPr>
                  <w:r>
                    <w:rPr>
                      <w:rFonts w:ascii="仿宋_GB2312" w:hAnsi="仿宋_GB2312" w:cs="仿宋_GB2312" w:eastAsia="仿宋_GB2312"/>
                      <w:sz w:val="18"/>
                      <w:b/>
                    </w:rPr>
                    <w:t>（</w:t>
                  </w:r>
                  <w:r>
                    <w:rPr>
                      <w:rFonts w:ascii="仿宋_GB2312" w:hAnsi="仿宋_GB2312" w:cs="仿宋_GB2312" w:eastAsia="仿宋_GB2312"/>
                      <w:sz w:val="18"/>
                      <w:b/>
                    </w:rPr>
                    <w:t>≥35岁）</w:t>
                  </w:r>
                </w:p>
              </w:tc>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女</w:t>
                  </w:r>
                </w:p>
                <w:p>
                  <w:pPr>
                    <w:pStyle w:val="null3"/>
                    <w:jc w:val="center"/>
                  </w:pPr>
                  <w:r>
                    <w:rPr>
                      <w:rFonts w:ascii="仿宋_GB2312" w:hAnsi="仿宋_GB2312" w:cs="仿宋_GB2312" w:eastAsia="仿宋_GB2312"/>
                      <w:sz w:val="18"/>
                      <w:b/>
                    </w:rPr>
                    <w:t>（＜</w:t>
                  </w:r>
                  <w:r>
                    <w:rPr>
                      <w:rFonts w:ascii="仿宋_GB2312" w:hAnsi="仿宋_GB2312" w:cs="仿宋_GB2312" w:eastAsia="仿宋_GB2312"/>
                      <w:sz w:val="18"/>
                      <w:b/>
                    </w:rPr>
                    <w:t>35岁）</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一般检查（身高、体重、血压、体重指数、腰围、臀围）</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通过仪器测量人体身高、体重及血压，科学判断体重是否标准、血压是否正常。</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心电图</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了解有无心脏肥大、心律失常、心电传导异常等疾病。</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血常规</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通过血常规检查发现血液方面的问题，有助于临床急慢性感染、病毒性疾病的判断；有助于了解有无贫血及贫血分类；有助于出血性疾病的诊断等。</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尿常规</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通过尿常规检查，对泌尿系统感染疾病、肾脏疾病、糖尿病等提供辅助诊断依据。</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肝功五项</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该系列指标检查可以评价肝脏功能情况，是否有肝功能损害、胆道梗阻及蛋白质代谢异常等。</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肾功四项</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可以了解有无肾脏功能损害以及某些肾脏疾病的发生，如急、慢性肾炎等。</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血脂四项</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主要检查体内血脂的情况，是否存在异常。血脂异常最大的危害，就是导致动脉粥样硬化性心血管疾病的发生。</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空腹血糖</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检查血糖含量的高低，是早期发现糖尿病、糖代谢异常的重要指标。</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幽门螺杆菌抗体检测</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通过检测血液中的幽门螺杆菌抗体</w:t>
                  </w:r>
                  <w:r>
                    <w:rPr>
                      <w:rFonts w:ascii="仿宋_GB2312" w:hAnsi="仿宋_GB2312" w:cs="仿宋_GB2312" w:eastAsia="仿宋_GB2312"/>
                      <w:sz w:val="18"/>
                    </w:rPr>
                    <w:t>,可快速判断个体是否曾感染过幽门螺杆菌。</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肝胆胰脾彩超</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对人体腹部内脏器官（肝、胆、脾、胰）的状况和各种病变（如肿瘤、结石、积水、脂肪肝等）提供高清晰度的彩色动态超声断层图像判断，依病灶周围血管情况、病灶内血流血供情况</w:t>
                  </w:r>
                  <w:r>
                    <w:rPr>
                      <w:rFonts w:ascii="仿宋_GB2312" w:hAnsi="仿宋_GB2312" w:cs="仿宋_GB2312" w:eastAsia="仿宋_GB2312"/>
                      <w:sz w:val="18"/>
                    </w:rPr>
                    <w:t>-良恶性病变鉴别。</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11</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泌尿系彩超</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了解肾脏、膀胱、输尿管、前列腺等结构功能是否发生变化，可以对泌尿系统的相关疾病做出初步的诊断和鉴别诊断。</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甲状腺及颈部淋巴结彩超</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了解甲状腺大小、形态、回声、血流以及有没有结节、结节是良性还是可疑恶性。</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13</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胸部正位片</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了解心脏、肺、胸膜、纵隔、膈肌、肋骨等发育及疾病，如心脏肥大、肺结核、肺炎、支气管炎等。</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14</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乳腺彩超</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发现乳腺内各种病变</w:t>
                  </w:r>
                  <w:r>
                    <w:rPr>
                      <w:rFonts w:ascii="仿宋_GB2312" w:hAnsi="仿宋_GB2312" w:cs="仿宋_GB2312" w:eastAsia="仿宋_GB2312"/>
                      <w:sz w:val="18"/>
                    </w:rPr>
                    <w:t>,鉴别结节的良恶性,评估腋窝淋巴结是否肿大、形态是否正常。</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15</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妇科常规检查</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是指通过仪器或手指触诊的方法，观察阴道及子宫颈等部位是否存在异常。</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3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16</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白带常规检查</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判断女性是否存在白带异常，有无滴虫、霉菌感染。</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320"/>
                  <w:vMerge/>
                  <w:tcBorders>
                    <w:top w:val="none" w:color="000000" w:sz="4"/>
                    <w:left w:val="single" w:color="000000" w:sz="4"/>
                    <w:bottom w:val="single" w:color="000000" w:sz="4"/>
                    <w:right w:val="single" w:color="000000" w:sz="4"/>
                  </w:tcBorders>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r>
              <w:tc>
                <w:tcPr>
                  <w:tcW w:type="dxa" w:w="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17</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HPV基因分型检测</w:t>
                  </w:r>
                </w:p>
              </w:tc>
              <w:tc>
                <w:tcPr>
                  <w:tcW w:type="dxa" w:w="9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主要是为了查找宫颈癌发病的因素，判断是否存在导致宫颈癌的病因，因为人乳头瘤病毒，即</w:t>
                  </w:r>
                  <w:r>
                    <w:rPr>
                      <w:rFonts w:ascii="仿宋_GB2312" w:hAnsi="仿宋_GB2312" w:cs="仿宋_GB2312" w:eastAsia="仿宋_GB2312"/>
                      <w:sz w:val="18"/>
                    </w:rPr>
                    <w:t>HPV病毒是导致宫颈病变和宫颈癌元凶。</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w:t>
                  </w:r>
                </w:p>
              </w:tc>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r>
          </w:tbl>
          <w:p>
            <w:pPr>
              <w:pStyle w:val="null3"/>
              <w:jc w:val="both"/>
            </w:pPr>
            <w:r>
              <w:rPr>
                <w:rFonts w:ascii="仿宋_GB2312" w:hAnsi="仿宋_GB2312" w:cs="仿宋_GB2312" w:eastAsia="仿宋_GB2312"/>
                <w:sz w:val="20"/>
              </w:rPr>
              <w:t>其中</w:t>
            </w:r>
            <w:r>
              <w:rPr>
                <w:rFonts w:ascii="仿宋_GB2312" w:hAnsi="仿宋_GB2312" w:cs="仿宋_GB2312" w:eastAsia="仿宋_GB2312"/>
                <w:sz w:val="20"/>
              </w:rPr>
              <w:t>“/”为分组不检项目。分组结算价*人数，据实结算。</w:t>
            </w:r>
          </w:p>
          <w:p>
            <w:pPr>
              <w:pStyle w:val="null3"/>
              <w:jc w:val="left"/>
            </w:pPr>
            <w:r>
              <w:rPr>
                <w:rFonts w:ascii="仿宋_GB2312" w:hAnsi="仿宋_GB2312" w:cs="仿宋_GB2312" w:eastAsia="仿宋_GB2312"/>
                <w:sz w:val="20"/>
                <w:b/>
              </w:rPr>
              <w:t>四、</w:t>
            </w:r>
            <w:r>
              <w:rPr>
                <w:rFonts w:ascii="仿宋_GB2312" w:hAnsi="仿宋_GB2312" w:cs="仿宋_GB2312" w:eastAsia="仿宋_GB2312"/>
                <w:sz w:val="20"/>
                <w:b/>
              </w:rPr>
              <w:t>服务要求：</w:t>
            </w:r>
          </w:p>
          <w:p>
            <w:pPr>
              <w:pStyle w:val="null3"/>
              <w:jc w:val="left"/>
            </w:pPr>
            <w:r>
              <w:rPr>
                <w:rFonts w:ascii="仿宋_GB2312" w:hAnsi="仿宋_GB2312" w:cs="仿宋_GB2312" w:eastAsia="仿宋_GB2312"/>
                <w:sz w:val="20"/>
              </w:rPr>
              <w:t>(一)集中组织：</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、体检单位提供品种多样，营养丰富的热早餐。</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体检结束后</w:t>
            </w:r>
            <w:r>
              <w:rPr>
                <w:rFonts w:ascii="仿宋_GB2312" w:hAnsi="仿宋_GB2312" w:cs="仿宋_GB2312" w:eastAsia="仿宋_GB2312"/>
                <w:sz w:val="20"/>
              </w:rPr>
              <w:t>15日内将个人体检报告</w:t>
            </w:r>
            <w:r>
              <w:rPr>
                <w:rFonts w:ascii="仿宋_GB2312" w:hAnsi="仿宋_GB2312" w:cs="仿宋_GB2312" w:eastAsia="仿宋_GB2312"/>
                <w:sz w:val="20"/>
              </w:rPr>
              <w:t>纸质版</w:t>
            </w:r>
            <w:r>
              <w:rPr>
                <w:rFonts w:ascii="仿宋_GB2312" w:hAnsi="仿宋_GB2312" w:cs="仿宋_GB2312" w:eastAsia="仿宋_GB2312"/>
                <w:sz w:val="20"/>
              </w:rPr>
              <w:t>按规定分类交付</w:t>
            </w:r>
            <w:r>
              <w:rPr>
                <w:rFonts w:ascii="仿宋_GB2312" w:hAnsi="仿宋_GB2312" w:cs="仿宋_GB2312" w:eastAsia="仿宋_GB2312"/>
                <w:sz w:val="20"/>
              </w:rPr>
              <w:t>甲方</w:t>
            </w:r>
            <w:r>
              <w:rPr>
                <w:rFonts w:ascii="仿宋_GB2312" w:hAnsi="仿宋_GB2312" w:cs="仿宋_GB2312" w:eastAsia="仿宋_GB2312"/>
                <w:sz w:val="20"/>
              </w:rPr>
              <w:t>，由</w:t>
            </w:r>
            <w:r>
              <w:rPr>
                <w:rFonts w:ascii="仿宋_GB2312" w:hAnsi="仿宋_GB2312" w:cs="仿宋_GB2312" w:eastAsia="仿宋_GB2312"/>
                <w:sz w:val="20"/>
              </w:rPr>
              <w:t>甲方</w:t>
            </w:r>
            <w:r>
              <w:rPr>
                <w:rFonts w:ascii="仿宋_GB2312" w:hAnsi="仿宋_GB2312" w:cs="仿宋_GB2312" w:eastAsia="仿宋_GB2312"/>
                <w:sz w:val="20"/>
              </w:rPr>
              <w:t>统一发给本单位人员。</w:t>
            </w:r>
          </w:p>
          <w:p>
            <w:pPr>
              <w:pStyle w:val="null3"/>
              <w:jc w:val="left"/>
            </w:pPr>
            <w:r>
              <w:rPr>
                <w:rFonts w:ascii="仿宋_GB2312" w:hAnsi="仿宋_GB2312" w:cs="仿宋_GB2312" w:eastAsia="仿宋_GB2312"/>
                <w:sz w:val="20"/>
              </w:rPr>
              <w:t>（二）自行前往的人员确保随到随检。</w:t>
            </w:r>
          </w:p>
          <w:p>
            <w:pPr>
              <w:pStyle w:val="null3"/>
              <w:jc w:val="left"/>
            </w:pPr>
            <w:r>
              <w:rPr>
                <w:rFonts w:ascii="仿宋_GB2312" w:hAnsi="仿宋_GB2312" w:cs="仿宋_GB2312" w:eastAsia="仿宋_GB2312"/>
                <w:sz w:val="20"/>
              </w:rPr>
              <w:t>（三）服务场地：</w:t>
            </w:r>
          </w:p>
          <w:p>
            <w:pPr>
              <w:pStyle w:val="null3"/>
              <w:jc w:val="left"/>
            </w:pPr>
            <w:r>
              <w:rPr>
                <w:rFonts w:ascii="仿宋_GB2312" w:hAnsi="仿宋_GB2312" w:cs="仿宋_GB2312" w:eastAsia="仿宋_GB2312"/>
                <w:sz w:val="20"/>
              </w:rPr>
              <w:t>1、集中组织体检时，体检单位提供专场服务，避免出现疾病交叉感染，或体检人员信息泄露。</w:t>
            </w:r>
          </w:p>
          <w:p>
            <w:pPr>
              <w:pStyle w:val="null3"/>
            </w:pPr>
            <w:r>
              <w:rPr>
                <w:rFonts w:ascii="仿宋_GB2312" w:hAnsi="仿宋_GB2312" w:cs="仿宋_GB2312" w:eastAsia="仿宋_GB2312"/>
                <w:sz w:val="20"/>
              </w:rPr>
              <w:t>2、体检场地避免有病患出现交叉接触等。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1、供应商须按照体检项目内容及要求做好服务工作； 2、供应商须在体检前将体检应注意的事项通知采购人； 3、供应商在体检中不得擅自修改体检项目； 4、供应商须按本项目要求组织体检，提供现场引导、指导服务，根据不同人群做出针对性编排，确保体检现场井然有序，便利高效。 5、必须提供高质量营养早餐，未发生过不良体检事件和重大医疗事故。其他内容详见3.2.2款中服务要求。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全部体检完成并出具专业的体检报告，经甲方确定乙方无违约行为后据实结算并支付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1、甲乙双方如出现违约的，违约方自违约之日起，每日按合同总价的5‰向守约方承担违约责任并且及时采取有效补救措施，违约金总额不超过本合同总价的5%，并继续履行本合同所规定的义务。 2、乙方违约超过15日的，则甲方有权解除合同，乙方应依甲方要求并按合同总价的10%向甲方承担违约责任，并将工作资料、已取得工作成果和其他相关的资料一并移交甲方，乙方不得以任何理由拒绝或拖延提交有关资料，或提供不真实、不准确、不完整的资料。 3、双方本着友好合作的态度,对合同履行过程中发生的纠纷应及时协商解决,协商不成，向甲方所在地人民法院诉讼解决。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响应文件，中标/成交单位须线下提交纸质响应文件正本壹份、副本贰份，纸质响应文件正本、副本应同电子化交易平台上传文件保持一致，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 要求填写《响应函》完成承诺并提供 以下资料进行电子签章。 (1)提供合格有效的法人或者其他组织的营业执照等证明文件，自然人的身份证明； 供应商是法人或其他组织的应提供营业执照等证明文件，供应商是自然人 的应提供有效的自然人身份证明。 (2)提供2024或2025年度财务报告（成立时间至提交响应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 (3)提供磋商截止日前一年内已缴纳的至少一个月的纳税证明或完税证明，依法免税的单位应提供相关证明材料； (4)提供磋商截止日前一年内已缴存的至少一个月的社会保障资金缴存单据或社保机构开具的社会保险参保缴 费情况证明，依法不需要缴纳社会保 障资金的单位应提供相关证明材料； (5)提供具有履行合同所必需的设备和专业技术能力的承诺；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2024或2025年度财务报告（成立时间至提交响应文件截止时间不足一年的可提供成立后任意时段的资产负债表）或财政部门认可的政府采购专业担保机构出具的担保函或在开标日期前三个月内其基本开户银行出具的资信证明（附开户许可证或开户备案证明或基本账户信息）,以上形式的证明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供应商承诺书.docx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法定代表人身份证明或法定代表人授权委托书：法定代表人直接参加磋商的，须出具法定代表人身份证明及法人身份证；法定代表人授权代表参加磋商的，须出具法定代表人授权委托书和被授权人身份证；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供应商应具有卫生行政部门核准登记取得且有效的《医疗机构执业许可证》和《放射诊疗许可证》；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 网列入政府采购严重违法失信行为记录名单(处 罚期限届满的除外)（以现场信用记录查询结果为准）；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本项目不允许联合体参与磋商。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二次报价表（二次报价时上传）.docx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与营业执照、资质证书一致</w:t>
            </w:r>
          </w:p>
        </w:tc>
        <w:tc>
          <w:tcPr>
            <w:tcW w:type="dxa" w:w="1661"/>
          </w:tcPr>
          <w:p>
            <w:pPr>
              <w:pStyle w:val="null3"/>
            </w:pPr>
            <w:r>
              <w:rPr>
                <w:rFonts w:ascii="仿宋_GB2312" w:hAnsi="仿宋_GB2312" w:cs="仿宋_GB2312" w:eastAsia="仿宋_GB2312"/>
              </w:rPr>
              <w:t>中小企业声明函 报价表 磋商服务方案 供应商承诺书.docx 资格证明文件.docx 响应文件封面 分项报价表.docx 二次报价表（二次报价时上传）.docx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法定代表人或被授权人的签字或盖章齐全并加盖公章</w:t>
            </w:r>
          </w:p>
        </w:tc>
        <w:tc>
          <w:tcPr>
            <w:tcW w:type="dxa" w:w="1661"/>
          </w:tcPr>
          <w:p>
            <w:pPr>
              <w:pStyle w:val="null3"/>
            </w:pPr>
            <w:r>
              <w:rPr>
                <w:rFonts w:ascii="仿宋_GB2312" w:hAnsi="仿宋_GB2312" w:cs="仿宋_GB2312" w:eastAsia="仿宋_GB2312"/>
              </w:rPr>
              <w:t>中小企业声明函 报价表 磋商服务方案 供应商承诺书.docx 资格证明文件.docx 响应文件封面 分项报价表.docx 二次报价表（二次报价时上传）.docx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分项报价表.docx 二次报价表（二次报价时上传）.docx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中小企业声明函 报价表 磋商服务方案 供应商承诺书.docx 资格证明文件.docx 响应文件封面 分项报价表.docx 二次报价表（二次报价时上传）.docx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中小企业声明函 报价表 磋商服务方案 供应商承诺书.docx 资格证明文件.docx 响应文件封面 分项报价表.docx 二次报价表（二次报价时上传）.docx 残疾人福利性单位声明函 标的清单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中小企业声明函 报价表 磋商服务方案 供应商承诺书.docx 资格证明文件.docx 响应文件封面 分项报价表.docx 二次报价表（二次报价时上传）.docx 残疾人福利性单位声明函 标的清单 响应函 商务条款偏离表.docx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健康体检服务方案</w:t>
            </w:r>
          </w:p>
        </w:tc>
        <w:tc>
          <w:tcPr>
            <w:tcW w:type="dxa" w:w="2492"/>
          </w:tcPr>
          <w:p>
            <w:pPr>
              <w:pStyle w:val="null3"/>
            </w:pPr>
            <w:r>
              <w:rPr>
                <w:rFonts w:ascii="仿宋_GB2312" w:hAnsi="仿宋_GB2312" w:cs="仿宋_GB2312" w:eastAsia="仿宋_GB2312"/>
              </w:rPr>
              <w:t>一、评审内容：供应商针对本项目提供详细、完整、可行的健康体检服务方案，包括不限于：① 项目总体服务思路与目标；②对本项目需求的理解、合理化建议及针对性措施。 二、评审标准：1、健康体检服务方案阐述内容须全面、完整，对评审内容中的各项要求有详细描述;2、结合项目具体情况，服务思路明确、具体;3、实施方案需求理解阐述内容能够紧扣本项目实际情况，且合理化建议切实可行，切合本项目内容编写。 上述2项评审内容全部满足评审标准得10分，评审内容缺项每项扣5分，每有一项评审内容存在缺陷，根据缺陷程度扣(0-5)分，扣完为止。 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体检服务规范及标准</w:t>
            </w:r>
          </w:p>
        </w:tc>
        <w:tc>
          <w:tcPr>
            <w:tcW w:type="dxa" w:w="2492"/>
          </w:tcPr>
          <w:p>
            <w:pPr>
              <w:pStyle w:val="null3"/>
            </w:pPr>
            <w:r>
              <w:rPr>
                <w:rFonts w:ascii="仿宋_GB2312" w:hAnsi="仿宋_GB2312" w:cs="仿宋_GB2312" w:eastAsia="仿宋_GB2312"/>
              </w:rPr>
              <w:t>一、评审内容：供应商针对本项目提供详细、完整、合理、可行的体检服务规范及标准，包括不限于：①体检计划②时间安排③体检项目顺序④人性化服务等。 二、评审标准：1、体检服务规范及标准内容须全面;2、流程计划等完整且符合实际需求。 上述4项评审内容全部满足评审标准得16分，评审内容缺项每项扣4分，每有一项评审内容存在缺陷，根据缺陷程度扣(0-4)分，扣完为止。 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体检配套服务</w:t>
            </w:r>
          </w:p>
        </w:tc>
        <w:tc>
          <w:tcPr>
            <w:tcW w:type="dxa" w:w="2492"/>
          </w:tcPr>
          <w:p>
            <w:pPr>
              <w:pStyle w:val="null3"/>
            </w:pPr>
            <w:r>
              <w:rPr>
                <w:rFonts w:ascii="仿宋_GB2312" w:hAnsi="仿宋_GB2312" w:cs="仿宋_GB2312" w:eastAsia="仿宋_GB2312"/>
              </w:rPr>
              <w:t>一、评审内容：供应商针对本项目提供体检配套服务，包括不限于①体检环境、布局；②体检卫生状况等。 二、评审标准：1、体检环境是否舒适优雅，体检整个流程是否便捷；2.卫生状况是否干净整洁等。 上述2项评审内容全部满足评审标准得10分，评审内容缺项每项扣5分，每有一项评审内容存在缺陷，根据缺陷程度扣(0-5)分，扣完为止。 注：须提供场所介绍、布局图、照片等。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体检医疗设备</w:t>
            </w:r>
          </w:p>
        </w:tc>
        <w:tc>
          <w:tcPr>
            <w:tcW w:type="dxa" w:w="2492"/>
          </w:tcPr>
          <w:p>
            <w:pPr>
              <w:pStyle w:val="null3"/>
            </w:pPr>
            <w:r>
              <w:rPr>
                <w:rFonts w:ascii="仿宋_GB2312" w:hAnsi="仿宋_GB2312" w:cs="仿宋_GB2312" w:eastAsia="仿宋_GB2312"/>
              </w:rPr>
              <w:t>一、评审内容：供应商针对本项目提供拟投入体检医疗设备，包括不限于①体检医疗设备清单数量；②体检体检医疗设备的先进性等。 二、评审标准：1、根据供应商拟投入医疗设备的先进性、全面性、数量进行综合评审。 上述2项评审内容全部满足评审标准得10分，评审内容缺项每项扣5分，每有一项评审内容存在缺陷，根据缺陷程度扣(0-5)分，扣完为止。 注：提供体检医疗设备及工具清单、图片及发票等证明材料。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医师医护人员配备</w:t>
            </w:r>
          </w:p>
        </w:tc>
        <w:tc>
          <w:tcPr>
            <w:tcW w:type="dxa" w:w="2492"/>
          </w:tcPr>
          <w:p>
            <w:pPr>
              <w:pStyle w:val="null3"/>
            </w:pPr>
            <w:r>
              <w:rPr>
                <w:rFonts w:ascii="仿宋_GB2312" w:hAnsi="仿宋_GB2312" w:cs="仿宋_GB2312" w:eastAsia="仿宋_GB2312"/>
              </w:rPr>
              <w:t>一、评审内容：供应商针对本项目提供拟投入医师医护人员，包括不限于①人员清单数量；②人员资格证书及经验证明等。 二、评审标准：1、根据供应商拟投入医师医护人员的全面性、经验丰富程度等进行综合评审。 上述2项评审内容全部满足评审标准得10分，评审内容缺项每项扣5分，每有一项评审内容存在缺陷，根据缺陷程度扣(0-5)分，扣完为止。 注：须提供相关证书复印件等证明材料。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一、评审内容：供应商针对本项目提供对体检信息的保密措施方案等。 二、评审标准：1、根据供应商提供保密措施方案的可行性、完整性等进行综合评审。 上述评审内容全部满足评审标准得5分，评审内容缺项扣5分，根据缺陷程度扣(0-5)分，扣完为止。 缺陷是指:内容没有结合项目实际需求制定保密措施、虽有内容但不完善、内容表述前后不一致、保密措施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一、评审内容：供应商针对本项目提供应急预案措施，包括不限于：①服务过程中发生安全事件应急方案；②突发公共卫生安全事件应急方案；③紧急人员安排方案；④对体检发现的危急重症患者提供急救及转诊绿色通道等。 二、评审标准：1、根基提供应急保障措施的完整性;2、结合项目具体情况，应急保障措施的可行性等切合本项目内容编写。 上述4项评审内容全部满足评审标准得12分，评审内容缺项每项扣3分，每有一项评审内容存在缺陷，根据缺陷程度扣(0-3)分，扣完为止。 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服务保证措施及特色服务</w:t>
            </w:r>
          </w:p>
        </w:tc>
        <w:tc>
          <w:tcPr>
            <w:tcW w:type="dxa" w:w="2492"/>
          </w:tcPr>
          <w:p>
            <w:pPr>
              <w:pStyle w:val="null3"/>
            </w:pPr>
            <w:r>
              <w:rPr>
                <w:rFonts w:ascii="仿宋_GB2312" w:hAnsi="仿宋_GB2312" w:cs="仿宋_GB2312" w:eastAsia="仿宋_GB2312"/>
              </w:rPr>
              <w:t>一、评审内容：供应商针对本项目提供服务保证措施及特色服务，包括不限于：①服务质量保障体系 ；②设备仪器质控措施；③健康管理延伸服务；④增值健康服务等。 二、评审标准：根基提供服务保证措施及特色服务的完整性、可行性、服务多样性等。 上述4项评审内容全部满足评审标准得12分，评审内容缺项每项扣3分，每有一项评审内容存在缺陷，根据缺陷程度扣(0-3)分，扣完为止。 缺陷是指:内容没有结合项目实际需求、虽有内容但不完善、内容表述前后不一致、方案无明确具体的内容、凭空编造、前后不一致、前后逻辑错误、涉及的规范及标准错误、地点区域错误、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供应商需提供近三年来（2023年3月1日起至今，以合同签订时间为准）类似业绩证明材料。业绩证明材料以合同为准，每提供一份有效合同的得1分，最高得5分。备注：响应文件中提供合同复印件加盖公章。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①经初审合格的响应文件，通过符合性审查的磋商报价为有效投标价。对符合政策性扣减的有效磋商报价进行政策性扣减，并依据扣减后的价格（评审价格）进行价格评审。 ②有效最低报价为基准价得10分。 ③按（有效最低报价/有效磋商报价）×10的公式计算报价得分。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二次报价表（二次报价时上传）.docx</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详见附件：磋商服务方案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详见附件：二次报价表（二次报价时上传）.docx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