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临聘人员人力资源服务</w:t>
      </w:r>
    </w:p>
    <w:p>
      <w:pPr>
        <w:pStyle w:val="null3"/>
        <w:jc w:val="center"/>
        <w:outlineLvl w:val="2"/>
      </w:pPr>
      <w:r>
        <w:rPr>
          <w:b/>
          <w:sz w:val="28"/>
        </w:rPr>
        <w:t>采购项目编号：</w:t>
      </w:r>
      <w:r>
        <w:rPr>
          <w:b/>
          <w:sz w:val="28"/>
        </w:rPr>
        <w:t>HRDL-FW[2024]-011-011</w:t>
      </w:r>
      <w:r>
        <w:br/>
      </w:r>
      <w:r>
        <w:br/>
      </w:r>
      <w:r>
        <w:br/>
      </w:r>
    </w:p>
    <w:p>
      <w:pPr>
        <w:pStyle w:val="null3"/>
        <w:jc w:val="center"/>
        <w:outlineLvl w:val="2"/>
      </w:pPr>
      <w:r>
        <w:rPr>
          <w:b/>
          <w:sz w:val="28"/>
        </w:rPr>
        <w:t>西安市高陵区行政审批服务局</w:t>
      </w:r>
    </w:p>
    <w:p>
      <w:pPr>
        <w:pStyle w:val="null3"/>
        <w:jc w:val="center"/>
        <w:outlineLvl w:val="2"/>
      </w:pPr>
      <w:r>
        <w:rPr>
          <w:b/>
          <w:sz w:val="28"/>
        </w:rPr>
        <w:t>陕西恒瑞项目管理有限公司</w:t>
      </w:r>
      <w:r>
        <w:rPr>
          <w:b/>
          <w:sz w:val="28"/>
        </w:rPr>
        <w:t>共同编制</w:t>
      </w:r>
    </w:p>
    <w:p>
      <w:pPr>
        <w:pStyle w:val="null3"/>
        <w:jc w:val="center"/>
        <w:outlineLvl w:val="2"/>
      </w:pPr>
      <w:r>
        <w:rPr>
          <w:b/>
          <w:sz w:val="28"/>
        </w:rPr>
        <w:t>2024年01月20日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陕西恒瑞项目管理有限公司</w:t>
      </w:r>
      <w:r>
        <w:rPr/>
        <w:t>（以下简称“代理机构”）受</w:t>
      </w:r>
      <w:r>
        <w:rPr/>
        <w:t>西安市高陵区行政审批服务局</w:t>
      </w:r>
      <w:r>
        <w:rPr/>
        <w:t>委托，拟对</w:t>
      </w:r>
      <w:r>
        <w:rPr/>
        <w:t>临聘人员人力资源服务</w:t>
      </w:r>
      <w:r>
        <w:rPr/>
        <w:t>采用竞争性磋商采购方式进行采购，兹邀请供应商参加本项目的竞争性磋商。</w:t>
      </w:r>
    </w:p>
    <w:p>
      <w:pPr>
        <w:pStyle w:val="null3"/>
        <w:outlineLvl w:val="2"/>
      </w:pPr>
      <w:r>
        <w:rPr>
          <w:b/>
          <w:sz w:val="28"/>
        </w:rPr>
        <w:t>一、项目编号：</w:t>
      </w:r>
      <w:r>
        <w:rPr>
          <w:b/>
          <w:sz w:val="28"/>
        </w:rPr>
        <w:t>HRDL-FW[2024]-011-011</w:t>
      </w:r>
    </w:p>
    <w:p>
      <w:pPr>
        <w:pStyle w:val="null3"/>
        <w:outlineLvl w:val="2"/>
      </w:pPr>
      <w:r>
        <w:rPr>
          <w:b/>
          <w:sz w:val="28"/>
        </w:rPr>
        <w:t>二、项目名称：</w:t>
      </w:r>
      <w:r>
        <w:rPr>
          <w:b/>
          <w:sz w:val="28"/>
        </w:rPr>
        <w:t>临聘人员人力资源服务</w:t>
      </w:r>
    </w:p>
    <w:p>
      <w:pPr>
        <w:pStyle w:val="null3"/>
        <w:outlineLvl w:val="2"/>
      </w:pPr>
      <w:r>
        <w:rPr>
          <w:b/>
          <w:sz w:val="28"/>
        </w:rPr>
        <w:t>三、磋商项目简介</w:t>
      </w:r>
    </w:p>
    <w:p>
      <w:pPr>
        <w:pStyle w:val="null3"/>
        <w:ind w:firstLine="480"/>
      </w:pPr>
      <w:r>
        <w:rPr/>
        <w:t>临聘人员人力资源服务项目，工作内容：负责高陵区12345政府便民热线中心的运营管理相关工作，实行7×24小时运行机制，具体工作包括： 1、负责接收市热线办转办的市民服务热线工单办理工作，及时做好电话接听和工单的转办、督查、回访工作。 2、高陵区12345市民热线数据统计和分析。 3、其他热线运营等相关工作。</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采购包1（临聘人员人力资源服务）：属于专门面向中小企业采购。</w:t>
      </w:r>
    </w:p>
    <w:p>
      <w:pPr>
        <w:pStyle w:val="null3"/>
        <w:ind w:firstLine="480"/>
      </w:pPr>
      <w:r>
        <w:rPr/>
        <w:t>（三）本项目的特定资格要求：</w:t>
      </w:r>
    </w:p>
    <w:p>
      <w:pPr>
        <w:pStyle w:val="null3"/>
      </w:pPr>
      <w:r>
        <w:rPr/>
        <w:t>采购包1：</w:t>
      </w:r>
    </w:p>
    <w:p>
      <w:pPr>
        <w:pStyle w:val="null3"/>
      </w:pPr>
      <w:r>
        <w:rPr/>
        <w:t>1、营业执照：有独立承担民事责任能力的法人、其他组织或自然人，供应商是法人或其他组织的应提供营业执照等证明文件，自然人的提供有效的自然人身份证明，供应商需在项目电子化交易系统中按要求上传相应证明文件并进行电子签章；</w:t>
      </w:r>
    </w:p>
    <w:p>
      <w:pPr>
        <w:pStyle w:val="null3"/>
      </w:pPr>
      <w:r>
        <w:rPr/>
        <w:t>2、财务状况报告：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投标截止时间前6个月内）及基本存款账户开户许可证（基本账户信息），供应商需在项目电子化交易系统中按要求上传相应证明文件并进行电子签章。</w:t>
      </w:r>
    </w:p>
    <w:p>
      <w:pPr>
        <w:pStyle w:val="null3"/>
      </w:pPr>
      <w:r>
        <w:rPr/>
        <w:t>3、完税证明：投标截止时间前一年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t>4、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t>5、无重大违法记录的书面声明：参加政府采购活动前三年内，在经营活动中没有重大违法记录的书面声明，供应商需在项目 电子化交易系统中按要求上传相应证明文件并进行电子签章；</w:t>
      </w:r>
    </w:p>
    <w:p>
      <w:pPr>
        <w:pStyle w:val="null3"/>
      </w:pPr>
      <w:r>
        <w:rPr/>
        <w:t>6、履约承诺：具有履行合同所必需的设备和专业技术能力的书面承诺，供应商需在项目电子化交易系统中按要求上传相应证明文件并进行电子签章；</w:t>
      </w:r>
    </w:p>
    <w:p>
      <w:pPr>
        <w:pStyle w:val="null3"/>
      </w:pPr>
      <w:r>
        <w:rPr/>
        <w:t>7、法定代表人授权委托书：法定代表人授权委托书（附法定代表人、被授权人身份证复印件并加盖公章）和被授权人身份证原件。（法定代表人参加投标只须提供法定代表人身份证明书及身份证原件），供应商需在项目电子化交易系统中按要求上传相应证明文件并进行电子签章；</w:t>
      </w:r>
    </w:p>
    <w:p>
      <w:pPr>
        <w:pStyle w:val="null3"/>
      </w:pPr>
      <w:r>
        <w:rPr/>
        <w:t>8、企业资质：供应商须提供行政主管部门颁发的有效期内的《劳务派遣经营许可证》和《人力资源服务许可证》，供应商需在项目电子化交易系统中按要求上传相应证明文件并进行电子签章；</w:t>
      </w:r>
    </w:p>
    <w:p>
      <w:pPr>
        <w:pStyle w:val="null3"/>
      </w:pPr>
      <w:r>
        <w:rPr/>
        <w:t>9、企业信誉截图：供应商不得为“信用中国”网站（www.creditchina.gov.cn）中列入失信 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10、供应商关联关系声明 ：单位负责人为同一人或者存在直接控股、管理关系的不同供应商，不得参加同一合同项下的政府采购活动，供应商需在项目电子化交易系统中按要求上传相应证明文件并进行电子签章；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t>11、非联合体声明：本次项目不接受联合体，供应商需在项目电子化交易系统中按要求上传相应证明文件并进行电子签章；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西安市高陵区行政审批服务局</w:t>
      </w:r>
    </w:p>
    <w:p>
      <w:pPr>
        <w:pStyle w:val="null3"/>
      </w:pPr>
      <w:r>
        <w:rPr/>
        <w:t xml:space="preserve"> 地址： </w:t>
      </w:r>
      <w:r>
        <w:rPr/>
        <w:t>西安市高陵区昭慧路中段</w:t>
      </w:r>
    </w:p>
    <w:p>
      <w:pPr>
        <w:pStyle w:val="null3"/>
      </w:pPr>
      <w:r>
        <w:rPr/>
        <w:t xml:space="preserve"> 邮编： </w:t>
      </w:r>
      <w:r>
        <w:rPr/>
        <w:t>710200</w:t>
      </w:r>
    </w:p>
    <w:p>
      <w:pPr>
        <w:pStyle w:val="null3"/>
      </w:pPr>
      <w:r>
        <w:rPr/>
        <w:t xml:space="preserve"> 联系人： </w:t>
      </w:r>
      <w:r>
        <w:rPr/>
        <w:t>聂工</w:t>
      </w:r>
    </w:p>
    <w:p>
      <w:pPr>
        <w:pStyle w:val="null3"/>
      </w:pPr>
      <w:r>
        <w:rPr/>
        <w:t xml:space="preserve"> 联系电话： </w:t>
      </w:r>
      <w:r>
        <w:rPr/>
        <w:t>02986910058</w:t>
      </w:r>
    </w:p>
    <w:p>
      <w:pPr>
        <w:pStyle w:val="null3"/>
        <w:outlineLvl w:val="3"/>
      </w:pPr>
      <w:r>
        <w:rPr>
          <w:b/>
          <w:sz w:val="24"/>
        </w:rPr>
        <w:t>代理机构：</w:t>
      </w:r>
      <w:r>
        <w:rPr>
          <w:b/>
          <w:sz w:val="24"/>
        </w:rPr>
        <w:t>陕西恒瑞项目管理有限公司</w:t>
      </w:r>
    </w:p>
    <w:p>
      <w:pPr>
        <w:pStyle w:val="null3"/>
      </w:pPr>
      <w:r>
        <w:rPr/>
        <w:t xml:space="preserve"> 地址： </w:t>
      </w:r>
      <w:r>
        <w:rPr/>
        <w:t>西安曲江新区雁翔路58号哈佛公馆裙楼三层</w:t>
      </w:r>
    </w:p>
    <w:p>
      <w:pPr>
        <w:pStyle w:val="null3"/>
      </w:pPr>
      <w:r>
        <w:rPr/>
        <w:t xml:space="preserve"> 邮编： </w:t>
      </w:r>
      <w:r>
        <w:rPr/>
        <w:t>/</w:t>
      </w:r>
    </w:p>
    <w:p>
      <w:pPr>
        <w:pStyle w:val="null3"/>
      </w:pPr>
      <w:r>
        <w:rPr/>
        <w:t xml:space="preserve"> 联系人： </w:t>
      </w:r>
      <w:r>
        <w:rPr/>
        <w:t>刘志强</w:t>
      </w:r>
    </w:p>
    <w:p>
      <w:pPr>
        <w:pStyle w:val="null3"/>
      </w:pPr>
      <w:r>
        <w:rPr/>
        <w:t xml:space="preserve"> 联系电话： </w:t>
      </w:r>
      <w:r>
        <w:rPr/>
        <w:t>13201578115</w:t>
      </w:r>
    </w:p>
    <w:p>
      <w:pPr>
        <w:pStyle w:val="null3"/>
        <w:outlineLvl w:val="3"/>
      </w:pPr>
      <w:r>
        <w:rPr>
          <w:b/>
          <w:sz w:val="24"/>
        </w:rPr>
        <w:t>采购监督机构：</w:t>
      </w:r>
      <w:r>
        <w:rPr>
          <w:b/>
          <w:sz w:val="24"/>
        </w:rPr>
        <w:t>西安市高陵区采购管理科</w:t>
      </w:r>
    </w:p>
    <w:p>
      <w:pPr>
        <w:pStyle w:val="null3"/>
        <w:ind w:firstLine="480"/>
      </w:pPr>
      <w:r>
        <w:rPr/>
        <w:t>联系人：</w:t>
      </w:r>
      <w:r>
        <w:rPr/>
        <w:t>郑宏卫</w:t>
      </w:r>
    </w:p>
    <w:p>
      <w:pPr>
        <w:pStyle w:val="null3"/>
        <w:ind w:firstLine="480"/>
      </w:pPr>
      <w:r>
        <w:rPr/>
        <w:t>联系电话：</w:t>
      </w:r>
      <w:r>
        <w:rPr/>
        <w:t>86919290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采购包1：1,116,500.00元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西安市高陵区行政审批服务局</w:t>
      </w:r>
      <w:r>
        <w:rPr/>
        <w:t>和</w:t>
      </w:r>
      <w:r>
        <w:rPr/>
        <w:t>陕西恒瑞项目管理有限公司</w:t>
      </w:r>
      <w:r>
        <w:rPr/>
        <w:t>享有。对磋商文件中供应商参加本次政府采购活动应当具备的条件，磋商项目技术、服务、商务及其他要求，评审细则及标准由</w:t>
      </w:r>
      <w:r>
        <w:rPr/>
        <w:t>西安市高陵区行政审批服务局</w:t>
      </w:r>
      <w:r>
        <w:rPr/>
        <w:t>负责解释。除上述磋商文件内容，其他内容由</w:t>
      </w:r>
      <w:r>
        <w:rPr/>
        <w:t>陕西恒瑞项目管理有限公司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西安市高陵区行政审批服务局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陕西恒瑞项目管理有限公司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达到国家、省、市相关 行业规范要求的“合格”标准，符合采购人的要求。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陕西恒瑞项目管理有限公司</w:t>
      </w:r>
      <w:r>
        <w:rPr/>
        <w:t xml:space="preserve"> 负责答复；供应商对除采购需求外的采购文件的询问、质疑由</w:t>
      </w:r>
      <w:r>
        <w:rPr/>
        <w:t>陕西恒瑞项目管理有限公司</w:t>
      </w:r>
      <w:r>
        <w:rPr/>
        <w:t xml:space="preserve"> 负责答复；供应商对采购过程、采购结果的询问、质疑由 </w:t>
      </w:r>
      <w:r>
        <w:rPr/>
        <w:t>陕西恒瑞项目管理有限公司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联系人：刘工</w:t>
      </w:r>
    </w:p>
    <w:p>
      <w:pPr>
        <w:pStyle w:val="null3"/>
      </w:pPr>
      <w:r>
        <w:rPr/>
        <w:t>联系电话：13201578115</w:t>
      </w:r>
    </w:p>
    <w:p>
      <w:pPr>
        <w:pStyle w:val="null3"/>
      </w:pPr>
      <w:r>
        <w:rPr/>
        <w:t>地址：西安曲江新区雁翔路58号哈佛公馆裙楼三层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临聘人员人力资源服务 工作区域：高陵区12345政府便民热线中心 工作内容：负责高陵区12345政府便民热线中心的运营管理相关工作，实行7×24小时运行机制，具体工作包括： 1、负责接收市热线办转办的市民服务热线工单办理工作，及时做好电话接听和工单的转办、督查、回访工作。 2、高陵区12345市民热线数据统计和分析。 3、其他热线运营等相关工作。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1,116,500.00</w:t>
      </w:r>
    </w:p>
    <w:p>
      <w:pPr>
        <w:pStyle w:val="null3"/>
      </w:pPr>
      <w:r>
        <w:rPr/>
        <w:t>采购包最高限价（元）: 1,116,500.00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临聘人员人力资源服务</w:t>
            </w:r>
          </w:p>
        </w:tc>
        <w:tc>
          <w:tcPr>
            <w:tcW w:type="dxa" w:w="831"/>
          </w:tcPr>
          <w:p>
            <w:pPr>
              <w:pStyle w:val="null3"/>
              <w:jc w:val="right"/>
            </w:pPr>
            <w:r>
              <w:rPr/>
              <w:t>1.00</w:t>
            </w:r>
          </w:p>
        </w:tc>
        <w:tc>
          <w:tcPr>
            <w:tcW w:type="dxa" w:w="831"/>
          </w:tcPr>
          <w:p>
            <w:pPr>
              <w:pStyle w:val="null3"/>
              <w:jc w:val="right"/>
            </w:pPr>
            <w:r>
              <w:rPr/>
              <w:t>1,116,500.00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标的名称：临聘人员人力资源服务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仿宋" w:hAnsi="仿宋" w:cs="仿宋" w:eastAsia="仿宋"/>
                <w:sz w:val="24"/>
              </w:rPr>
              <w:t>1、合同签订后1个月内完成团队组建工作，项目团队需要为本项目配备项目经理、培训员或质检员或知识管理专员、数据分析等管理人员、平台工作人员等20名，具体执行情况可按照采购人需求配备。</w:t>
            </w:r>
          </w:p>
          <w:p>
            <w:pPr>
              <w:pStyle w:val="null3"/>
              <w:ind w:firstLine="480"/>
              <w:jc w:val="left"/>
            </w:pPr>
            <w:r>
              <w:rPr>
                <w:rFonts w:ascii="仿宋" w:hAnsi="仿宋" w:cs="仿宋" w:eastAsia="仿宋"/>
                <w:sz w:val="24"/>
              </w:rPr>
              <w:t>2、服务团队配置需大学专科及以上学历，年龄一般在22-35周岁，具有扎实的文字功底及较强的沟通协调能力。</w:t>
            </w:r>
          </w:p>
          <w:p>
            <w:pPr>
              <w:pStyle w:val="null3"/>
              <w:ind w:firstLine="480"/>
              <w:jc w:val="left"/>
            </w:pPr>
            <w:r>
              <w:rPr>
                <w:rFonts w:ascii="仿宋" w:hAnsi="仿宋" w:cs="仿宋" w:eastAsia="仿宋"/>
                <w:sz w:val="24"/>
              </w:rPr>
              <w:t>3、按季度开展员工培训工作，每年不少于四次，具体时段由采购人确定，团队培训工作包括：入职培训，岗中能力提升培训，定期聘请专业老师对平台受理岗人员进行服务标准、规范及相关知识培训、沟通交流技巧、心理疏导等内容培训。根据需求对高陵区各职能部门进行指导培训等。</w:t>
            </w:r>
          </w:p>
          <w:p>
            <w:pPr>
              <w:pStyle w:val="null3"/>
              <w:ind w:firstLine="480"/>
              <w:jc w:val="left"/>
            </w:pPr>
            <w:r>
              <w:rPr>
                <w:rFonts w:ascii="仿宋" w:hAnsi="仿宋" w:cs="仿宋" w:eastAsia="仿宋"/>
                <w:sz w:val="24"/>
              </w:rPr>
              <w:t>4、运营服务执行7</w:t>
            </w:r>
            <w:r>
              <w:rPr>
                <w:rFonts w:ascii="仿宋" w:hAnsi="仿宋" w:cs="仿宋" w:eastAsia="仿宋"/>
                <w:sz w:val="24"/>
              </w:rPr>
              <w:t>×</w:t>
            </w:r>
            <w:r>
              <w:rPr>
                <w:rFonts w:ascii="仿宋" w:hAnsi="仿宋" w:cs="仿宋" w:eastAsia="仿宋"/>
                <w:sz w:val="24"/>
              </w:rPr>
              <w:t>24小时运行机制，运营方依据采购人工作实际需要，合理安排值班。认真、及时办理市热线办转办的市民服务热线接听和工单转派、督查、回访等工作，工单转派及时率、准确率、回访及时率和人工服务满意率保持在较高水平。</w:t>
            </w:r>
          </w:p>
          <w:p>
            <w:pPr>
              <w:pStyle w:val="null3"/>
              <w:ind w:firstLine="480"/>
              <w:jc w:val="left"/>
            </w:pPr>
            <w:r>
              <w:rPr>
                <w:rFonts w:ascii="仿宋" w:hAnsi="仿宋" w:cs="仿宋" w:eastAsia="仿宋"/>
                <w:sz w:val="24"/>
              </w:rPr>
              <w:t>5、负责接受市级平台派发的工单，工作期间必须在2小时内确认交办事项，非工作期间必须在4小时内确认交办事项。</w:t>
            </w:r>
          </w:p>
          <w:p>
            <w:pPr>
              <w:pStyle w:val="null3"/>
              <w:ind w:firstLine="480"/>
              <w:jc w:val="left"/>
            </w:pPr>
            <w:r>
              <w:rPr>
                <w:rFonts w:ascii="仿宋" w:hAnsi="仿宋" w:cs="仿宋" w:eastAsia="仿宋"/>
                <w:sz w:val="24"/>
              </w:rPr>
              <w:t>6、负责对工单内容进行研判，及时将工单转发给各承办单位。</w:t>
            </w:r>
          </w:p>
          <w:p>
            <w:pPr>
              <w:pStyle w:val="null3"/>
              <w:ind w:firstLine="480"/>
              <w:jc w:val="left"/>
            </w:pPr>
            <w:r>
              <w:rPr>
                <w:rFonts w:ascii="仿宋" w:hAnsi="仿宋" w:cs="仿宋" w:eastAsia="仿宋"/>
                <w:sz w:val="24"/>
              </w:rPr>
              <w:t>7、负责对市级平台转派的工单进行核实，将不属于本单位办理的工单及时退回。</w:t>
            </w:r>
          </w:p>
          <w:p>
            <w:pPr>
              <w:pStyle w:val="null3"/>
              <w:ind w:firstLine="480"/>
              <w:jc w:val="left"/>
            </w:pPr>
            <w:r>
              <w:rPr>
                <w:rFonts w:ascii="仿宋" w:hAnsi="仿宋" w:cs="仿宋" w:eastAsia="仿宋"/>
                <w:sz w:val="24"/>
              </w:rPr>
              <w:t>8、负责对承办部门办理工单进度进行督办、催单。</w:t>
            </w:r>
          </w:p>
          <w:p>
            <w:pPr>
              <w:pStyle w:val="null3"/>
              <w:ind w:firstLine="480"/>
              <w:jc w:val="left"/>
            </w:pPr>
            <w:r>
              <w:rPr>
                <w:rFonts w:ascii="仿宋" w:hAnsi="仿宋" w:cs="仿宋" w:eastAsia="仿宋"/>
                <w:sz w:val="24"/>
              </w:rPr>
              <w:t>9、负责对承接的工单进行统计、分析，行业内专业共计季度出具大数据分析报告。</w:t>
            </w:r>
          </w:p>
          <w:p>
            <w:pPr>
              <w:pStyle w:val="null3"/>
              <w:ind w:firstLine="480"/>
              <w:jc w:val="left"/>
            </w:pPr>
            <w:r>
              <w:rPr>
                <w:rFonts w:ascii="仿宋" w:hAnsi="仿宋" w:cs="仿宋" w:eastAsia="仿宋"/>
                <w:sz w:val="24"/>
              </w:rPr>
              <w:t>10、负责在班次之间交接工作时明确交接工单内容与办理进度。</w:t>
            </w:r>
          </w:p>
          <w:p>
            <w:pPr>
              <w:pStyle w:val="null3"/>
              <w:ind w:firstLine="480"/>
              <w:jc w:val="left"/>
            </w:pPr>
            <w:r>
              <w:rPr>
                <w:rFonts w:ascii="仿宋" w:hAnsi="仿宋" w:cs="仿宋" w:eastAsia="仿宋"/>
                <w:sz w:val="24"/>
              </w:rPr>
              <w:t>11、管理人员应保持电话畅通、便于随时联系。</w:t>
            </w:r>
          </w:p>
          <w:p>
            <w:pPr>
              <w:pStyle w:val="null3"/>
              <w:ind w:firstLine="480"/>
              <w:jc w:val="left"/>
            </w:pPr>
            <w:r>
              <w:rPr>
                <w:rFonts w:ascii="仿宋" w:hAnsi="仿宋" w:cs="仿宋" w:eastAsia="仿宋"/>
                <w:sz w:val="24"/>
              </w:rPr>
              <w:t>12、</w:t>
            </w:r>
            <w:r>
              <w:rPr>
                <w:rFonts w:ascii="仿宋" w:hAnsi="仿宋" w:cs="仿宋" w:eastAsia="仿宋"/>
                <w:sz w:val="24"/>
              </w:rPr>
              <w:t>根据工作要求</w:t>
            </w:r>
            <w:r>
              <w:rPr>
                <w:rFonts w:ascii="仿宋" w:hAnsi="仿宋" w:cs="仿宋" w:eastAsia="仿宋"/>
                <w:sz w:val="24"/>
              </w:rPr>
              <w:t>派驻</w:t>
            </w:r>
            <w:r>
              <w:rPr>
                <w:rFonts w:ascii="仿宋" w:hAnsi="仿宋" w:cs="仿宋" w:eastAsia="仿宋"/>
                <w:sz w:val="24"/>
              </w:rPr>
              <w:t>出差人员。</w:t>
            </w:r>
          </w:p>
          <w:p>
            <w:pPr>
              <w:pStyle w:val="null3"/>
              <w:ind w:firstLine="480"/>
              <w:jc w:val="left"/>
            </w:pPr>
            <w:r>
              <w:rPr>
                <w:rFonts w:ascii="仿宋" w:hAnsi="仿宋" w:cs="仿宋" w:eastAsia="仿宋"/>
                <w:sz w:val="24"/>
              </w:rPr>
              <w:t>13、人力资源公司相关要求和责任</w:t>
            </w:r>
          </w:p>
          <w:p>
            <w:pPr>
              <w:pStyle w:val="null3"/>
              <w:spacing w:after="195"/>
              <w:ind w:firstLine="480"/>
              <w:jc w:val="left"/>
            </w:pPr>
            <w:r>
              <w:rPr>
                <w:rFonts w:ascii="仿宋" w:hAnsi="仿宋" w:cs="仿宋" w:eastAsia="仿宋"/>
                <w:sz w:val="22"/>
              </w:rPr>
              <w:t>（</w:t>
            </w:r>
            <w:r>
              <w:rPr>
                <w:rFonts w:ascii="仿宋" w:hAnsi="仿宋" w:cs="仿宋" w:eastAsia="仿宋"/>
                <w:sz w:val="22"/>
              </w:rPr>
              <w:t>1）人力资源公司承担劳动法规定的责任等的全部外包责任；</w:t>
            </w:r>
          </w:p>
          <w:p>
            <w:pPr>
              <w:pStyle w:val="null3"/>
              <w:spacing w:after="195"/>
              <w:ind w:firstLine="480"/>
              <w:jc w:val="left"/>
            </w:pPr>
            <w:r>
              <w:rPr>
                <w:rFonts w:ascii="仿宋" w:hAnsi="仿宋" w:cs="仿宋" w:eastAsia="仿宋"/>
                <w:sz w:val="22"/>
              </w:rPr>
              <w:t>（</w:t>
            </w:r>
            <w:r>
              <w:rPr>
                <w:rFonts w:ascii="仿宋" w:hAnsi="仿宋" w:cs="仿宋" w:eastAsia="仿宋"/>
                <w:sz w:val="22"/>
              </w:rPr>
              <w:t>2）人力资源公司应具备健全的组织架构、完整的管理制度、专业的服务标准；</w:t>
            </w:r>
          </w:p>
          <w:p>
            <w:pPr>
              <w:pStyle w:val="null3"/>
              <w:spacing w:after="195"/>
              <w:ind w:firstLine="480"/>
              <w:jc w:val="left"/>
            </w:pPr>
            <w:r>
              <w:rPr>
                <w:rFonts w:ascii="仿宋" w:hAnsi="仿宋" w:cs="仿宋" w:eastAsia="仿宋"/>
                <w:sz w:val="22"/>
              </w:rPr>
              <w:t>（</w:t>
            </w:r>
            <w:r>
              <w:rPr>
                <w:rFonts w:ascii="仿宋" w:hAnsi="仿宋" w:cs="仿宋" w:eastAsia="仿宋"/>
                <w:sz w:val="22"/>
              </w:rPr>
              <w:t>3）人力资源公司拟派劳务人员因病、因事、辞职等原因未能履行工作职责的，应尽快另行安排其他资质不低于采购要求的劳务人员，确保采购人日常工作运行；</w:t>
            </w:r>
          </w:p>
          <w:p>
            <w:pPr>
              <w:pStyle w:val="null3"/>
              <w:spacing w:after="195"/>
              <w:ind w:firstLine="480"/>
              <w:jc w:val="left"/>
            </w:pPr>
            <w:r>
              <w:rPr>
                <w:rFonts w:ascii="仿宋" w:hAnsi="仿宋" w:cs="仿宋" w:eastAsia="仿宋"/>
                <w:sz w:val="22"/>
              </w:rPr>
              <w:t>（</w:t>
            </w:r>
            <w:r>
              <w:rPr>
                <w:rFonts w:ascii="仿宋" w:hAnsi="仿宋" w:cs="仿宋" w:eastAsia="仿宋"/>
                <w:sz w:val="22"/>
              </w:rPr>
              <w:t>4）人力资源公司拟派劳务人员在工作中因故意或重大过失给采购人造成经济损失的，经采购人、成交供应商双方认定或相关机构认定后，由责任人员承担连带赔偿责任；</w:t>
            </w:r>
          </w:p>
          <w:p>
            <w:pPr>
              <w:pStyle w:val="null3"/>
              <w:spacing w:after="195"/>
              <w:ind w:firstLine="480"/>
              <w:jc w:val="left"/>
            </w:pPr>
            <w:r>
              <w:rPr>
                <w:rFonts w:ascii="仿宋" w:hAnsi="仿宋" w:cs="仿宋" w:eastAsia="仿宋"/>
                <w:sz w:val="22"/>
              </w:rPr>
              <w:t>（</w:t>
            </w:r>
            <w:r>
              <w:rPr>
                <w:rFonts w:ascii="仿宋" w:hAnsi="仿宋" w:cs="仿宋" w:eastAsia="仿宋"/>
                <w:sz w:val="22"/>
              </w:rPr>
              <w:t>5）劳务人员发生工伤、职业病、因工死亡等事故的，采购人应及时通报和配合人力资源公司，由人力资源公司去申报办理，按国家《工伤保险条例》有关规定处理；</w:t>
            </w:r>
          </w:p>
          <w:p>
            <w:pPr>
              <w:pStyle w:val="null3"/>
              <w:spacing w:after="195"/>
              <w:ind w:firstLine="480"/>
              <w:jc w:val="left"/>
            </w:pPr>
            <w:r>
              <w:rPr>
                <w:rFonts w:ascii="仿宋" w:hAnsi="仿宋" w:cs="仿宋" w:eastAsia="仿宋"/>
                <w:sz w:val="22"/>
              </w:rPr>
              <w:t>（</w:t>
            </w:r>
            <w:r>
              <w:rPr>
                <w:rFonts w:ascii="仿宋" w:hAnsi="仿宋" w:cs="仿宋" w:eastAsia="仿宋"/>
                <w:sz w:val="22"/>
              </w:rPr>
              <w:t>6）劳务人员因工作表现不佳，工作能力无法胜任工作的，采购人可根据考核淘汰机制进行淘汰，由人力资源公司另行招聘补充人员。</w:t>
            </w:r>
          </w:p>
        </w:tc>
      </w:tr>
    </w:tbl>
    <w:p>
      <w:pPr>
        <w:pStyle w:val="null3"/>
        <w:outlineLvl w:val="2"/>
      </w:pPr>
      <w:r>
        <w:rPr>
          <w:b/>
          <w:sz w:val="28"/>
        </w:rPr>
        <w:t>3.2.3人员配置要求</w:t>
      </w:r>
    </w:p>
    <w:p>
      <w:pPr>
        <w:pStyle w:val="null3"/>
      </w:pPr>
      <w:r>
        <w:rPr/>
        <w:t>采购包1：</w:t>
      </w:r>
    </w:p>
    <w:p>
      <w:pPr>
        <w:pStyle w:val="null3"/>
      </w:pPr>
      <w:r>
        <w:rPr/>
        <w:t>服务团队配置需大学专科及以上学历，年龄一般在22-35周岁，具有扎实的文字功底及较强的沟通协调能力。</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达到国家、省、市相关 行业规范要求的“合格”标准，符合采购人的要求。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采用月付方式，分12期，每期等额支付，采购方在每月30日前向乙方支付上一期费用，直至采购服务期满结束</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一般与合同款项的支付相关，注意不要超出《民法典》中对于违约的责任上限。</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有独立承担民事责任能力的法人、其他组织或自然人，供应商是法人或其他组织的应提供营业执照等证明文件，自然人的提供有效的自然人身份证明，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完税证明</w:t>
            </w:r>
          </w:p>
        </w:tc>
        <w:tc>
          <w:tcPr>
            <w:tcW w:type="dxa" w:w="3322"/>
          </w:tcPr>
          <w:p>
            <w:pPr>
              <w:pStyle w:val="null3"/>
            </w:pPr>
            <w:r>
              <w:rPr/>
              <w:t>投标截止时间前一年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4</w:t>
            </w:r>
          </w:p>
        </w:tc>
        <w:tc>
          <w:tcPr>
            <w:tcW w:type="dxa" w:w="2492"/>
          </w:tcPr>
          <w:p>
            <w:pPr>
              <w:pStyle w:val="null3"/>
            </w:pPr>
            <w:r>
              <w:rPr/>
              <w:t>社保缴纳凭证</w:t>
            </w:r>
          </w:p>
        </w:tc>
        <w:tc>
          <w:tcPr>
            <w:tcW w:type="dxa" w:w="3322"/>
          </w:tcPr>
          <w:p>
            <w:pPr>
              <w:pStyle w:val="null3"/>
            </w:pPr>
            <w:r>
              <w:rPr/>
              <w:t>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5</w:t>
            </w:r>
          </w:p>
        </w:tc>
        <w:tc>
          <w:tcPr>
            <w:tcW w:type="dxa" w:w="2492"/>
          </w:tcPr>
          <w:p>
            <w:pPr>
              <w:pStyle w:val="null3"/>
            </w:pPr>
            <w:r>
              <w:rPr/>
              <w:t>无重大违法记录的书面声明</w:t>
            </w:r>
          </w:p>
        </w:tc>
        <w:tc>
          <w:tcPr>
            <w:tcW w:type="dxa" w:w="3322"/>
          </w:tcPr>
          <w:p>
            <w:pPr>
              <w:pStyle w:val="null3"/>
            </w:pPr>
            <w:r>
              <w:rPr/>
              <w:t>参加政府采购活动前三年内，在经营活动中没有重大违法记录的书面声明，供应商需在项目 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6</w:t>
            </w:r>
          </w:p>
        </w:tc>
        <w:tc>
          <w:tcPr>
            <w:tcW w:type="dxa" w:w="2492"/>
          </w:tcPr>
          <w:p>
            <w:pPr>
              <w:pStyle w:val="null3"/>
            </w:pPr>
            <w:r>
              <w:rPr/>
              <w:t>履约承诺</w:t>
            </w:r>
          </w:p>
        </w:tc>
        <w:tc>
          <w:tcPr>
            <w:tcW w:type="dxa" w:w="3322"/>
          </w:tcPr>
          <w:p>
            <w:pPr>
              <w:pStyle w:val="null3"/>
            </w:pPr>
            <w:r>
              <w:rPr/>
              <w:t>具有履行合同所必需的设备和专业技术能力的书面承诺，供应商需在项目电子化交易系统中按要求上传相应证明文件并进行电子签章；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并加盖公章）和被授权人身份证原件。（法定代表人参加投标只须提供法定代表人身份证明书及身份证原件），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供应商须提供行政主管部门颁发的有效期内的《劳务派遣经营许可证》和《人力资源服务许可证》，供应商需在项目电子化交易系统中按要求上传相应证明文件并进行电子签章；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9</w:t>
            </w:r>
          </w:p>
        </w:tc>
        <w:tc>
          <w:tcPr>
            <w:tcW w:type="dxa" w:w="2492"/>
          </w:tcPr>
          <w:p>
            <w:pPr>
              <w:pStyle w:val="null3"/>
            </w:pPr>
            <w:r>
              <w:rPr/>
              <w:t>企业信誉截图</w:t>
            </w:r>
          </w:p>
        </w:tc>
        <w:tc>
          <w:tcPr>
            <w:tcW w:type="dxa" w:w="3322"/>
          </w:tcPr>
          <w:p>
            <w:pPr>
              <w:pStyle w:val="null3"/>
            </w:pPr>
            <w:r>
              <w:rPr/>
              <w:t>供应商不得为“信用中国”网站（www.creditchina.gov.cn）中列入失信 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10</w:t>
            </w:r>
          </w:p>
        </w:tc>
        <w:tc>
          <w:tcPr>
            <w:tcW w:type="dxa" w:w="2492"/>
          </w:tcPr>
          <w:p>
            <w:pPr>
              <w:pStyle w:val="null3"/>
            </w:pPr>
            <w:r>
              <w:rPr/>
              <w:t>供应商关联关系声明</w:t>
            </w:r>
          </w:p>
        </w:tc>
        <w:tc>
          <w:tcPr>
            <w:tcW w:type="dxa" w:w="3322"/>
          </w:tcPr>
          <w:p>
            <w:pPr>
              <w:pStyle w:val="null3"/>
            </w:pPr>
            <w:r>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11</w:t>
            </w:r>
          </w:p>
        </w:tc>
        <w:tc>
          <w:tcPr>
            <w:tcW w:type="dxa" w:w="2492"/>
          </w:tcPr>
          <w:p>
            <w:pPr>
              <w:pStyle w:val="null3"/>
            </w:pPr>
            <w:r>
              <w:rPr/>
              <w:t>非联合体声明</w:t>
            </w:r>
          </w:p>
        </w:tc>
        <w:tc>
          <w:tcPr>
            <w:tcW w:type="dxa" w:w="3322"/>
          </w:tcPr>
          <w:p>
            <w:pPr>
              <w:pStyle w:val="null3"/>
            </w:pPr>
            <w:r>
              <w:rPr/>
              <w:t>本次项目不接受联合体，供应商需在项目电子化交易系统中按要求上传相应证明文件并进行电子签章；</w:t>
            </w:r>
          </w:p>
        </w:tc>
        <w:tc>
          <w:tcPr>
            <w:tcW w:type="dxa" w:w="1661"/>
          </w:tcPr>
          <w:p>
            <w:pPr>
              <w:pStyle w:val="null3"/>
            </w:pPr>
            <w:r>
              <w:rPr/>
              <w:t>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满足磋商文件格式要求</w:t>
            </w:r>
          </w:p>
        </w:tc>
        <w:tc>
          <w:tcPr>
            <w:tcW w:type="dxa" w:w="1661"/>
          </w:tcPr>
          <w:p>
            <w:pPr>
              <w:pStyle w:val="null3"/>
            </w:pPr>
            <w:r>
              <w:rPr/>
              <w:t>响应文件封面 中小企业声明函 残疾人福利性单位声明函 标的清单 报价表 响应函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服务内容及服务邀请应答表 商务应答表 服务方案 标的清单 报价表 响应函 相关资格证明材料</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按磋商文件要求报价，不得提交选择性报价，且每轮报价不超过采购预算金额或最高限价。</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磋商响应文件份数</w:t>
            </w:r>
          </w:p>
        </w:tc>
        <w:tc>
          <w:tcPr>
            <w:tcW w:type="dxa" w:w="3322"/>
          </w:tcPr>
          <w:p>
            <w:pPr>
              <w:pStyle w:val="null3"/>
            </w:pPr>
            <w:r>
              <w:rPr/>
              <w:t>应符合“供应商须知前附表”规定的正本、副本、电子文件、报价一览表数量</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服务内容及服务邀请应答表 商务应答表</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服务内容及服务邀请应答表 商务应答表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不存在法律、法规和招标文件规定的其他无效投标情形</w:t>
            </w:r>
          </w:p>
        </w:tc>
        <w:tc>
          <w:tcPr>
            <w:tcW w:type="dxa" w:w="1661"/>
          </w:tcPr>
          <w:p>
            <w:pPr>
              <w:pStyle w:val="null3"/>
            </w:pPr>
            <w:r>
              <w:rPr/>
              <w:t>响应文件封面 服务内容及服务邀请应答表 中小企业声明函 残疾人福利性单位声明函 商务应答表 标的清单 报价表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针对本项目的整体服务方案。 1、对本项目背景和工作内容的理解深刻、分析全面、服务方案完整、合理、有针对性、工作思路清晰、方法先进、任务分解合理，计[10.1-15.0]分； 2、对本项目背景和工作内容的理解较深刻、分析较全面、服务方案较合理、较有针对性、工作思路较清晰、方法较先进、任务分解较合理，计[5.1-10.0）分； 3、对本项目背景和工作内容的理解和分析一般、服务方案一般，工作思路、方法、任务分解较简单，计[1.0-5.0）分；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人员配备方案</w:t>
            </w:r>
          </w:p>
        </w:tc>
        <w:tc>
          <w:tcPr>
            <w:tcW w:type="dxa" w:w="2492"/>
          </w:tcPr>
          <w:p>
            <w:pPr>
              <w:pStyle w:val="null3"/>
            </w:pPr>
            <w:r>
              <w:rPr/>
              <w:t>针对本项目服务人员的配备方案。 1、人员配置合理，年龄及各项综合实力完全满足服务要求，从事具体业务工作的服务人员经验丰富，计[10.1-15.0]分； 2、人员配制基本合理，年龄及各项综合实力基本满足服务要求，从事具体业务工作的服务人员经验一般，计[5.1-10.0）分； 3、人员配置差，从事具体业务工作的服务人员无类似工作经验，计[1.0-5.0）分；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保障措施</w:t>
            </w:r>
          </w:p>
        </w:tc>
        <w:tc>
          <w:tcPr>
            <w:tcW w:type="dxa" w:w="2492"/>
          </w:tcPr>
          <w:p>
            <w:pPr>
              <w:pStyle w:val="null3"/>
            </w:pPr>
            <w:r>
              <w:rPr/>
              <w:t>针对本项目的服务保障措施，所涉及的所有服务人员均按照国家相关法律法规的要求进行管理。 1、流程管理、质量管理、安全管理、档案管理、人员组织等，每一项工作内容分解详细，可操作性高，执行力度高效快捷，计[10.1-15.0]分； 2、流程管理、质量管理、安全管理、档案管理、人员组织等，每一项工作内容分解一般，可操作性一般，执行力度一般，计[5.1-10.0）分； 3、流程管理、质量管理、安全管理、档案管理、人员组织等，每一项工作内容分解差，可操作性差，执行力度差，方案堆叠，计[1.0-5.0）分；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针对本项目的应急方案。 1、具有完整、规范的应急方案，并有充足的应急资源储备及较强的应急调配响应能力，计[10.1-15.0]分； 2、具有较完整、规范的应急方案，有基本应急资源储备及应急调配响应能力，计[5.1-10.0）分； 3、应急方案差，与本项目实际服务内容偏差较大，计[1.0-5.0）分；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人员储备</w:t>
            </w:r>
          </w:p>
        </w:tc>
        <w:tc>
          <w:tcPr>
            <w:tcW w:type="dxa" w:w="2492"/>
          </w:tcPr>
          <w:p>
            <w:pPr>
              <w:pStyle w:val="null3"/>
            </w:pPr>
            <w:r>
              <w:rPr/>
              <w:t>人员储备丰富，能及时选调高素质的工作人员，充实到工作岗位，开展工作。 1.人员储备能力强，完全满足随时选调需求、内容描述具体且完整，计[10.1-15.0]分； 2.人员储备能力一般，基本满足项目需求，内容描述较完整计[5.1-10.0）分； 3.人员储备能力较差，内容描述不全面，计[1.0-5.0）分； 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供应商根据采购需求对服务人员等人上岗前培训提供培训方案，包含但不限于：安全监督管理制度，相关政策、法规教育，职业道德培训。 1.培训方案完整具体，具有可行性，计[6-10]分； 2.培训方案较完整，可行性一般，计[3-6）分； 3.培训方案不完整，可行性较差，计[1-3）分；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供应商须提供自2020年 12月至今类似项目业绩，磋商响应文件中附加盖供应商公章的合同或中标通知书复印件（以合同签订日期为准或以中标通知书发出时间为准），每提供一份得1分，满分5分。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详见附件：类似业绩</w:t>
      </w:r>
    </w:p>
    <w:p>
      <w:pPr>
        <w:pStyle w:val="null3"/>
        <w:ind w:firstLine="960"/>
      </w:pPr>
      <w:r>
        <w:rPr/>
        <w:t>详见附件：相关资格证明材料</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