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jc w:val="center"/>
        <w:textAlignment w:val="baseline"/>
        <w:rPr>
          <w:rFonts w:hint="eastAsia" w:ascii="宋体" w:hAnsi="宋体" w:eastAsia="宋体" w:cs="宋体"/>
          <w:b/>
          <w:bCs/>
          <w:sz w:val="36"/>
          <w:szCs w:val="36"/>
          <w:lang w:val="en-US" w:eastAsia="zh-CN"/>
        </w:rPr>
      </w:pPr>
    </w:p>
    <w:p>
      <w:pPr>
        <w:widowControl/>
        <w:snapToGrid w:val="0"/>
        <w:jc w:val="center"/>
        <w:textAlignment w:val="baseline"/>
        <w:rPr>
          <w:rFonts w:hint="eastAsia" w:ascii="宋体" w:hAnsi="宋体" w:eastAsia="宋体" w:cs="宋体"/>
          <w:b/>
          <w:bCs/>
          <w:sz w:val="36"/>
          <w:szCs w:val="36"/>
          <w:lang w:val="en-US" w:eastAsia="zh-CN"/>
        </w:rPr>
      </w:pPr>
    </w:p>
    <w:p>
      <w:pPr>
        <w:widowControl/>
        <w:snapToGrid w:val="0"/>
        <w:jc w:val="center"/>
        <w:textAlignment w:val="baseline"/>
        <w:rPr>
          <w:rFonts w:hint="eastAsia" w:ascii="宋体" w:hAnsi="宋体" w:eastAsia="宋体" w:cs="宋体"/>
          <w:b/>
          <w:bCs/>
          <w:sz w:val="160"/>
          <w:szCs w:val="160"/>
        </w:rPr>
      </w:pPr>
      <w:r>
        <w:rPr>
          <w:rFonts w:hint="eastAsia" w:ascii="宋体" w:hAnsi="宋体" w:eastAsia="宋体" w:cs="宋体"/>
          <w:b/>
          <w:bCs/>
          <w:sz w:val="56"/>
          <w:szCs w:val="56"/>
          <w:lang w:val="en-US" w:eastAsia="zh-CN"/>
        </w:rPr>
        <w:t>临聘人员人力资源服务</w:t>
      </w:r>
    </w:p>
    <w:p>
      <w:pPr>
        <w:widowControl/>
        <w:snapToGrid w:val="0"/>
        <w:jc w:val="center"/>
        <w:textAlignment w:val="baseline"/>
        <w:rPr>
          <w:rFonts w:hint="eastAsia" w:ascii="宋体" w:hAnsi="宋体" w:eastAsia="宋体" w:cs="宋体"/>
          <w:b/>
          <w:bCs/>
          <w:sz w:val="52"/>
          <w:szCs w:val="52"/>
        </w:rPr>
      </w:pPr>
    </w:p>
    <w:p>
      <w:pPr>
        <w:widowControl/>
        <w:snapToGrid w:val="0"/>
        <w:jc w:val="center"/>
        <w:textAlignment w:val="baseline"/>
        <w:rPr>
          <w:rFonts w:hint="eastAsia" w:ascii="宋体" w:hAnsi="宋体" w:eastAsia="宋体" w:cs="宋体"/>
          <w:b/>
          <w:bCs/>
          <w:sz w:val="52"/>
          <w:szCs w:val="52"/>
        </w:rPr>
      </w:pPr>
    </w:p>
    <w:p>
      <w:pPr>
        <w:widowControl/>
        <w:snapToGrid w:val="0"/>
        <w:jc w:val="center"/>
        <w:textAlignment w:val="baseline"/>
        <w:rPr>
          <w:rFonts w:hint="eastAsia" w:ascii="宋体" w:hAnsi="宋体" w:eastAsia="宋体" w:cs="宋体"/>
          <w:b/>
          <w:bCs/>
          <w:sz w:val="52"/>
          <w:szCs w:val="52"/>
        </w:rPr>
      </w:pPr>
    </w:p>
    <w:p>
      <w:pPr>
        <w:widowControl/>
        <w:snapToGrid w:val="0"/>
        <w:jc w:val="center"/>
        <w:textAlignment w:val="baseline"/>
        <w:rPr>
          <w:rFonts w:hint="eastAsia" w:ascii="宋体" w:hAnsi="宋体" w:eastAsia="宋体" w:cs="宋体"/>
          <w:b/>
          <w:bCs/>
          <w:sz w:val="52"/>
          <w:szCs w:val="52"/>
        </w:rPr>
      </w:pPr>
    </w:p>
    <w:p>
      <w:pPr>
        <w:widowControl/>
        <w:snapToGrid w:val="0"/>
        <w:jc w:val="center"/>
        <w:textAlignment w:val="baseline"/>
        <w:rPr>
          <w:rFonts w:hint="eastAsia" w:ascii="宋体" w:hAnsi="宋体" w:eastAsia="宋体" w:cs="宋体"/>
          <w:b/>
          <w:bCs/>
          <w:sz w:val="52"/>
          <w:szCs w:val="52"/>
        </w:rPr>
      </w:pPr>
      <w:r>
        <w:rPr>
          <w:rFonts w:hint="eastAsia" w:ascii="宋体" w:hAnsi="宋体" w:eastAsia="宋体" w:cs="宋体"/>
          <w:b/>
          <w:bCs/>
          <w:sz w:val="52"/>
          <w:szCs w:val="52"/>
        </w:rPr>
        <w:t>服务采购合同</w:t>
      </w:r>
    </w:p>
    <w:p>
      <w:pPr>
        <w:widowControl/>
        <w:snapToGrid w:val="0"/>
        <w:jc w:val="center"/>
        <w:textAlignment w:val="baseline"/>
        <w:rPr>
          <w:rFonts w:hint="eastAsia" w:ascii="宋体" w:hAnsi="宋体" w:eastAsia="宋体" w:cs="宋体"/>
          <w:b/>
          <w:bCs/>
          <w:sz w:val="52"/>
          <w:szCs w:val="52"/>
        </w:rPr>
      </w:pPr>
    </w:p>
    <w:p>
      <w:pPr>
        <w:widowControl/>
        <w:snapToGrid w:val="0"/>
        <w:jc w:val="center"/>
        <w:textAlignment w:val="baseline"/>
        <w:rPr>
          <w:rFonts w:hint="eastAsia" w:ascii="宋体" w:hAnsi="宋体" w:eastAsia="宋体" w:cs="宋体"/>
          <w:b/>
          <w:bCs/>
          <w:sz w:val="52"/>
          <w:szCs w:val="52"/>
        </w:rPr>
      </w:pPr>
    </w:p>
    <w:p>
      <w:pPr>
        <w:widowControl/>
        <w:snapToGrid w:val="0"/>
        <w:jc w:val="center"/>
        <w:textAlignment w:val="baseline"/>
        <w:rPr>
          <w:rFonts w:hint="eastAsia" w:ascii="宋体" w:hAnsi="宋体" w:eastAsia="宋体" w:cs="宋体"/>
          <w:b/>
          <w:bCs/>
          <w:sz w:val="52"/>
          <w:szCs w:val="52"/>
        </w:rPr>
      </w:pPr>
    </w:p>
    <w:p>
      <w:pPr>
        <w:widowControl/>
        <w:snapToGrid w:val="0"/>
        <w:textAlignment w:val="baseline"/>
        <w:rPr>
          <w:rFonts w:hint="eastAsia" w:ascii="宋体" w:hAnsi="宋体" w:eastAsia="宋体" w:cs="宋体"/>
          <w:szCs w:val="20"/>
        </w:rPr>
      </w:pPr>
    </w:p>
    <w:p>
      <w:pPr>
        <w:spacing w:after="120"/>
        <w:jc w:val="both"/>
        <w:textAlignment w:val="baseline"/>
        <w:rPr>
          <w:rFonts w:hint="eastAsia" w:ascii="宋体" w:hAnsi="宋体" w:eastAsia="宋体" w:cs="宋体"/>
          <w:kern w:val="2"/>
          <w:sz w:val="21"/>
          <w:lang w:val="en-US" w:eastAsia="zh-CN" w:bidi="ar-SA"/>
        </w:rPr>
      </w:pPr>
    </w:p>
    <w:p>
      <w:pPr>
        <w:widowControl/>
        <w:textAlignment w:val="baseline"/>
        <w:rPr>
          <w:rFonts w:hint="eastAsia" w:ascii="宋体" w:hAnsi="宋体" w:eastAsia="宋体" w:cs="宋体"/>
          <w:szCs w:val="20"/>
        </w:rPr>
      </w:pPr>
    </w:p>
    <w:p>
      <w:pPr>
        <w:widowControl/>
        <w:snapToGrid w:val="0"/>
        <w:textAlignment w:val="baseline"/>
        <w:rPr>
          <w:rFonts w:hint="eastAsia" w:ascii="宋体" w:hAnsi="宋体" w:eastAsia="宋体" w:cs="宋体"/>
          <w:szCs w:val="20"/>
        </w:rPr>
      </w:pPr>
    </w:p>
    <w:p>
      <w:pPr>
        <w:widowControl/>
        <w:snapToGrid w:val="0"/>
        <w:textAlignment w:val="baseline"/>
        <w:rPr>
          <w:rFonts w:hint="eastAsia" w:ascii="宋体" w:hAnsi="宋体" w:eastAsia="宋体" w:cs="宋体"/>
          <w:szCs w:val="20"/>
        </w:rPr>
      </w:pPr>
    </w:p>
    <w:p>
      <w:pPr>
        <w:widowControl/>
        <w:snapToGrid w:val="0"/>
        <w:textAlignment w:val="baseline"/>
        <w:rPr>
          <w:rFonts w:hint="eastAsia" w:ascii="宋体" w:hAnsi="宋体" w:eastAsia="宋体" w:cs="宋体"/>
          <w:szCs w:val="20"/>
        </w:rPr>
      </w:pPr>
    </w:p>
    <w:p>
      <w:pPr>
        <w:widowControl/>
        <w:snapToGrid w:val="0"/>
        <w:textAlignment w:val="baseline"/>
        <w:rPr>
          <w:rFonts w:hint="eastAsia" w:ascii="宋体" w:hAnsi="宋体" w:eastAsia="宋体" w:cs="宋体"/>
          <w:sz w:val="28"/>
          <w:szCs w:val="28"/>
        </w:rPr>
      </w:pPr>
    </w:p>
    <w:p>
      <w:pPr>
        <w:widowControl/>
        <w:snapToGrid w:val="0"/>
        <w:spacing w:line="360" w:lineRule="auto"/>
        <w:textAlignment w:val="baseline"/>
        <w:rPr>
          <w:rFonts w:hint="eastAsia" w:ascii="宋体" w:hAnsi="宋体" w:eastAsia="宋体" w:cs="宋体"/>
          <w:sz w:val="28"/>
          <w:szCs w:val="28"/>
          <w:u w:val="single"/>
        </w:rPr>
      </w:pPr>
      <w:r>
        <w:rPr>
          <w:rFonts w:hint="eastAsia" w:ascii="宋体" w:hAnsi="宋体" w:eastAsia="宋体" w:cs="宋体"/>
          <w:sz w:val="28"/>
          <w:szCs w:val="28"/>
        </w:rPr>
        <w:t xml:space="preserve">          甲方：</w:t>
      </w:r>
      <w:r>
        <w:rPr>
          <w:rFonts w:hint="eastAsia" w:ascii="宋体" w:hAnsi="宋体" w:eastAsia="宋体" w:cs="宋体"/>
          <w:sz w:val="28"/>
          <w:szCs w:val="28"/>
          <w:u w:val="single" w:color="000000"/>
        </w:rPr>
        <w:t xml:space="preserve">                                  </w:t>
      </w:r>
    </w:p>
    <w:p>
      <w:pPr>
        <w:widowControl/>
        <w:snapToGrid w:val="0"/>
        <w:spacing w:line="360" w:lineRule="auto"/>
        <w:textAlignment w:val="baseline"/>
        <w:rPr>
          <w:rFonts w:hint="eastAsia" w:ascii="宋体" w:hAnsi="宋体" w:eastAsia="宋体" w:cs="宋体"/>
          <w:sz w:val="28"/>
          <w:szCs w:val="28"/>
        </w:rPr>
      </w:pPr>
    </w:p>
    <w:p>
      <w:pPr>
        <w:widowControl/>
        <w:snapToGrid w:val="0"/>
        <w:spacing w:line="360" w:lineRule="auto"/>
        <w:textAlignment w:val="baseline"/>
        <w:rPr>
          <w:rFonts w:hint="eastAsia" w:ascii="宋体" w:hAnsi="宋体" w:eastAsia="宋体" w:cs="宋体"/>
          <w:sz w:val="28"/>
          <w:szCs w:val="28"/>
          <w:u w:val="single"/>
        </w:rPr>
      </w:pPr>
      <w:r>
        <w:rPr>
          <w:rFonts w:hint="eastAsia" w:ascii="宋体" w:hAnsi="宋体" w:eastAsia="宋体" w:cs="宋体"/>
          <w:sz w:val="28"/>
          <w:szCs w:val="28"/>
        </w:rPr>
        <w:t xml:space="preserve">          乙方：</w:t>
      </w:r>
      <w:r>
        <w:rPr>
          <w:rFonts w:hint="eastAsia" w:ascii="宋体" w:hAnsi="宋体" w:eastAsia="宋体" w:cs="宋体"/>
          <w:sz w:val="28"/>
          <w:szCs w:val="28"/>
          <w:u w:val="single" w:color="000000"/>
        </w:rPr>
        <w:t xml:space="preserve">                                  </w:t>
      </w:r>
    </w:p>
    <w:p>
      <w:pPr>
        <w:widowControl/>
        <w:snapToGrid w:val="0"/>
        <w:spacing w:line="360" w:lineRule="auto"/>
        <w:textAlignment w:val="baseline"/>
        <w:rPr>
          <w:rFonts w:hint="eastAsia" w:ascii="宋体" w:hAnsi="宋体" w:eastAsia="宋体" w:cs="宋体"/>
          <w:sz w:val="28"/>
          <w:szCs w:val="28"/>
          <w:u w:val="single"/>
        </w:rPr>
      </w:pPr>
    </w:p>
    <w:p>
      <w:pPr>
        <w:widowControl/>
        <w:snapToGrid w:val="0"/>
        <w:jc w:val="center"/>
        <w:textAlignment w:val="baseline"/>
        <w:rPr>
          <w:rFonts w:hint="eastAsia" w:ascii="宋体" w:hAnsi="宋体" w:eastAsia="宋体" w:cs="宋体"/>
          <w:sz w:val="28"/>
          <w:szCs w:val="28"/>
          <w:u w:val="single"/>
        </w:rPr>
      </w:pPr>
    </w:p>
    <w:p>
      <w:pPr>
        <w:widowControl/>
        <w:snapToGrid w:val="0"/>
        <w:jc w:val="center"/>
        <w:textAlignment w:val="baseline"/>
        <w:rPr>
          <w:rFonts w:hint="eastAsia" w:ascii="宋体" w:hAnsi="宋体" w:eastAsia="宋体" w:cs="宋体"/>
          <w:sz w:val="28"/>
          <w:szCs w:val="28"/>
        </w:rPr>
      </w:pPr>
      <w:r>
        <w:rPr>
          <w:rFonts w:hint="eastAsia" w:ascii="宋体" w:hAnsi="宋体" w:eastAsia="宋体" w:cs="宋体"/>
          <w:sz w:val="28"/>
          <w:szCs w:val="28"/>
          <w:u w:val="single" w:color="000000"/>
        </w:rPr>
        <w:t xml:space="preserve">      </w:t>
      </w:r>
      <w:r>
        <w:rPr>
          <w:rFonts w:hint="eastAsia" w:ascii="宋体" w:hAnsi="宋体" w:eastAsia="宋体" w:cs="宋体"/>
          <w:sz w:val="28"/>
          <w:szCs w:val="28"/>
        </w:rPr>
        <w:t>年</w:t>
      </w:r>
      <w:r>
        <w:rPr>
          <w:rFonts w:hint="eastAsia" w:ascii="宋体" w:hAnsi="宋体" w:eastAsia="宋体" w:cs="宋体"/>
          <w:sz w:val="28"/>
          <w:szCs w:val="28"/>
          <w:u w:val="single" w:color="000000"/>
        </w:rPr>
        <w:t xml:space="preserve">   </w:t>
      </w:r>
      <w:r>
        <w:rPr>
          <w:rFonts w:hint="eastAsia" w:ascii="宋体" w:hAnsi="宋体" w:eastAsia="宋体" w:cs="宋体"/>
          <w:sz w:val="28"/>
          <w:szCs w:val="28"/>
        </w:rPr>
        <w:t>月</w:t>
      </w:r>
      <w:r>
        <w:rPr>
          <w:rFonts w:hint="eastAsia" w:ascii="宋体" w:hAnsi="宋体" w:eastAsia="宋体" w:cs="宋体"/>
          <w:sz w:val="28"/>
          <w:szCs w:val="28"/>
          <w:u w:val="single" w:color="000000"/>
        </w:rPr>
        <w:t xml:space="preserve">   </w:t>
      </w:r>
      <w:r>
        <w:rPr>
          <w:rFonts w:hint="eastAsia" w:ascii="宋体" w:hAnsi="宋体" w:eastAsia="宋体" w:cs="宋体"/>
          <w:sz w:val="28"/>
          <w:szCs w:val="28"/>
        </w:rPr>
        <w:t>日</w:t>
      </w:r>
    </w:p>
    <w:p>
      <w:pPr>
        <w:widowControl/>
        <w:textAlignment w:val="baseline"/>
        <w:rPr>
          <w:rFonts w:hint="eastAsia" w:ascii="宋体" w:hAnsi="宋体" w:eastAsia="宋体" w:cs="宋体"/>
          <w:szCs w:val="20"/>
        </w:rPr>
      </w:pPr>
    </w:p>
    <w:p>
      <w:pPr>
        <w:snapToGrid w:val="0"/>
        <w:spacing w:before="312" w:line="480" w:lineRule="atLeast"/>
        <w:jc w:val="center"/>
        <w:textAlignment w:val="baseline"/>
        <w:rPr>
          <w:rFonts w:hint="eastAsia" w:ascii="宋体" w:hAnsi="宋体" w:eastAsia="宋体" w:cs="宋体"/>
          <w:b/>
          <w:kern w:val="2"/>
          <w:sz w:val="36"/>
          <w:szCs w:val="36"/>
          <w:lang w:val="en-US" w:eastAsia="zh-CN" w:bidi="ar-SA"/>
        </w:rPr>
      </w:pPr>
    </w:p>
    <w:p>
      <w:pPr>
        <w:spacing w:before="240" w:line="360" w:lineRule="auto"/>
        <w:jc w:val="center"/>
        <w:outlineLvl w:val="0"/>
        <w:rPr>
          <w:rFonts w:hint="eastAsia" w:ascii="宋体" w:hAnsi="宋体" w:eastAsia="宋体" w:cs="宋体"/>
          <w:b/>
          <w:sz w:val="24"/>
          <w:szCs w:val="24"/>
        </w:rPr>
        <w:sectPr>
          <w:footerReference r:id="rId3" w:type="default"/>
          <w:pgSz w:w="11906" w:h="16838"/>
          <w:pgMar w:top="1440" w:right="1332" w:bottom="1440" w:left="1797" w:header="851" w:footer="992" w:gutter="0"/>
          <w:pgNumType w:fmt="decimal" w:start="1"/>
          <w:cols w:space="720" w:num="1"/>
          <w:docGrid w:linePitch="312" w:charSpace="0"/>
        </w:sectPr>
      </w:pP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 xml:space="preserve">甲方（采购人）： </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 xml:space="preserve">乙方（中标人）： </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u w:val="single"/>
          <w:lang w:val="en-US" w:eastAsia="zh-CN"/>
        </w:rPr>
        <w:t>临聘人员人力资源服务</w:t>
      </w:r>
      <w:r>
        <w:rPr>
          <w:rFonts w:hint="eastAsia" w:ascii="宋体" w:hAnsi="宋体" w:eastAsia="宋体" w:cs="宋体"/>
          <w:bCs/>
          <w:sz w:val="24"/>
          <w:szCs w:val="24"/>
          <w:u w:val="single"/>
        </w:rPr>
        <w:t>(项目编号：HRDL-FW[2024]-011-011)</w:t>
      </w:r>
      <w:r>
        <w:rPr>
          <w:rFonts w:hint="eastAsia" w:ascii="宋体" w:hAnsi="宋体" w:eastAsia="宋体" w:cs="宋体"/>
          <w:bCs/>
          <w:sz w:val="24"/>
          <w:szCs w:val="24"/>
        </w:rPr>
        <w:t>，由</w:t>
      </w:r>
      <w:r>
        <w:rPr>
          <w:rFonts w:hint="eastAsia" w:ascii="宋体" w:hAnsi="宋体" w:eastAsia="宋体" w:cs="宋体"/>
          <w:bCs/>
          <w:sz w:val="24"/>
          <w:szCs w:val="24"/>
          <w:lang w:val="en-US" w:eastAsia="zh-CN"/>
        </w:rPr>
        <w:t>陕西恒瑞项目管理有限公司</w:t>
      </w:r>
      <w:r>
        <w:rPr>
          <w:rFonts w:hint="eastAsia" w:ascii="宋体" w:hAnsi="宋体" w:eastAsia="宋体" w:cs="宋体"/>
          <w:bCs/>
          <w:sz w:val="24"/>
          <w:szCs w:val="24"/>
        </w:rPr>
        <w:t>组织</w:t>
      </w:r>
      <w:r>
        <w:rPr>
          <w:rFonts w:hint="eastAsia" w:ascii="宋体" w:hAnsi="宋体" w:eastAsia="宋体" w:cs="宋体"/>
          <w:bCs/>
          <w:sz w:val="24"/>
          <w:szCs w:val="24"/>
          <w:lang w:val="en-US" w:eastAsia="zh-CN"/>
        </w:rPr>
        <w:t>竞争性磋商招标</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(以下简称“甲方”)确定</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（以下简称“乙方”）为该项目的中标人。</w:t>
      </w:r>
    </w:p>
    <w:p>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依据《中华人民共和国</w:t>
      </w:r>
      <w:r>
        <w:rPr>
          <w:rFonts w:hint="eastAsia" w:ascii="宋体" w:hAnsi="宋体" w:eastAsia="宋体" w:cs="宋体"/>
          <w:bCs/>
          <w:sz w:val="24"/>
          <w:szCs w:val="24"/>
          <w:lang w:eastAsia="zh-CN"/>
        </w:rPr>
        <w:t>民法典</w:t>
      </w:r>
      <w:r>
        <w:rPr>
          <w:rFonts w:hint="eastAsia" w:ascii="宋体" w:hAnsi="宋体" w:eastAsia="宋体" w:cs="宋体"/>
          <w:bCs/>
          <w:sz w:val="24"/>
          <w:szCs w:val="24"/>
        </w:rPr>
        <w:t>》和《中华人民共和国政府采购法》之规定，经双方在平等、自愿、互利的基础上，签订本合同，共同信守。</w:t>
      </w:r>
    </w:p>
    <w:p>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一、合同价款</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（一）合同总价款为人民币（大写）</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（二）合同总价包括但不限于</w:t>
      </w:r>
      <w:r>
        <w:rPr>
          <w:rFonts w:hint="eastAsia" w:ascii="宋体" w:hAnsi="宋体" w:eastAsia="宋体" w:cs="宋体"/>
          <w:sz w:val="24"/>
          <w:szCs w:val="24"/>
        </w:rPr>
        <w:t>人员工资、</w:t>
      </w:r>
      <w:r>
        <w:rPr>
          <w:rFonts w:hint="eastAsia" w:ascii="宋体" w:hAnsi="宋体" w:eastAsia="宋体" w:cs="宋体"/>
          <w:bCs/>
          <w:sz w:val="24"/>
          <w:szCs w:val="24"/>
        </w:rPr>
        <w:t>交通费、误餐补助、运输费、管理费、税金等一切相关费用。</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（三）合同总价一次性包死，不受市场价格变化因素的影响。</w:t>
      </w:r>
    </w:p>
    <w:p>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二、款项结算</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（一）合同款的支付：</w:t>
      </w:r>
      <w:r>
        <w:rPr>
          <w:rFonts w:hint="eastAsia" w:ascii="宋体" w:hAnsi="宋体" w:eastAsia="宋体" w:cs="宋体"/>
          <w:bCs/>
          <w:sz w:val="24"/>
          <w:szCs w:val="24"/>
          <w:lang w:val="en-US" w:eastAsia="zh-CN"/>
        </w:rPr>
        <w:t>合同签订后由采购人负责结算，采用月付方式，分12期，每期等额支付，采购方在每月30日前向乙方支付上一期费用，直至采购服务期满结束</w:t>
      </w:r>
      <w:r>
        <w:rPr>
          <w:rFonts w:hint="eastAsia" w:ascii="宋体" w:hAnsi="宋体" w:eastAsia="宋体" w:cs="宋体"/>
          <w:bCs/>
          <w:sz w:val="24"/>
          <w:szCs w:val="24"/>
        </w:rPr>
        <w:t>。</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（二）结算方式：银行转账。</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（三）支付方式：</w:t>
      </w:r>
      <w:r>
        <w:rPr>
          <w:rFonts w:hint="eastAsia" w:ascii="宋体" w:hAnsi="宋体" w:eastAsia="宋体" w:cs="宋体"/>
          <w:sz w:val="24"/>
          <w:szCs w:val="24"/>
          <w:lang w:val="zh-CN"/>
        </w:rPr>
        <w:t>由</w:t>
      </w:r>
      <w:r>
        <w:rPr>
          <w:rFonts w:hint="eastAsia" w:ascii="宋体" w:hAnsi="宋体" w:eastAsia="宋体" w:cs="宋体"/>
          <w:sz w:val="24"/>
          <w:szCs w:val="24"/>
        </w:rPr>
        <w:t>甲方</w:t>
      </w:r>
      <w:r>
        <w:rPr>
          <w:rFonts w:hint="eastAsia" w:ascii="宋体" w:hAnsi="宋体" w:eastAsia="宋体" w:cs="宋体"/>
          <w:sz w:val="24"/>
          <w:szCs w:val="24"/>
          <w:lang w:val="zh-CN"/>
        </w:rPr>
        <w:t>负责结算，合同签订后，乙方在接受付款前，开具全额发票给甲方。</w:t>
      </w:r>
    </w:p>
    <w:p>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三、服务地点及服务期</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w:t>
      </w:r>
      <w:r>
        <w:rPr>
          <w:rFonts w:hint="eastAsia" w:ascii="宋体" w:hAnsi="宋体" w:eastAsia="宋体" w:cs="宋体"/>
          <w:bCs/>
          <w:sz w:val="24"/>
          <w:szCs w:val="24"/>
          <w:lang w:val="en-US" w:eastAsia="zh-CN"/>
        </w:rPr>
        <w:t>服务地点：采购人指定地点</w:t>
      </w:r>
      <w:r>
        <w:rPr>
          <w:rFonts w:hint="eastAsia" w:ascii="宋体" w:hAnsi="宋体" w:eastAsia="宋体" w:cs="宋体"/>
          <w:bCs/>
          <w:sz w:val="24"/>
          <w:szCs w:val="24"/>
        </w:rPr>
        <w:t>。</w:t>
      </w:r>
    </w:p>
    <w:p>
      <w:pPr>
        <w:tabs>
          <w:tab w:val="center" w:pos="4153"/>
          <w:tab w:val="right" w:pos="8306"/>
        </w:tabs>
        <w:snapToGrid w:val="0"/>
        <w:spacing w:line="360" w:lineRule="auto"/>
        <w:ind w:firstLine="480" w:firstLineChars="200"/>
        <w:jc w:val="left"/>
        <w:textAlignment w:val="baseline"/>
        <w:rPr>
          <w:rFonts w:hint="eastAsia" w:ascii="宋体" w:hAnsi="宋体" w:eastAsia="宋体" w:cs="宋体"/>
          <w:b/>
          <w:bCs/>
          <w:kern w:val="2"/>
          <w:sz w:val="24"/>
          <w:szCs w:val="24"/>
          <w:highlight w:val="red"/>
          <w:lang w:val="en-US" w:eastAsia="zh-CN" w:bidi="ar-SA"/>
        </w:rPr>
      </w:pPr>
      <w:r>
        <w:rPr>
          <w:rFonts w:hint="eastAsia" w:ascii="宋体" w:hAnsi="宋体" w:eastAsia="宋体" w:cs="宋体"/>
          <w:bCs/>
          <w:kern w:val="2"/>
          <w:sz w:val="24"/>
          <w:szCs w:val="24"/>
          <w:lang w:val="en-US" w:eastAsia="zh-CN" w:bidi="ar-SA"/>
        </w:rPr>
        <w:t>（二）服务期限：自合同签订之日起一年</w:t>
      </w:r>
      <w:r>
        <w:rPr>
          <w:rFonts w:hint="eastAsia" w:ascii="宋体" w:hAnsi="宋体" w:eastAsia="宋体" w:cs="宋体"/>
          <w:color w:val="auto"/>
          <w:kern w:val="15"/>
          <w:sz w:val="24"/>
          <w:szCs w:val="24"/>
          <w:highlight w:val="none"/>
          <w:lang w:val="en-US" w:eastAsia="zh-CN" w:bidi="ar-SA"/>
        </w:rPr>
        <w:t>。</w:t>
      </w:r>
      <w:r>
        <w:rPr>
          <w:rFonts w:hint="eastAsia" w:ascii="宋体" w:hAnsi="宋体" w:eastAsia="宋体" w:cs="宋体"/>
          <w:color w:val="000000"/>
          <w:kern w:val="15"/>
          <w:sz w:val="24"/>
          <w:szCs w:val="24"/>
          <w:highlight w:val="none"/>
          <w:lang w:val="en-US" w:eastAsia="zh-CN" w:bidi="ar-SA"/>
        </w:rPr>
        <w:t xml:space="preserve"> </w:t>
      </w:r>
    </w:p>
    <w:p>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四、服务承诺</w:t>
      </w:r>
    </w:p>
    <w:p>
      <w:pPr>
        <w:widowControl/>
        <w:autoSpaceDE w:val="0"/>
        <w:autoSpaceDN w:val="0"/>
        <w:adjustRightInd w:val="0"/>
        <w:snapToGrid w:val="0"/>
        <w:spacing w:line="360" w:lineRule="auto"/>
        <w:ind w:firstLine="630"/>
        <w:textAlignment w:val="baseline"/>
        <w:rPr>
          <w:rFonts w:hint="eastAsia" w:ascii="宋体" w:hAnsi="宋体" w:eastAsia="宋体" w:cs="宋体"/>
          <w:bCs/>
          <w:sz w:val="24"/>
          <w:szCs w:val="24"/>
        </w:rPr>
      </w:pPr>
      <w:r>
        <w:rPr>
          <w:rFonts w:hint="eastAsia" w:ascii="宋体" w:hAnsi="宋体" w:eastAsia="宋体" w:cs="宋体"/>
          <w:bCs/>
          <w:sz w:val="24"/>
          <w:szCs w:val="24"/>
        </w:rPr>
        <w:t>（一）服务期内，乙方需派项目经理，直接与甲方沟通，项目经理接收甲方提出的问题与要求，并及时向公司申请调动资源，解决甲方在</w:t>
      </w:r>
      <w:r>
        <w:rPr>
          <w:rFonts w:hint="eastAsia" w:ascii="宋体" w:hAnsi="宋体" w:eastAsia="宋体" w:cs="宋体"/>
          <w:bCs/>
          <w:sz w:val="24"/>
          <w:szCs w:val="24"/>
          <w:lang w:eastAsia="zh-CN"/>
        </w:rPr>
        <w:t>呼叫外包</w:t>
      </w:r>
      <w:r>
        <w:rPr>
          <w:rFonts w:hint="eastAsia" w:ascii="宋体" w:hAnsi="宋体" w:eastAsia="宋体" w:cs="宋体"/>
          <w:bCs/>
          <w:sz w:val="24"/>
          <w:szCs w:val="24"/>
        </w:rPr>
        <w:t>中遇到的问题。</w:t>
      </w:r>
    </w:p>
    <w:p>
      <w:pPr>
        <w:widowControl/>
        <w:autoSpaceDE w:val="0"/>
        <w:autoSpaceDN w:val="0"/>
        <w:adjustRightInd w:val="0"/>
        <w:snapToGrid w:val="0"/>
        <w:spacing w:line="360" w:lineRule="auto"/>
        <w:ind w:firstLine="630"/>
        <w:textAlignment w:val="baseline"/>
        <w:rPr>
          <w:rFonts w:hint="eastAsia" w:ascii="宋体" w:hAnsi="宋体" w:eastAsia="宋体" w:cs="宋体"/>
          <w:bCs/>
          <w:color w:val="FF0000"/>
          <w:sz w:val="24"/>
          <w:szCs w:val="24"/>
        </w:rPr>
      </w:pPr>
      <w:r>
        <w:rPr>
          <w:rFonts w:hint="eastAsia" w:ascii="宋体" w:hAnsi="宋体" w:eastAsia="宋体" w:cs="宋体"/>
          <w:bCs/>
          <w:sz w:val="24"/>
          <w:szCs w:val="24"/>
        </w:rPr>
        <w:t>（二）服务过程中会出现不可预料的需求变更，乙方需积极配合甲方的需求变更，并按照变更后的需求执行。</w:t>
      </w:r>
    </w:p>
    <w:p>
      <w:pPr>
        <w:spacing w:line="360" w:lineRule="auto"/>
        <w:ind w:firstLine="480" w:firstLineChars="200"/>
        <w:jc w:val="both"/>
        <w:textAlignment w:val="baseline"/>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（三）乙方需设有详细的技术资料档案和服务档案，将保存项目的详细资料以便于更好地提供服务。</w:t>
      </w:r>
    </w:p>
    <w:p>
      <w:pPr>
        <w:widowControl/>
        <w:snapToGrid w:val="0"/>
        <w:spacing w:line="360" w:lineRule="auto"/>
        <w:ind w:firstLine="482" w:firstLineChars="200"/>
        <w:textAlignment w:val="baseline"/>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五</w:t>
      </w:r>
      <w:r>
        <w:rPr>
          <w:rFonts w:hint="eastAsia" w:ascii="宋体" w:hAnsi="宋体" w:eastAsia="宋体" w:cs="宋体"/>
          <w:b/>
          <w:sz w:val="24"/>
          <w:szCs w:val="24"/>
        </w:rPr>
        <w:t>、</w:t>
      </w:r>
      <w:r>
        <w:rPr>
          <w:rFonts w:hint="eastAsia" w:ascii="宋体" w:hAnsi="宋体" w:eastAsia="宋体" w:cs="宋体"/>
          <w:b/>
          <w:sz w:val="24"/>
          <w:szCs w:val="24"/>
          <w:lang w:val="en-US" w:eastAsia="zh-CN"/>
        </w:rPr>
        <w:t>服务内容</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1、合同签订后1个月内完成团队组建工作，项目团队需要为本项目配备项目经理、培训员或质检员或知识管理专员、数据分析等管理人员、平台工作人员等20名，具体执行情况可按照采购人需求配备。</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2、服务团队配置需大学专科及以上学历，年龄一般在22-35周岁，具有扎实的文字功底及较强的沟通协调能力。</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按季度开展员工培训工作，每年不少于四次，具体时段由采购人确定，团队培训工作包括：入职培训，岗中能力提升培训，定期聘请专业老师对平台受理岗人员进行服务标准、规范及相关知识培训、沟通交流技巧、心理疏导等内容培训。根据需求对高陵区各职能部门进行指导培训等。</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4、运营服务执行7</w:t>
      </w:r>
      <w:r>
        <w:rPr>
          <w:rFonts w:hint="eastAsia" w:ascii="宋体" w:hAnsi="宋体" w:eastAsia="宋体" w:cs="宋体"/>
          <w:b w:val="0"/>
          <w:bCs/>
          <w:sz w:val="24"/>
          <w:szCs w:val="24"/>
          <w:lang w:val="zh-CN" w:eastAsia="zh-CN"/>
        </w:rPr>
        <w:t>×</w:t>
      </w:r>
      <w:r>
        <w:rPr>
          <w:rFonts w:hint="eastAsia" w:ascii="宋体" w:hAnsi="宋体" w:eastAsia="宋体" w:cs="宋体"/>
          <w:b w:val="0"/>
          <w:bCs/>
          <w:sz w:val="24"/>
          <w:szCs w:val="24"/>
          <w:lang w:val="en-US" w:eastAsia="zh-CN"/>
        </w:rPr>
        <w:t>24小时运行机制，运营方依据采购人工作实际需要，合理安排值班。认真、及时办理市热线办转办的市民服务热线接听和工单转派、督查、回访等工作，工单转派及时率、准确率、回访及时率和人工服务满意率保持在较高水平。</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5、负责接受市级平台派发的工单，工作期间必须在2小时内确认交办事项，非工作期间必须在4小时内确认交办事项。</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6、负责对工单内容进行研判，及时将工单转发给各承办单位。</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7、负责对市级平台转派的工单进行核实，将不属于本单位办理的工单及时退回。</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8、负责对承办部门办理工单进度进行督办、催单。</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9、负责对承接的工单进行统计、分析，行业内专业共计季度出具大数据分析报告。</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10、负责在班次之间交接工作时明确交接工单内容与办理进度。</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11、管理人员应保持电话畅通、便于随时联系。</w:t>
      </w:r>
    </w:p>
    <w:p>
      <w:pPr>
        <w:widowControl/>
        <w:snapToGrid w:val="0"/>
        <w:spacing w:line="360" w:lineRule="auto"/>
        <w:ind w:firstLine="480" w:firstLineChars="200"/>
        <w:textAlignment w:val="baseline"/>
        <w:rPr>
          <w:rFonts w:hint="eastAsia" w:ascii="宋体" w:hAnsi="宋体" w:eastAsia="宋体" w:cs="宋体"/>
          <w:b w:val="0"/>
          <w:bCs/>
          <w:sz w:val="24"/>
          <w:szCs w:val="24"/>
          <w:lang w:val="zh-CN" w:eastAsia="zh-CN"/>
        </w:rPr>
      </w:pPr>
      <w:r>
        <w:rPr>
          <w:rFonts w:hint="eastAsia" w:ascii="宋体" w:hAnsi="宋体" w:eastAsia="宋体" w:cs="宋体"/>
          <w:b w:val="0"/>
          <w:bCs/>
          <w:sz w:val="24"/>
          <w:szCs w:val="24"/>
          <w:lang w:val="en-US" w:eastAsia="zh-CN"/>
        </w:rPr>
        <w:t>12、</w:t>
      </w:r>
      <w:r>
        <w:rPr>
          <w:rFonts w:hint="eastAsia" w:ascii="宋体" w:hAnsi="宋体" w:eastAsia="宋体" w:cs="宋体"/>
          <w:b w:val="0"/>
          <w:bCs/>
          <w:sz w:val="24"/>
          <w:szCs w:val="24"/>
          <w:lang w:val="zh-CN" w:eastAsia="zh-CN"/>
        </w:rPr>
        <w:t>根据工作要求</w:t>
      </w:r>
      <w:r>
        <w:rPr>
          <w:rFonts w:hint="eastAsia" w:ascii="宋体" w:hAnsi="宋体" w:eastAsia="宋体" w:cs="宋体"/>
          <w:b w:val="0"/>
          <w:bCs/>
          <w:sz w:val="24"/>
          <w:szCs w:val="24"/>
          <w:lang w:val="en-US" w:eastAsia="zh-CN"/>
        </w:rPr>
        <w:t>派驻</w:t>
      </w:r>
      <w:r>
        <w:rPr>
          <w:rFonts w:hint="eastAsia" w:ascii="宋体" w:hAnsi="宋体" w:eastAsia="宋体" w:cs="宋体"/>
          <w:b w:val="0"/>
          <w:bCs/>
          <w:sz w:val="24"/>
          <w:szCs w:val="24"/>
          <w:lang w:val="zh-CN" w:eastAsia="zh-CN"/>
        </w:rPr>
        <w:t>出差人员。</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13、人力资源公司相关要求和责任 </w:t>
      </w:r>
      <w:r>
        <w:rPr>
          <w:rFonts w:hint="eastAsia" w:ascii="宋体" w:hAnsi="宋体" w:eastAsia="宋体" w:cs="宋体"/>
          <w:b w:val="0"/>
          <w:bCs/>
          <w:sz w:val="24"/>
          <w:szCs w:val="24"/>
          <w:lang w:val="en-US" w:eastAsia="zh-CN"/>
        </w:rPr>
        <w:tab/>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（1）人力资源公司承担劳动法规定的责任等的全部外包责任；</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（2）人力资源公司应具备健全的组织架构、完整的管理制度、专业的服务标准；</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（3）人力资源公司拟派劳务人员因病、因事、辞职等原因未能履行工作职责的，应尽快另行安排其他资质不低于采购要求的劳务人员，确保采购人日常工作运行；</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（4）人力资源公司拟派劳务人员在工作中因故意或重大过失给采购人造成经济损失的，经采购人、成交供应商双方认定或相关机构认定后，由责任人员承担连带赔偿责任；</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（5）劳务人员发生工伤、职业病、因工死亡等事故的，采购人应及时通报和配合人力资源公司，由人力资源公司去申报办理，按国家《工伤保险条例》有关规定处理；</w:t>
      </w:r>
    </w:p>
    <w:p>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（6）劳务人员因工作表现不佳，工作能力无法胜任工作的，采购人可根据考核淘汰机制进行淘汰，由人力资源公司另行招聘补充人员。</w:t>
      </w:r>
    </w:p>
    <w:p>
      <w:pPr>
        <w:widowControl/>
        <w:snapToGrid w:val="0"/>
        <w:spacing w:line="360" w:lineRule="auto"/>
        <w:ind w:firstLine="482" w:firstLineChars="200"/>
        <w:textAlignment w:val="baseline"/>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六</w:t>
      </w:r>
      <w:r>
        <w:rPr>
          <w:rFonts w:hint="eastAsia" w:ascii="宋体" w:hAnsi="宋体" w:eastAsia="宋体" w:cs="宋体"/>
          <w:b/>
          <w:sz w:val="24"/>
          <w:szCs w:val="24"/>
        </w:rPr>
        <w:t>、</w:t>
      </w:r>
      <w:r>
        <w:rPr>
          <w:rFonts w:hint="eastAsia" w:ascii="宋体" w:hAnsi="宋体" w:eastAsia="宋体" w:cs="宋体"/>
          <w:b/>
          <w:sz w:val="24"/>
          <w:szCs w:val="24"/>
          <w:lang w:val="en-US" w:eastAsia="zh-CN"/>
        </w:rPr>
        <w:t>保密条款</w:t>
      </w:r>
    </w:p>
    <w:p>
      <w:pPr>
        <w:widowControl/>
        <w:snapToGrid w:val="0"/>
        <w:spacing w:line="360" w:lineRule="auto"/>
        <w:ind w:firstLine="480" w:firstLineChars="200"/>
        <w:textAlignment w:val="baseline"/>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合同双方中的任何一方在合作过程中了解或接触到的 对方的商业秘密及其他秘密资料和信息（简称“保密信息”） 均应保守秘密；未经对方书面同意，任何一方不得向媒介公 开或向第三方透露、给予或转让保密信息。泄密的一方将对 另一方因此而受到的损失负完全赔偿责任并承担相应的法律责任。</w:t>
      </w:r>
    </w:p>
    <w:p>
      <w:pPr>
        <w:widowControl/>
        <w:snapToGrid w:val="0"/>
        <w:spacing w:line="360" w:lineRule="auto"/>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lang w:val="en-US" w:eastAsia="zh-CN"/>
        </w:rPr>
        <w:t>七、</w:t>
      </w:r>
      <w:r>
        <w:rPr>
          <w:rFonts w:hint="eastAsia" w:ascii="宋体" w:hAnsi="宋体" w:eastAsia="宋体" w:cs="宋体"/>
          <w:b/>
          <w:sz w:val="24"/>
          <w:szCs w:val="24"/>
        </w:rPr>
        <w:t>其它事项</w:t>
      </w:r>
    </w:p>
    <w:p>
      <w:pPr>
        <w:widowControl/>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（一）乙方不得将项目转让、分包给其它单位或个人。</w:t>
      </w:r>
    </w:p>
    <w:p>
      <w:pPr>
        <w:widowControl/>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（二）乙方的</w:t>
      </w:r>
      <w:r>
        <w:rPr>
          <w:rFonts w:hint="eastAsia" w:ascii="宋体" w:hAnsi="宋体" w:eastAsia="宋体" w:cs="宋体"/>
          <w:sz w:val="24"/>
          <w:szCs w:val="24"/>
          <w:lang w:eastAsia="zh-CN"/>
        </w:rPr>
        <w:t>投标</w:t>
      </w:r>
      <w:r>
        <w:rPr>
          <w:rFonts w:hint="eastAsia" w:ascii="宋体" w:hAnsi="宋体" w:eastAsia="宋体" w:cs="宋体"/>
          <w:sz w:val="24"/>
          <w:szCs w:val="24"/>
        </w:rPr>
        <w:t>文件和承诺等内容将列入合同。</w:t>
      </w:r>
    </w:p>
    <w:p>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七</w:t>
      </w:r>
      <w:r>
        <w:rPr>
          <w:rFonts w:hint="eastAsia" w:ascii="宋体" w:hAnsi="宋体" w:eastAsia="宋体" w:cs="宋体"/>
          <w:b/>
          <w:bCs/>
          <w:sz w:val="24"/>
          <w:szCs w:val="24"/>
        </w:rPr>
        <w:t>、违约责任</w:t>
      </w:r>
    </w:p>
    <w:p>
      <w:pPr>
        <w:widowControl/>
        <w:autoSpaceDE w:val="0"/>
        <w:autoSpaceDN w:val="0"/>
        <w:adjustRightInd w:val="0"/>
        <w:snapToGrid w:val="0"/>
        <w:spacing w:line="360" w:lineRule="auto"/>
        <w:ind w:firstLine="630"/>
        <w:textAlignment w:val="baseline"/>
        <w:rPr>
          <w:rFonts w:hint="eastAsia" w:ascii="宋体" w:hAnsi="宋体" w:eastAsia="宋体" w:cs="宋体"/>
          <w:bCs/>
          <w:sz w:val="24"/>
          <w:szCs w:val="24"/>
        </w:rPr>
      </w:pPr>
      <w:r>
        <w:rPr>
          <w:rFonts w:hint="eastAsia" w:ascii="宋体" w:hAnsi="宋体" w:eastAsia="宋体" w:cs="宋体"/>
          <w:bCs/>
          <w:sz w:val="24"/>
          <w:szCs w:val="24"/>
        </w:rPr>
        <w:t>（一）按《</w:t>
      </w:r>
      <w:r>
        <w:rPr>
          <w:rFonts w:hint="eastAsia" w:ascii="宋体" w:hAnsi="宋体" w:eastAsia="宋体" w:cs="宋体"/>
          <w:bCs/>
          <w:sz w:val="24"/>
          <w:szCs w:val="24"/>
          <w:lang w:eastAsia="zh-CN"/>
        </w:rPr>
        <w:t>民法典</w:t>
      </w:r>
      <w:r>
        <w:rPr>
          <w:rFonts w:hint="eastAsia" w:ascii="宋体" w:hAnsi="宋体" w:eastAsia="宋体" w:cs="宋体"/>
          <w:bCs/>
          <w:sz w:val="24"/>
          <w:szCs w:val="24"/>
        </w:rPr>
        <w:t>》中的相关条款执行。</w:t>
      </w:r>
    </w:p>
    <w:p>
      <w:pPr>
        <w:widowControl/>
        <w:autoSpaceDE w:val="0"/>
        <w:autoSpaceDN w:val="0"/>
        <w:adjustRightInd w:val="0"/>
        <w:snapToGrid w:val="0"/>
        <w:spacing w:line="360" w:lineRule="auto"/>
        <w:ind w:firstLine="630"/>
        <w:textAlignment w:val="baseline"/>
        <w:rPr>
          <w:rFonts w:hint="eastAsia" w:ascii="宋体" w:hAnsi="宋体" w:eastAsia="宋体" w:cs="宋体"/>
          <w:bCs/>
          <w:sz w:val="24"/>
          <w:szCs w:val="24"/>
        </w:rPr>
      </w:pPr>
      <w:r>
        <w:rPr>
          <w:rFonts w:hint="eastAsia" w:ascii="宋体" w:hAnsi="宋体" w:eastAsia="宋体" w:cs="宋体"/>
          <w:bCs/>
          <w:sz w:val="24"/>
          <w:szCs w:val="24"/>
        </w:rPr>
        <w:t>（二）按合同要求提供服务或服务质量不能满足采购</w:t>
      </w:r>
      <w:r>
        <w:rPr>
          <w:rFonts w:hint="eastAsia" w:ascii="宋体" w:hAnsi="宋体" w:eastAsia="宋体" w:cs="宋体"/>
          <w:bCs/>
          <w:sz w:val="24"/>
          <w:szCs w:val="24"/>
          <w:lang w:val="en-US" w:eastAsia="zh-CN"/>
        </w:rPr>
        <w:t>方</w:t>
      </w:r>
      <w:r>
        <w:rPr>
          <w:rFonts w:hint="eastAsia" w:ascii="宋体" w:hAnsi="宋体" w:eastAsia="宋体" w:cs="宋体"/>
          <w:bCs/>
          <w:sz w:val="24"/>
          <w:szCs w:val="24"/>
        </w:rPr>
        <w:t>要求，乙方必须无条件提高技术，完善服务质量，否则，甲方会同监督机构、采购代理机构有权终止合同并对乙方违约行为进行追究，同时按政府采购投标人管理办法进行相应的处罚。</w:t>
      </w:r>
    </w:p>
    <w:p>
      <w:pPr>
        <w:widowControl/>
        <w:autoSpaceDE w:val="0"/>
        <w:autoSpaceDN w:val="0"/>
        <w:adjustRightInd w:val="0"/>
        <w:snapToGrid w:val="0"/>
        <w:spacing w:line="360" w:lineRule="auto"/>
        <w:ind w:firstLine="630"/>
        <w:textAlignment w:val="baseline"/>
        <w:rPr>
          <w:rFonts w:hint="eastAsia" w:ascii="宋体" w:hAnsi="宋体" w:eastAsia="宋体" w:cs="宋体"/>
          <w:bCs/>
          <w:sz w:val="24"/>
          <w:szCs w:val="24"/>
        </w:rPr>
      </w:pPr>
      <w:r>
        <w:rPr>
          <w:rFonts w:hint="eastAsia" w:ascii="宋体" w:hAnsi="宋体" w:eastAsia="宋体" w:cs="宋体"/>
          <w:bCs/>
          <w:sz w:val="24"/>
          <w:szCs w:val="24"/>
        </w:rPr>
        <w:t>（三）任何一方因不可抗力原因不能履行协议时，应尽快通知对方，双方均设法补偿。如仍无法履约协议，可协商延缓或撤销协议，双方责任免除。</w:t>
      </w:r>
    </w:p>
    <w:p>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bookmarkStart w:id="0" w:name="_GoBack"/>
      <w:bookmarkEnd w:id="0"/>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、合同争议解决的方式</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本合同在履行过程中发生的争议，由甲、乙双方当事人协商解决，协商不成的按下列第</w:t>
      </w:r>
      <w:r>
        <w:rPr>
          <w:rFonts w:hint="eastAsia" w:ascii="宋体" w:hAnsi="宋体" w:eastAsia="宋体" w:cs="宋体"/>
          <w:bCs/>
          <w:sz w:val="24"/>
          <w:szCs w:val="24"/>
          <w:u w:val="single"/>
        </w:rPr>
        <w:t>（二）</w:t>
      </w:r>
      <w:r>
        <w:rPr>
          <w:rFonts w:hint="eastAsia" w:ascii="宋体" w:hAnsi="宋体" w:eastAsia="宋体" w:cs="宋体"/>
          <w:bCs/>
          <w:sz w:val="24"/>
          <w:szCs w:val="24"/>
        </w:rPr>
        <w:t>种方式解决：</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（一）提交西安仲裁委员会仲裁；</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（二）依法向甲方所在地人民法院起诉。</w:t>
      </w:r>
    </w:p>
    <w:p>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、合同生效</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（一）本合同经双方签字盖章后生效。</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（二）本合同须经甲、乙双方的法定代表人（授权代理人）在合同书上签字并加盖本单位公章后正式生效。</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（三）合同生效后，甲、乙双方须严格执行本合同条款的规定，全面履行合同，违者按《中华人民共和国</w:t>
      </w:r>
      <w:r>
        <w:rPr>
          <w:rFonts w:hint="eastAsia" w:ascii="宋体" w:hAnsi="宋体" w:eastAsia="宋体" w:cs="宋体"/>
          <w:bCs/>
          <w:sz w:val="24"/>
          <w:szCs w:val="24"/>
          <w:lang w:eastAsia="zh-CN"/>
        </w:rPr>
        <w:t>民法典</w:t>
      </w:r>
      <w:r>
        <w:rPr>
          <w:rFonts w:hint="eastAsia" w:ascii="宋体" w:hAnsi="宋体" w:eastAsia="宋体" w:cs="宋体"/>
          <w:bCs/>
          <w:sz w:val="24"/>
          <w:szCs w:val="24"/>
        </w:rPr>
        <w:t>》的有关规定承担相应责任。</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（四）本合同一式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份，甲乙双方各执</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w:t>
      </w:r>
    </w:p>
    <w:p>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（五）本合同如有未尽事宜，甲、乙双方协商解决。</w:t>
      </w:r>
    </w:p>
    <w:p>
      <w:pPr>
        <w:widowControl/>
        <w:tabs>
          <w:tab w:val="left" w:pos="480"/>
        </w:tabs>
        <w:spacing w:line="360" w:lineRule="auto"/>
        <w:ind w:firstLine="400" w:firstLineChars="200"/>
        <w:textAlignment w:val="baseline"/>
        <w:rPr>
          <w:rFonts w:hint="eastAsia" w:ascii="宋体" w:hAnsi="宋体" w:eastAsia="宋体" w:cs="宋体"/>
          <w:spacing w:val="-20"/>
          <w:kern w:val="0"/>
          <w:sz w:val="24"/>
          <w:szCs w:val="24"/>
        </w:rPr>
      </w:pPr>
    </w:p>
    <w:tbl>
      <w:tblPr>
        <w:tblStyle w:val="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甲  方</w:t>
            </w:r>
          </w:p>
        </w:tc>
        <w:tc>
          <w:tcPr>
            <w:tcW w:w="4202" w:type="dxa"/>
            <w:noWrap w:val="0"/>
            <w:vAlign w:val="center"/>
          </w:tcPr>
          <w:p>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乙  方</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792" w:hRule="exact"/>
          <w:jc w:val="center"/>
        </w:trPr>
        <w:tc>
          <w:tcPr>
            <w:tcW w:w="4201" w:type="dxa"/>
            <w:noWrap w:val="0"/>
            <w:vAlign w:val="center"/>
          </w:tcPr>
          <w:p>
            <w:pPr>
              <w:widowControl/>
              <w:autoSpaceDE w:val="0"/>
              <w:autoSpaceDN w:val="0"/>
              <w:adjustRightInd w:val="0"/>
              <w:spacing w:line="360" w:lineRule="auto"/>
              <w:ind w:firstLine="700" w:firstLineChars="350"/>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c>
          <w:tcPr>
            <w:tcW w:w="4202" w:type="dxa"/>
            <w:noWrap w:val="0"/>
            <w:vAlign w:val="center"/>
          </w:tcPr>
          <w:p>
            <w:pPr>
              <w:widowControl/>
              <w:autoSpaceDE w:val="0"/>
              <w:autoSpaceDN w:val="0"/>
              <w:adjustRightInd w:val="0"/>
              <w:spacing w:line="360" w:lineRule="auto"/>
              <w:ind w:firstLine="800" w:firstLineChars="400"/>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22" w:hRule="exact"/>
          <w:jc w:val="center"/>
        </w:trPr>
        <w:tc>
          <w:tcPr>
            <w:tcW w:w="4201" w:type="dxa"/>
            <w:noWrap w:val="0"/>
            <w:vAlign w:val="center"/>
          </w:tcPr>
          <w:p>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地址： </w:t>
            </w:r>
          </w:p>
        </w:tc>
        <w:tc>
          <w:tcPr>
            <w:tcW w:w="4202" w:type="dxa"/>
            <w:noWrap w:val="0"/>
            <w:vAlign w:val="center"/>
          </w:tcPr>
          <w:p>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地址：</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32" w:hRule="exact"/>
          <w:jc w:val="center"/>
        </w:trPr>
        <w:tc>
          <w:tcPr>
            <w:tcW w:w="4201" w:type="dxa"/>
            <w:noWrap w:val="0"/>
            <w:vAlign w:val="center"/>
          </w:tcPr>
          <w:p>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邮编：</w:t>
            </w:r>
          </w:p>
        </w:tc>
        <w:tc>
          <w:tcPr>
            <w:tcW w:w="4202" w:type="dxa"/>
            <w:noWrap w:val="0"/>
            <w:vAlign w:val="center"/>
          </w:tcPr>
          <w:p>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邮编：</w:t>
            </w:r>
          </w:p>
        </w:tc>
      </w:tr>
    </w:tbl>
    <w:p>
      <w:pPr>
        <w:widowControl/>
        <w:textAlignment w:val="baseline"/>
        <w:rPr>
          <w:rFonts w:ascii="Times New Roman" w:hAnsi="Times New Roman" w:eastAsia="宋体" w:cs="Times New Roman"/>
          <w:szCs w:val="2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4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right="360"/>
      <w:jc w:val="right"/>
      <w:textAlignment w:val="baseline"/>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tabs>
                              <w:tab w:val="center" w:pos="4153"/>
                              <w:tab w:val="right" w:pos="8306"/>
                            </w:tabs>
                            <w:snapToGrid w:val="0"/>
                            <w:jc w:val="left"/>
                            <w:textAlignment w:val="baseline"/>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w:t xml:space="preserve">第 </w:t>
                          </w:r>
                          <w:r>
                            <w:rPr>
                              <w:rFonts w:ascii="Times New Roman" w:hAnsi="Times New Roman" w:eastAsia="宋体" w:cs="Times New Roman"/>
                              <w:kern w:val="2"/>
                              <w:sz w:val="18"/>
                              <w:lang w:val="en-US" w:eastAsia="zh-CN" w:bidi="ar-SA"/>
                            </w:rPr>
                            <w:fldChar w:fldCharType="begin"/>
                          </w:r>
                          <w:r>
                            <w:rPr>
                              <w:rFonts w:ascii="Times New Roman" w:hAnsi="Times New Roman" w:eastAsia="宋体" w:cs="Times New Roman"/>
                              <w:kern w:val="2"/>
                              <w:sz w:val="18"/>
                              <w:lang w:val="en-US" w:eastAsia="zh-CN" w:bidi="ar-SA"/>
                            </w:rPr>
                            <w:instrText xml:space="preserve"> PAGE  \* MERGEFORMAT </w:instrText>
                          </w:r>
                          <w:r>
                            <w:rPr>
                              <w:rFonts w:ascii="Times New Roman" w:hAnsi="Times New Roman" w:eastAsia="宋体" w:cs="Times New Roman"/>
                              <w:kern w:val="2"/>
                              <w:sz w:val="18"/>
                              <w:lang w:val="en-US" w:eastAsia="zh-CN" w:bidi="ar-SA"/>
                            </w:rPr>
                            <w:fldChar w:fldCharType="separate"/>
                          </w:r>
                          <w:r>
                            <w:rPr>
                              <w:rFonts w:ascii="Times New Roman" w:hAnsi="Times New Roman" w:eastAsia="宋体" w:cs="Times New Roman"/>
                              <w:kern w:val="2"/>
                              <w:sz w:val="18"/>
                              <w:lang w:val="en-US" w:eastAsia="zh-CN" w:bidi="ar-SA"/>
                            </w:rPr>
                            <w:t>3</w:t>
                          </w:r>
                          <w:r>
                            <w:rPr>
                              <w:rFonts w:ascii="Times New Roman" w:hAnsi="Times New Roman" w:eastAsia="宋体" w:cs="Times New Roman"/>
                              <w:kern w:val="2"/>
                              <w:sz w:val="18"/>
                              <w:lang w:val="en-US" w:eastAsia="zh-CN" w:bidi="ar-SA"/>
                            </w:rPr>
                            <w:fldChar w:fldCharType="end"/>
                          </w:r>
                          <w:r>
                            <w:rPr>
                              <w:rFonts w:ascii="Times New Roman" w:hAnsi="Times New Roman" w:eastAsia="宋体" w:cs="Times New Roman"/>
                              <w:kern w:val="2"/>
                              <w:sz w:val="18"/>
                              <w:lang w:val="en-US" w:eastAsia="zh-CN" w:bidi="ar-S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pPr>
                      <w:tabs>
                        <w:tab w:val="center" w:pos="4153"/>
                        <w:tab w:val="right" w:pos="8306"/>
                      </w:tabs>
                      <w:snapToGrid w:val="0"/>
                      <w:jc w:val="left"/>
                      <w:textAlignment w:val="baseline"/>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w:t xml:space="preserve">第 </w:t>
                    </w:r>
                    <w:r>
                      <w:rPr>
                        <w:rFonts w:ascii="Times New Roman" w:hAnsi="Times New Roman" w:eastAsia="宋体" w:cs="Times New Roman"/>
                        <w:kern w:val="2"/>
                        <w:sz w:val="18"/>
                        <w:lang w:val="en-US" w:eastAsia="zh-CN" w:bidi="ar-SA"/>
                      </w:rPr>
                      <w:fldChar w:fldCharType="begin"/>
                    </w:r>
                    <w:r>
                      <w:rPr>
                        <w:rFonts w:ascii="Times New Roman" w:hAnsi="Times New Roman" w:eastAsia="宋体" w:cs="Times New Roman"/>
                        <w:kern w:val="2"/>
                        <w:sz w:val="18"/>
                        <w:lang w:val="en-US" w:eastAsia="zh-CN" w:bidi="ar-SA"/>
                      </w:rPr>
                      <w:instrText xml:space="preserve"> PAGE  \* MERGEFORMAT </w:instrText>
                    </w:r>
                    <w:r>
                      <w:rPr>
                        <w:rFonts w:ascii="Times New Roman" w:hAnsi="Times New Roman" w:eastAsia="宋体" w:cs="Times New Roman"/>
                        <w:kern w:val="2"/>
                        <w:sz w:val="18"/>
                        <w:lang w:val="en-US" w:eastAsia="zh-CN" w:bidi="ar-SA"/>
                      </w:rPr>
                      <w:fldChar w:fldCharType="separate"/>
                    </w:r>
                    <w:r>
                      <w:rPr>
                        <w:rFonts w:ascii="Times New Roman" w:hAnsi="Times New Roman" w:eastAsia="宋体" w:cs="Times New Roman"/>
                        <w:kern w:val="2"/>
                        <w:sz w:val="18"/>
                        <w:lang w:val="en-US" w:eastAsia="zh-CN" w:bidi="ar-SA"/>
                      </w:rPr>
                      <w:t>3</w:t>
                    </w:r>
                    <w:r>
                      <w:rPr>
                        <w:rFonts w:ascii="Times New Roman" w:hAnsi="Times New Roman" w:eastAsia="宋体" w:cs="Times New Roman"/>
                        <w:kern w:val="2"/>
                        <w:sz w:val="18"/>
                        <w:lang w:val="en-US" w:eastAsia="zh-CN" w:bidi="ar-SA"/>
                      </w:rPr>
                      <w:fldChar w:fldCharType="end"/>
                    </w:r>
                    <w:r>
                      <w:rPr>
                        <w:rFonts w:ascii="Times New Roman" w:hAnsi="Times New Roman" w:eastAsia="宋体" w:cs="Times New Roman"/>
                        <w:kern w:val="2"/>
                        <w:sz w:val="18"/>
                        <w:lang w:val="en-US" w:eastAsia="zh-CN" w:bidi="ar-SA"/>
                      </w:rPr>
                      <w:t xml:space="preserve"> 页</w:t>
                    </w:r>
                  </w:p>
                </w:txbxContent>
              </v:textbox>
            </v:shape>
          </w:pict>
        </mc:Fallback>
      </mc:AlternateContent>
    </w:r>
    <w:r>
      <w:rPr>
        <w:rFonts w:ascii="Times New Roman" w:hAnsi="Times New Roman" w:eastAsia="宋体" w:cs="Times New Roman"/>
        <w:kern w:val="2"/>
        <w:sz w:val="21"/>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tabs>
                              <w:tab w:val="center" w:pos="4153"/>
                              <w:tab w:val="right" w:pos="8306"/>
                            </w:tabs>
                            <w:snapToGrid w:val="0"/>
                            <w:jc w:val="left"/>
                            <w:textAlignment w:val="baseline"/>
                            <w:rPr>
                              <w:rFonts w:ascii="Times New Roman" w:hAnsi="Times New Roman" w:eastAsia="宋体" w:cs="Times New Roman"/>
                              <w:kern w:val="2"/>
                              <w:sz w:val="18"/>
                              <w:lang w:val="en-US" w:eastAsia="zh-CN" w:bidi="ar-SA"/>
                            </w:rPr>
                          </w:pPr>
                        </w:p>
                        <w:p>
                          <w:pPr>
                            <w:widowControl/>
                            <w:textAlignment w:val="baseline"/>
                            <w:rPr>
                              <w:rFonts w:ascii="Times New Roman" w:hAnsi="Times New Roman" w:eastAsia="宋体" w:cs="Times New Roman"/>
                              <w:szCs w:val="20"/>
                            </w:rPr>
                          </w:pPr>
                        </w:p>
                      </w:txbxContent>
                    </wps:txbx>
                    <wps:bodyPr lIns="0" tIns="0" rIns="0" bIns="0" upright="1"/>
                  </wps:wsp>
                </a:graphicData>
              </a:graphic>
            </wp:anchor>
          </w:drawing>
        </mc:Choice>
        <mc:Fallback>
          <w:pict>
            <v:shape id="_x0000_s1026" o:spid="_x0000_s1026" o:spt="202" type="#_x0000_t202"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Z&#10;pPZA0gAAAAUBAAAPAAAAAAAAAAEAIAAAACIAAABkcnMvZG93bnJldi54bWxQSwECFAAUAAAACACH&#10;TuJAttE7iLgBAACBAwAADgAAAAAAAAABACAAAAAhAQAAZHJzL2Uyb0RvYy54bWxQSwUGAAAAAAYA&#10;BgBZAQAASwUAAAAA&#10;">
              <v:fill on="f" focussize="0,0"/>
              <v:stroke on="f"/>
              <v:imagedata o:title=""/>
              <o:lock v:ext="edit" aspectratio="f"/>
              <v:textbox inset="0mm,0mm,0mm,0mm">
                <w:txbxContent>
                  <w:p>
                    <w:pPr>
                      <w:tabs>
                        <w:tab w:val="center" w:pos="4153"/>
                        <w:tab w:val="right" w:pos="8306"/>
                      </w:tabs>
                      <w:snapToGrid w:val="0"/>
                      <w:jc w:val="left"/>
                      <w:textAlignment w:val="baseline"/>
                      <w:rPr>
                        <w:rFonts w:ascii="Times New Roman" w:hAnsi="Times New Roman" w:eastAsia="宋体" w:cs="Times New Roman"/>
                        <w:kern w:val="2"/>
                        <w:sz w:val="18"/>
                        <w:lang w:val="en-US" w:eastAsia="zh-CN" w:bidi="ar-SA"/>
                      </w:rPr>
                    </w:pPr>
                  </w:p>
                  <w:p>
                    <w:pPr>
                      <w:widowControl/>
                      <w:textAlignment w:val="baseline"/>
                      <w:rPr>
                        <w:rFonts w:ascii="Times New Roman" w:hAnsi="Times New Roman" w:eastAsia="宋体" w:cs="Times New Roman"/>
                        <w:szCs w:val="20"/>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MTU0MDU3ZWI5ZmNlYjRkOTAyYmI2NTk4N2U1ZGQifQ=="/>
  </w:docVars>
  <w:rsids>
    <w:rsidRoot w:val="00000000"/>
    <w:rsid w:val="525F27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ind w:right="-84" w:rightChars="-40"/>
      <w:jc w:val="center"/>
    </w:pPr>
    <w:rPr>
      <w:rFonts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2024-01-19T02:51:55Z</dcterms:created>
  <dc:creator>张杨慧的事业</dc:creator>
  <cp:lastModifiedBy>M…木！</cp:lastModifiedBy>
  <dcterms:modified xsi:type="dcterms:W3CDTF">2024-01-19T03:13:46Z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122A28995CDA418E833FD0B78CB1B68C_12</vt:lpwstr>
  </property>
</Properties>
</file>