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车辆维修保养服务项目</w:t>
      </w:r>
    </w:p>
    <w:p>
      <w:pPr>
        <w:pStyle w:val="null3"/>
        <w:jc w:val="center"/>
        <w:outlineLvl w:val="2"/>
      </w:pPr>
      <w:r>
        <w:rPr>
          <w:b/>
          <w:sz w:val="28"/>
        </w:rPr>
        <w:t>采购项目编号：</w:t>
      </w:r>
      <w:r>
        <w:rPr>
          <w:b/>
          <w:sz w:val="28"/>
        </w:rPr>
        <w:t>GCZX2024-CS104</w:t>
      </w:r>
      <w:r>
        <w:br/>
      </w:r>
      <w:r>
        <w:br/>
      </w:r>
      <w:r>
        <w:br/>
      </w:r>
    </w:p>
    <w:p>
      <w:pPr>
        <w:pStyle w:val="null3"/>
        <w:jc w:val="center"/>
        <w:outlineLvl w:val="2"/>
      </w:pPr>
      <w:r>
        <w:rPr>
          <w:b/>
          <w:sz w:val="28"/>
        </w:rPr>
        <w:t>西安市公安局高陵分局</w:t>
      </w:r>
    </w:p>
    <w:p>
      <w:pPr>
        <w:pStyle w:val="null3"/>
        <w:jc w:val="center"/>
        <w:outlineLvl w:val="2"/>
      </w:pPr>
      <w:r>
        <w:rPr>
          <w:b/>
          <w:sz w:val="28"/>
        </w:rPr>
        <w:t>西安市高陵区政府采购中心</w:t>
      </w:r>
      <w:r>
        <w:rPr>
          <w:b/>
          <w:sz w:val="28"/>
        </w:rPr>
        <w:t>共同编制</w:t>
      </w:r>
    </w:p>
    <w:p>
      <w:pPr>
        <w:pStyle w:val="null3"/>
        <w:jc w:val="center"/>
        <w:outlineLvl w:val="2"/>
      </w:pPr>
      <w:r>
        <w:rPr>
          <w:b/>
          <w:sz w:val="28"/>
        </w:rPr>
        <w:t>2024年04月07日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西安市高陵区政府采购中心</w:t>
      </w:r>
      <w:r>
        <w:rPr/>
        <w:t>（以下简称“代理机构”）受</w:t>
      </w:r>
      <w:r>
        <w:rPr/>
        <w:t>西安市公安局高陵分局</w:t>
      </w:r>
      <w:r>
        <w:rPr/>
        <w:t>委托，拟对</w:t>
      </w:r>
      <w:r>
        <w:rPr/>
        <w:t>车辆维修保养服务项目</w:t>
      </w:r>
      <w:r>
        <w:rPr/>
        <w:t>采用竞争性磋商采购方式进行采购，兹邀请供应商参加本项目的竞争性磋商。</w:t>
      </w:r>
    </w:p>
    <w:p>
      <w:pPr>
        <w:pStyle w:val="null3"/>
        <w:outlineLvl w:val="2"/>
      </w:pPr>
      <w:r>
        <w:rPr>
          <w:b/>
          <w:sz w:val="28"/>
        </w:rPr>
        <w:t>一、项目编号：</w:t>
      </w:r>
      <w:r>
        <w:rPr>
          <w:b/>
          <w:sz w:val="28"/>
        </w:rPr>
        <w:t>GCZX2024-CS104</w:t>
      </w:r>
    </w:p>
    <w:p>
      <w:pPr>
        <w:pStyle w:val="null3"/>
        <w:outlineLvl w:val="2"/>
      </w:pPr>
      <w:r>
        <w:rPr>
          <w:b/>
          <w:sz w:val="28"/>
        </w:rPr>
        <w:t>二、项目名称：</w:t>
      </w:r>
      <w:r>
        <w:rPr>
          <w:b/>
          <w:sz w:val="28"/>
        </w:rPr>
        <w:t>车辆维修保养服务项目</w:t>
      </w:r>
    </w:p>
    <w:p>
      <w:pPr>
        <w:pStyle w:val="null3"/>
        <w:outlineLvl w:val="2"/>
      </w:pPr>
      <w:r>
        <w:rPr>
          <w:b/>
          <w:sz w:val="28"/>
        </w:rPr>
        <w:t>三、磋商项目简介</w:t>
      </w:r>
    </w:p>
    <w:p>
      <w:pPr>
        <w:pStyle w:val="null3"/>
        <w:ind w:firstLine="480"/>
      </w:pPr>
      <w:r>
        <w:rPr/>
        <w:t>西安市公安局高陵分局公务车辆维修及保养项目，确保车辆的正常保养维修，保障车辆的安全运行。</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采购包1（西安市公安局高陵分局车辆维修保养服务项目（城区））：属于专门面向中小企业采购。</w:t>
      </w:r>
    </w:p>
    <w:p>
      <w:pPr>
        <w:pStyle w:val="null3"/>
      </w:pPr>
      <w:r>
        <w:rPr/>
        <w:t>采购包2（西安市公安局高陵分局车辆维修保养服务项目（园区））：属于专门面向中小企业采购。</w:t>
      </w:r>
    </w:p>
    <w:p>
      <w:pPr>
        <w:pStyle w:val="null3"/>
        <w:ind w:firstLine="480"/>
      </w:pPr>
      <w:r>
        <w:rPr/>
        <w:t>（三）本项目的特定资格要求：</w:t>
      </w:r>
    </w:p>
    <w:p>
      <w:pPr>
        <w:pStyle w:val="null3"/>
      </w:pPr>
      <w:r>
        <w:rPr/>
        <w:t>采购包1：</w:t>
      </w:r>
    </w:p>
    <w:p>
      <w:pPr>
        <w:pStyle w:val="null3"/>
      </w:pPr>
      <w:r>
        <w:rPr/>
        <w:t>1、法定代表人授权书或法定代表人身份证明：法定代表人授权书（附法定代表人、被授权人身份证复印件）及被授权人身份证复印件（法定代表人直接参加招标，须提供法定代表人身份证明及身份证复印件）；非法人单位参照执行。</w:t>
      </w:r>
    </w:p>
    <w:p>
      <w:pPr>
        <w:pStyle w:val="null3"/>
      </w:pPr>
      <w:r>
        <w:rPr/>
        <w:t>2、资质要求：供应商须提供二类以上（含二类）汽车维修资质证明材料；</w:t>
      </w:r>
    </w:p>
    <w:p>
      <w:pPr>
        <w:pStyle w:val="null3"/>
      </w:pPr>
      <w:r>
        <w:rPr/>
        <w:t xml:space="preserve">3、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 </w:t>
      </w:r>
    </w:p>
    <w:p>
      <w:pPr>
        <w:pStyle w:val="null3"/>
      </w:pPr>
      <w:r>
        <w:rPr/>
        <w:t>4、关联关系：单位负责人为同一人或者存在直接控股、管理关系的不同投标人，不得参加同一合同项下的政府采购活动；（提供承诺书）</w:t>
      </w:r>
    </w:p>
    <w:p>
      <w:pPr>
        <w:pStyle w:val="null3"/>
      </w:pPr>
      <w:r>
        <w:rPr/>
        <w:t xml:space="preserve">5、其他要求：本项目不接受联合体投标；（提供承诺书） </w:t>
      </w:r>
    </w:p>
    <w:p>
      <w:pPr>
        <w:pStyle w:val="null3"/>
      </w:pPr>
      <w:r>
        <w:rPr/>
        <w:t xml:space="preserve">6、有效的主体资格证明：具有独立承担民事责任能力的法人、其他组织或自然人，并出具合法有效的营业执照或事业单位法人证书等国家规定的相关证明，自然人参与的提供其身份证明书； </w:t>
      </w:r>
    </w:p>
    <w:p>
      <w:pPr>
        <w:pStyle w:val="null3"/>
      </w:pPr>
      <w:r>
        <w:rPr/>
        <w:t xml:space="preserve">7、税收缴纳证明：提交响应文件截止时间前6个月内至少一个月的纳税证明或完税证明，纳税证明或完税证明上应有代收机构或税务机关的公章或业务专用章，(依法免税的供应商应提供相应文件证明)； </w:t>
      </w:r>
    </w:p>
    <w:p>
      <w:pPr>
        <w:pStyle w:val="null3"/>
      </w:pPr>
      <w:r>
        <w:rPr/>
        <w:t xml:space="preserve">8、社会保障资金缴纳证明：提供投标截止日前6个月内已缴存的至少一个月的社会保障资金缴存单据或社保机构开具的社会保险参保缴费情况证明，依法不需要缴纳社会保障资金的单位应提供相关证明材料； </w:t>
      </w:r>
    </w:p>
    <w:p>
      <w:pPr>
        <w:pStyle w:val="null3"/>
      </w:pPr>
      <w:r>
        <w:rPr/>
        <w:t xml:space="preserve">9、财务状况报告：提供2022年度经审计的财务报告或提交投标文件截止时间三个月内其基本账户开户银行出具的资信证明（以上两种形式的资料提供任何一种即可）； </w:t>
      </w:r>
    </w:p>
    <w:p>
      <w:pPr>
        <w:pStyle w:val="null3"/>
      </w:pPr>
      <w:r>
        <w:rPr/>
        <w:t>10、无重大违法记录书面声明：参加政府采购活动前3年内，在经营活动中没有重大违法记录（提供书面声明）；</w:t>
      </w:r>
    </w:p>
    <w:p>
      <w:pPr>
        <w:pStyle w:val="null3"/>
      </w:pPr>
      <w:r>
        <w:rPr/>
        <w:t>11、履行能力：提供具有履行本合同所必需的设备和专业技术能力的承诺。（提供承诺书）</w:t>
      </w:r>
    </w:p>
    <w:p>
      <w:pPr>
        <w:pStyle w:val="null3"/>
      </w:pPr>
      <w:r>
        <w:rPr/>
        <w:t>采购包2：</w:t>
      </w:r>
    </w:p>
    <w:p>
      <w:pPr>
        <w:pStyle w:val="null3"/>
      </w:pPr>
      <w:r>
        <w:rPr/>
        <w:t>1、法定代表人授权书或法定代表人身份证明：法定代表人授权书（附法定代表人、被授权人身份证复印件）及被授权人身份证复印件（法定代表人直接参加招标，须提供法定代表人身份证明及身份证复印件）；非法人单位参照执行。</w:t>
      </w:r>
    </w:p>
    <w:p>
      <w:pPr>
        <w:pStyle w:val="null3"/>
      </w:pPr>
      <w:r>
        <w:rPr/>
        <w:t>2、资质要求：供应商须提供二类以上（含二类）汽车维修资质证明材料；</w:t>
      </w:r>
    </w:p>
    <w:p>
      <w:pPr>
        <w:pStyle w:val="null3"/>
      </w:pPr>
      <w:r>
        <w:rPr/>
        <w:t>3、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t>4、关联关系：单位负责人为同一人或者存在直接控股、管理关系的不同投标人，不得参加同一合同项下的政府采购活动；（提供承诺书）</w:t>
      </w:r>
    </w:p>
    <w:p>
      <w:pPr>
        <w:pStyle w:val="null3"/>
      </w:pPr>
      <w:r>
        <w:rPr/>
        <w:t xml:space="preserve">5、其他要求：本项目不接受联合体投标；（提供承诺书） </w:t>
      </w:r>
    </w:p>
    <w:p>
      <w:pPr>
        <w:pStyle w:val="null3"/>
      </w:pPr>
      <w:r>
        <w:rPr/>
        <w:t>6、有效的主体资格证明：具有独立承担民事责任能力的法人、其他组织或自然人，并出具合法有效的营业执照或事业单位法人证书等国家规定的相关证明，自然人参与的提供其身份证明书；</w:t>
      </w:r>
    </w:p>
    <w:p>
      <w:pPr>
        <w:pStyle w:val="null3"/>
      </w:pPr>
      <w:r>
        <w:rPr/>
        <w:t xml:space="preserve">7、税收缴纳证明：提交响应文件截止时间前6个月内至少一个月的纳税证明或完税证明，纳税证明或完税证明上应有代收机构或税务机关的公章或业务专用章，(依法免税的供应商应提供相应文件证明)； </w:t>
      </w:r>
    </w:p>
    <w:p>
      <w:pPr>
        <w:pStyle w:val="null3"/>
      </w:pPr>
      <w:r>
        <w:rPr/>
        <w:t xml:space="preserve">8、社会保障资金缴纳证明：提供投标截止日前6个月内已缴存的至少一个月的社会保障资金缴存单据或社保机构开具的社会保险参保缴费情况证明，依法不需要缴纳社会保障资金的单位应提供相关证明材料； </w:t>
      </w:r>
    </w:p>
    <w:p>
      <w:pPr>
        <w:pStyle w:val="null3"/>
      </w:pPr>
      <w:r>
        <w:rPr/>
        <w:t xml:space="preserve">9、财务状况报告：提供2022年度经审计的财务报告或提交投标文件截止时间三个月内其基本账户开户银行出具的资信证明（以上两种形式的资料提供任何一种即可）； </w:t>
      </w:r>
    </w:p>
    <w:p>
      <w:pPr>
        <w:pStyle w:val="null3"/>
      </w:pPr>
      <w:r>
        <w:rPr/>
        <w:t>10、无重大违法记录书面声明：参加政府采购活动前3年内，在经营活动中没有重大违法记录（提供书面声明）；</w:t>
      </w:r>
    </w:p>
    <w:p>
      <w:pPr>
        <w:pStyle w:val="null3"/>
      </w:pPr>
      <w:r>
        <w:rPr/>
        <w:t>11、履行能力：提供具有履行本合同所必需的设备和专业技术能力的承诺。（提供承诺书）</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西安市公安局高陵分局</w:t>
      </w:r>
    </w:p>
    <w:p>
      <w:pPr>
        <w:pStyle w:val="null3"/>
      </w:pPr>
      <w:r>
        <w:rPr/>
        <w:t xml:space="preserve"> 地址： </w:t>
      </w:r>
      <w:r>
        <w:rPr/>
        <w:t>西安市高陵区鹿苑草市街53号</w:t>
      </w:r>
    </w:p>
    <w:p>
      <w:pPr>
        <w:pStyle w:val="null3"/>
      </w:pPr>
      <w:r>
        <w:rPr/>
        <w:t xml:space="preserve"> 邮编： </w:t>
      </w:r>
      <w:r>
        <w:rPr/>
        <w:t>710200</w:t>
      </w:r>
    </w:p>
    <w:p>
      <w:pPr>
        <w:pStyle w:val="null3"/>
      </w:pPr>
      <w:r>
        <w:rPr/>
        <w:t xml:space="preserve"> 联系人： </w:t>
      </w:r>
      <w:r>
        <w:rPr/>
        <w:t>西安市公安局高陵分局经办</w:t>
      </w:r>
    </w:p>
    <w:p>
      <w:pPr>
        <w:pStyle w:val="null3"/>
      </w:pPr>
      <w:r>
        <w:rPr/>
        <w:t xml:space="preserve"> 联系电话： </w:t>
      </w:r>
      <w:r>
        <w:rPr/>
        <w:t>13709226363</w:t>
      </w:r>
    </w:p>
    <w:p>
      <w:pPr>
        <w:pStyle w:val="null3"/>
        <w:outlineLvl w:val="3"/>
      </w:pPr>
      <w:r>
        <w:rPr>
          <w:b/>
          <w:sz w:val="24"/>
        </w:rPr>
        <w:t>代理机构：</w:t>
      </w:r>
      <w:r>
        <w:rPr>
          <w:b/>
          <w:sz w:val="24"/>
        </w:rPr>
        <w:t>西安市高陵区政府采购中心</w:t>
      </w:r>
    </w:p>
    <w:p>
      <w:pPr>
        <w:pStyle w:val="null3"/>
      </w:pPr>
      <w:r>
        <w:rPr/>
        <w:t xml:space="preserve"> 地址： </w:t>
      </w:r>
      <w:r>
        <w:rPr/>
        <w:t>西安市高陵区鹿苑街道南环西路187号</w:t>
      </w:r>
    </w:p>
    <w:p>
      <w:pPr>
        <w:pStyle w:val="null3"/>
      </w:pPr>
      <w:r>
        <w:rPr/>
        <w:t xml:space="preserve"> 邮编： </w:t>
      </w:r>
      <w:r>
        <w:rPr/>
        <w:t>710200</w:t>
      </w:r>
    </w:p>
    <w:p>
      <w:pPr>
        <w:pStyle w:val="null3"/>
      </w:pPr>
      <w:r>
        <w:rPr/>
        <w:t xml:space="preserve"> 联系人： </w:t>
      </w:r>
      <w:r>
        <w:rPr/>
        <w:t>叶林</w:t>
      </w:r>
    </w:p>
    <w:p>
      <w:pPr>
        <w:pStyle w:val="null3"/>
      </w:pPr>
      <w:r>
        <w:rPr/>
        <w:t xml:space="preserve"> 联系电话： </w:t>
      </w:r>
      <w:r>
        <w:rPr/>
        <w:t>18220598877</w:t>
      </w:r>
    </w:p>
    <w:p>
      <w:pPr>
        <w:pStyle w:val="null3"/>
        <w:outlineLvl w:val="3"/>
      </w:pPr>
      <w:r>
        <w:rPr>
          <w:b/>
          <w:sz w:val="24"/>
        </w:rPr>
        <w:t>采购监督机构：</w:t>
      </w:r>
      <w:r>
        <w:rPr>
          <w:b/>
          <w:sz w:val="24"/>
        </w:rPr>
        <w:t>西安市高陵区采购管理科</w:t>
      </w:r>
    </w:p>
    <w:p>
      <w:pPr>
        <w:pStyle w:val="null3"/>
        <w:ind w:firstLine="480"/>
      </w:pPr>
      <w:r>
        <w:rPr/>
        <w:t>联系人：</w:t>
      </w:r>
      <w:r>
        <w:rPr/>
        <w:t>郑宏卫</w:t>
      </w:r>
    </w:p>
    <w:p>
      <w:pPr>
        <w:pStyle w:val="null3"/>
        <w:ind w:firstLine="480"/>
      </w:pPr>
      <w:r>
        <w:rPr/>
        <w:t>联系电话：</w:t>
      </w:r>
      <w:r>
        <w:rPr/>
        <w:t>86919290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采购包1：300,000.00元</w:t>
            </w:r>
          </w:p>
          <w:p>
            <w:pPr>
              <w:pStyle w:val="null3"/>
            </w:pPr>
            <w:r>
              <w:rPr/>
              <w:t>采购包2：300,000.00元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及（发改办价格〔2011〕534号）规定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西安市公安局高陵分局</w:t>
      </w:r>
      <w:r>
        <w:rPr/>
        <w:t>和</w:t>
      </w:r>
      <w:r>
        <w:rPr/>
        <w:t>西安市高陵区政府采购中心</w:t>
      </w:r>
      <w:r>
        <w:rPr/>
        <w:t>享有。对磋商文件中供应商参加本次政府采购活动应当具备的条件，磋商项目技术、服务、商务及其他要求，评审细则及标准由</w:t>
      </w:r>
      <w:r>
        <w:rPr/>
        <w:t>西安市公安局高陵分局</w:t>
      </w:r>
      <w:r>
        <w:rPr/>
        <w:t>负责解释。除上述磋商文件内容，其他内容由</w:t>
      </w:r>
      <w:r>
        <w:rPr/>
        <w:t>西安市高陵区政府采购中心</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西安市公安局高陵分局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西安市高陵区政府采购中心</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合格</w:t>
      </w:r>
    </w:p>
    <w:p>
      <w:pPr>
        <w:pStyle w:val="null3"/>
      </w:pPr>
      <w:r>
        <w:rPr/>
        <w:t>采购包2：</w:t>
      </w:r>
    </w:p>
    <w:p>
      <w:pPr>
        <w:pStyle w:val="null3"/>
      </w:pPr>
      <w:r>
        <w:rPr/>
        <w:t>合格</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西安市高陵区政府采购中心</w:t>
      </w:r>
      <w:r>
        <w:rPr/>
        <w:t xml:space="preserve"> 负责答复；供应商对除采购需求外的采购文件的询问、质疑由</w:t>
      </w:r>
      <w:r>
        <w:rPr/>
        <w:t>西安市高陵区政府采购中心</w:t>
      </w:r>
      <w:r>
        <w:rPr/>
        <w:t xml:space="preserve"> 负责答复；供应商对采购过程、采购结果的询问、质疑由 </w:t>
      </w:r>
      <w:r>
        <w:rPr/>
        <w:t>西安市高陵区政府采购中心</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联系人：叶林</w:t>
      </w:r>
    </w:p>
    <w:p>
      <w:pPr>
        <w:pStyle w:val="null3"/>
      </w:pPr>
      <w:r>
        <w:rPr/>
        <w:t>联系电话：18220598877</w:t>
      </w:r>
    </w:p>
    <w:p>
      <w:pPr>
        <w:pStyle w:val="null3"/>
      </w:pPr>
      <w:r>
        <w:rPr/>
        <w:t>地址：西安市高陵区鹿苑街道南环西路187号</w:t>
      </w:r>
    </w:p>
    <w:p>
      <w:pPr>
        <w:pStyle w:val="null3"/>
      </w:pPr>
      <w:r>
        <w:rPr/>
        <w:t>邮编：710200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西安市公安局高陵分局公务车辆维修及保养项目，确保车辆的正常保养维修，保障车辆的安全运行。</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西安市公安局高陵分局车辆维修保养服务项目</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西安市公安局高陵分局车辆维修保养服务项目</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标的名称：西安市公安局高陵分局车辆维修保养服务项目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8"/>
              </w:rPr>
              <w:t>1.</w:t>
            </w:r>
            <w:r>
              <w:rPr>
                <w:rFonts w:ascii="宋体" w:hAnsi="宋体" w:cs="宋体" w:eastAsia="宋体"/>
                <w:sz w:val="28"/>
              </w:rPr>
              <w:t>人员、设备、场地均需满足二类以上（含二类）汽车维修资质的相关要求。</w:t>
            </w:r>
          </w:p>
          <w:p>
            <w:pPr>
              <w:pStyle w:val="null3"/>
              <w:jc w:val="both"/>
            </w:pPr>
            <w:r>
              <w:rPr>
                <w:rFonts w:ascii="calibri" w:hAnsi="calibri" w:cs="calibri" w:eastAsia="calibri"/>
                <w:sz w:val="28"/>
              </w:rPr>
              <w:t>2.</w:t>
            </w:r>
            <w:r>
              <w:rPr>
                <w:rFonts w:ascii="宋体" w:hAnsi="宋体" w:cs="宋体" w:eastAsia="宋体"/>
                <w:sz w:val="28"/>
              </w:rPr>
              <w:t>维修服务企业提供</w:t>
            </w:r>
            <w:r>
              <w:rPr>
                <w:rFonts w:ascii="calibri" w:hAnsi="calibri" w:cs="calibri" w:eastAsia="calibri"/>
                <w:sz w:val="28"/>
              </w:rPr>
              <w:t>24</w:t>
            </w:r>
            <w:r>
              <w:rPr>
                <w:rFonts w:ascii="宋体" w:hAnsi="宋体" w:cs="宋体" w:eastAsia="宋体"/>
                <w:sz w:val="28"/>
              </w:rPr>
              <w:t>小时维修服务，节假日随时有人值班维修</w:t>
            </w:r>
            <w:r>
              <w:rPr>
                <w:rFonts w:ascii="宋体" w:hAnsi="宋体" w:cs="宋体" w:eastAsia="宋体"/>
                <w:sz w:val="28"/>
              </w:rPr>
              <w:t>。</w:t>
            </w:r>
          </w:p>
          <w:p>
            <w:pPr>
              <w:pStyle w:val="null3"/>
              <w:jc w:val="both"/>
            </w:pPr>
            <w:r>
              <w:rPr>
                <w:rFonts w:ascii="calibri" w:hAnsi="calibri" w:cs="calibri" w:eastAsia="calibri"/>
                <w:sz w:val="28"/>
              </w:rPr>
              <w:t>3.</w:t>
            </w:r>
            <w:r>
              <w:rPr>
                <w:rFonts w:ascii="宋体" w:hAnsi="宋体" w:cs="宋体" w:eastAsia="宋体"/>
                <w:sz w:val="28"/>
              </w:rPr>
              <w:t>车辆随到随修，按单位的修车审批流程及时上报车辆的故障及需要更换的配件及维修价格，车辆进入维修服务企业厂区内，随时有人接待，</w:t>
            </w:r>
            <w:r>
              <w:rPr>
                <w:rFonts w:ascii="calibri" w:hAnsi="calibri" w:cs="calibri" w:eastAsia="calibri"/>
                <w:sz w:val="28"/>
              </w:rPr>
              <w:t>30</w:t>
            </w:r>
            <w:r>
              <w:rPr>
                <w:rFonts w:ascii="宋体" w:hAnsi="宋体" w:cs="宋体" w:eastAsia="宋体"/>
                <w:sz w:val="28"/>
              </w:rPr>
              <w:t>分钟内安排人员检修，一般故障</w:t>
            </w:r>
            <w:r>
              <w:rPr>
                <w:rFonts w:ascii="calibri" w:hAnsi="calibri" w:cs="calibri" w:eastAsia="calibri"/>
                <w:sz w:val="28"/>
              </w:rPr>
              <w:t>2</w:t>
            </w:r>
            <w:r>
              <w:rPr>
                <w:rFonts w:ascii="宋体" w:hAnsi="宋体" w:cs="宋体" w:eastAsia="宋体"/>
                <w:sz w:val="28"/>
              </w:rPr>
              <w:t>小时内修复。</w:t>
            </w:r>
          </w:p>
          <w:p>
            <w:pPr>
              <w:pStyle w:val="null3"/>
              <w:jc w:val="both"/>
            </w:pPr>
            <w:r>
              <w:rPr>
                <w:rFonts w:ascii="calibri" w:hAnsi="calibri" w:cs="calibri" w:eastAsia="calibri"/>
                <w:sz w:val="28"/>
              </w:rPr>
              <w:t>4.</w:t>
            </w:r>
            <w:r>
              <w:rPr>
                <w:rFonts w:ascii="宋体" w:hAnsi="宋体" w:cs="宋体" w:eastAsia="宋体"/>
                <w:sz w:val="28"/>
              </w:rPr>
              <w:t>保证一般常用易损配件库存充足，随时更换，非易损配件损坏需更换，订货周期不易过长。</w:t>
            </w:r>
          </w:p>
          <w:p>
            <w:pPr>
              <w:pStyle w:val="null3"/>
              <w:jc w:val="both"/>
            </w:pPr>
            <w:r>
              <w:rPr>
                <w:rFonts w:ascii="calibri" w:hAnsi="calibri" w:cs="calibri" w:eastAsia="calibri"/>
                <w:sz w:val="28"/>
              </w:rPr>
              <w:t>5.</w:t>
            </w:r>
            <w:r>
              <w:rPr>
                <w:rFonts w:ascii="宋体" w:hAnsi="宋体" w:cs="宋体" w:eastAsia="宋体"/>
                <w:sz w:val="28"/>
              </w:rPr>
              <w:t>维修质保期按汽修行业标准执行，同一维修项目在质保期内发生返修的，免费快速优质修复。</w:t>
            </w:r>
          </w:p>
          <w:p>
            <w:pPr>
              <w:pStyle w:val="null3"/>
              <w:jc w:val="both"/>
            </w:pPr>
            <w:r>
              <w:rPr>
                <w:rFonts w:ascii="calibri" w:hAnsi="calibri" w:cs="calibri" w:eastAsia="calibri"/>
                <w:sz w:val="28"/>
              </w:rPr>
              <w:t>6.</w:t>
            </w:r>
            <w:r>
              <w:rPr>
                <w:rFonts w:ascii="宋体" w:hAnsi="宋体" w:cs="宋体" w:eastAsia="宋体"/>
                <w:sz w:val="28"/>
              </w:rPr>
              <w:t>保证使用的车辆配件符合国家质量标准的车辆制造厂配件，不得以次充好，保证车辆的维修质量。</w:t>
            </w:r>
          </w:p>
          <w:p>
            <w:pPr>
              <w:pStyle w:val="null3"/>
              <w:jc w:val="both"/>
            </w:pPr>
            <w:r>
              <w:rPr>
                <w:rFonts w:ascii="calibri" w:hAnsi="calibri" w:cs="calibri" w:eastAsia="calibri"/>
                <w:sz w:val="28"/>
              </w:rPr>
              <w:t>7.</w:t>
            </w:r>
            <w:r>
              <w:rPr>
                <w:rFonts w:ascii="宋体" w:hAnsi="宋体" w:cs="宋体" w:eastAsia="宋体"/>
                <w:sz w:val="28"/>
              </w:rPr>
              <w:t>分车辆建立包括维修内容，维修时间，零配件更换，里程数，保养等内容的单车维修记录档案，用户可随时查看维修记录，并按月统计车辆的修理费用。</w:t>
            </w:r>
          </w:p>
          <w:p>
            <w:pPr>
              <w:pStyle w:val="null3"/>
              <w:jc w:val="both"/>
            </w:pPr>
            <w:r>
              <w:rPr>
                <w:rFonts w:ascii="calibri" w:hAnsi="calibri" w:cs="calibri" w:eastAsia="calibri"/>
                <w:sz w:val="28"/>
              </w:rPr>
              <w:t>8.</w:t>
            </w:r>
            <w:r>
              <w:rPr>
                <w:rFonts w:ascii="宋体" w:hAnsi="宋体" w:cs="宋体" w:eastAsia="宋体"/>
                <w:sz w:val="28"/>
              </w:rPr>
              <w:t>为采购人提供</w:t>
            </w:r>
            <w:r>
              <w:rPr>
                <w:rFonts w:ascii="calibri" w:hAnsi="calibri" w:cs="calibri" w:eastAsia="calibri"/>
                <w:sz w:val="28"/>
              </w:rPr>
              <w:t>24</w:t>
            </w:r>
            <w:r>
              <w:rPr>
                <w:rFonts w:ascii="宋体" w:hAnsi="宋体" w:cs="宋体" w:eastAsia="宋体"/>
                <w:sz w:val="28"/>
              </w:rPr>
              <w:t>小时在行政区域内免费车辆道路救援服务及车辆送修人员免费送回服务，在接到采购人救援电话后，承诺</w:t>
            </w:r>
            <w:r>
              <w:rPr>
                <w:rFonts w:ascii="calibri" w:hAnsi="calibri" w:cs="calibri" w:eastAsia="calibri"/>
                <w:sz w:val="28"/>
              </w:rPr>
              <w:t>30</w:t>
            </w:r>
            <w:r>
              <w:rPr>
                <w:rFonts w:ascii="宋体" w:hAnsi="宋体" w:cs="宋体" w:eastAsia="宋体"/>
                <w:sz w:val="28"/>
              </w:rPr>
              <w:t>分钟之内到达现场，在行政区域外的救援视情况协商给予救援费用。</w:t>
            </w:r>
          </w:p>
        </w:tc>
      </w:tr>
      <w:tr>
        <w:tc>
          <w:tcPr>
            <w:tcW w:type="dxa" w:w="2769"/>
          </w:tcPr>
          <w:p/>
        </w:tc>
        <w:tc>
          <w:tcPr>
            <w:tcW w:type="dxa" w:w="2769"/>
          </w:tcPr>
          <w:p>
            <w:pPr>
              <w:pStyle w:val="null3"/>
            </w:pPr>
            <w:r>
              <w:rPr/>
              <w:t>2</w:t>
            </w:r>
          </w:p>
        </w:tc>
        <w:tc>
          <w:tcPr>
            <w:tcW w:type="dxa" w:w="2769"/>
          </w:tcPr>
          <w:tbl>
            <w:tblPr>
              <w:tblBorders>
                <w:top w:val="single"/>
                <w:left w:val="single"/>
                <w:bottom w:val="single"/>
                <w:right w:val="single"/>
                <w:insideH w:val="single"/>
                <w:insideV w:val="single"/>
              </w:tblBorders>
            </w:tblPr>
            <w:tblGrid>
              <w:gridCol w:w="364"/>
              <w:gridCol w:w="364"/>
              <w:gridCol w:w="364"/>
              <w:gridCol w:w="364"/>
              <w:gridCol w:w="364"/>
              <w:gridCol w:w="364"/>
              <w:gridCol w:w="364"/>
            </w:tblGrid>
            <w:tr>
              <w:tc>
                <w:tcPr>
                  <w:tcW w:type="dxa" w:w="2548"/>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宋体" w:hAnsi="宋体" w:cs="宋体" w:eastAsia="宋体"/>
                      <w:color w:val="000000"/>
                      <w:sz w:val="48"/>
                    </w:rPr>
                    <w:t>比亚迪G6分项报价表</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配件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单位</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数量</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价格（元）</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工时费（元）</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合计（元）</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备注</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机滤</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空滤</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汽滤</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轮胎</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前减震器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后减震器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发电机皮带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前刹车盘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305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后刹车盘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前轮轴承</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后轮轴承</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前刹车片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后刹车片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下支臂</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四轮定位</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大灯灯泡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上水管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下水管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火花塞</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变速箱油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手动</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离合器压盘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离合器摩擦片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离合器分离轴承</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方向拉杆</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拉杆球头</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防尘套</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电喇叭</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68</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168</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密封胶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水箱</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6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空调压缩机</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进气门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排气门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气门油封</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气门导管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液压挺赶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活塞</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活塞环</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小瓦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止推瓦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连杆</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时规套装</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套</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大修包</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机油泵</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水箱</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冷凝器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295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295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电子扇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冷媒</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雨刷</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发动机大修</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发动机中修</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拆装变速箱</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tc>
        <w:tc>
          <w:tcPr>
            <w:tcW w:type="dxa" w:w="2769"/>
          </w:tcPr>
          <w:p>
            <w:pPr>
              <w:pStyle w:val="null3"/>
            </w:pPr>
            <w:r>
              <w:rPr/>
              <w:t>3</w:t>
            </w:r>
          </w:p>
        </w:tc>
        <w:tc>
          <w:tcPr>
            <w:tcW w:type="dxa" w:w="2769"/>
          </w:tcPr>
          <w:tbl>
            <w:tblPr>
              <w:tblBorders>
                <w:top w:val="single"/>
                <w:left w:val="single"/>
                <w:bottom w:val="single"/>
                <w:right w:val="single"/>
                <w:insideH w:val="single"/>
                <w:insideV w:val="single"/>
              </w:tblBorders>
            </w:tblPr>
            <w:tblGrid>
              <w:gridCol w:w="364"/>
              <w:gridCol w:w="364"/>
              <w:gridCol w:w="364"/>
              <w:gridCol w:w="364"/>
              <w:gridCol w:w="364"/>
              <w:gridCol w:w="364"/>
              <w:gridCol w:w="364"/>
            </w:tblGrid>
            <w:tr>
              <w:tc>
                <w:tcPr>
                  <w:tcW w:type="dxa" w:w="2548"/>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宋体" w:hAnsi="宋体" w:cs="宋体" w:eastAsia="宋体"/>
                      <w:color w:val="000000"/>
                      <w:sz w:val="48"/>
                    </w:rPr>
                    <w:t>比亚迪宋分项报价表</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配件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单位</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数量</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价格（元）</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工时费（元）</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合计（元）</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备注</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机滤</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空滤</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汽滤</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轮胎</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前减震器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后减震器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发电机皮带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前刹车盘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后刹车盘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前轮轴承</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后轮轴承</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前刹车片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后刹车片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下支臂</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四轮定位</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大灯灯泡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上水管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下水管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火花塞</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变速箱油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自动</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废气管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气门室垫</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喷油嘴密封圈</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方向拉杆</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拉杆球头</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防尘套</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电喇叭</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68</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168</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启停</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密封胶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水箱</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6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汽油高压泵活塞</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进气门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排气门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气门油封</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气门导管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液压挺赶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活塞</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活塞环</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小瓦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止推瓦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连杆</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时规套装</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套</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大修包</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机油泵</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发动机胶垫</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变速箱胶垫</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油压电磁阀</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冷媒</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雨刷</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发动机大修</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发动机中修</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拆装变速箱</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tc>
        <w:tc>
          <w:tcPr>
            <w:tcW w:type="dxa" w:w="2769"/>
          </w:tcPr>
          <w:p>
            <w:pPr>
              <w:pStyle w:val="null3"/>
            </w:pPr>
            <w:r>
              <w:rPr/>
              <w:t>4</w:t>
            </w:r>
          </w:p>
        </w:tc>
        <w:tc>
          <w:tcPr>
            <w:tcW w:type="dxa" w:w="2769"/>
          </w:tcPr>
          <w:tbl>
            <w:tblPr>
              <w:tblBorders>
                <w:top w:val="single"/>
                <w:left w:val="single"/>
                <w:bottom w:val="single"/>
                <w:right w:val="single"/>
                <w:insideH w:val="single"/>
                <w:insideV w:val="single"/>
              </w:tblBorders>
            </w:tblPr>
            <w:tblGrid>
              <w:gridCol w:w="641"/>
              <w:gridCol w:w="318"/>
              <w:gridCol w:w="318"/>
              <w:gridCol w:w="318"/>
              <w:gridCol w:w="318"/>
              <w:gridCol w:w="318"/>
              <w:gridCol w:w="318"/>
            </w:tblGrid>
            <w:tr>
              <w:tc>
                <w:tcPr>
                  <w:tcW w:type="dxa" w:w="2549"/>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宋体" w:hAnsi="宋体" w:cs="宋体" w:eastAsia="宋体"/>
                      <w:color w:val="000000"/>
                      <w:sz w:val="48"/>
                    </w:rPr>
                    <w:t>传祺轿车分项报价表</w:t>
                  </w: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配件</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单位</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数量</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价格（元）</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工时费（元）</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合计（元）</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备注</w:t>
                  </w: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机油</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升</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机滤</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空滤</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汽滤</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轮胎</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490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540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电子油门踏板</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280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380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油门踏板匹配</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发电机皮带</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空调滤芯</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清洗节气门</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清洗油嘴</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喷油嘴密封圈</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冷媒</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后刹车片</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280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430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电瓶</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610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610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启停</w:t>
                  </w: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四轮定位</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大灯灯泡</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前轮刹车片</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410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下水管</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根</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火花塞</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变速箱油</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升</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自动</w:t>
                  </w: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前刹车盘</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290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440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车铣缸盖平面</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车铣缸体平面</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方向拉杆</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拉杆球头</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185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防尘套</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电喇叭</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68</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168</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时规壳</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密封胶</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水泵</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380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1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580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节温器盖</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后刹车盘</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270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前减震器</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480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后减震器</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330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430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发电机皮带</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180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前轮轴承</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270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后轮轴承</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280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活塞环</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上水管</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冷媒</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桶</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止推瓦</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曲轴前油封</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时规壳垫</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冷凝器</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620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泄压阀</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膨胀阀</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270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空调高压管</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210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油压传感器</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玻璃水</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瓶</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雨刷</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发动机大修</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发动机中修</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拆装变速箱</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tc>
        <w:tc>
          <w:tcPr>
            <w:tcW w:type="dxa" w:w="2769"/>
          </w:tcPr>
          <w:p>
            <w:pPr>
              <w:pStyle w:val="null3"/>
            </w:pPr>
            <w:r>
              <w:rPr/>
              <w:t>5</w:t>
            </w:r>
          </w:p>
        </w:tc>
        <w:tc>
          <w:tcPr>
            <w:tcW w:type="dxa" w:w="2769"/>
          </w:tcPr>
          <w:tbl>
            <w:tblPr>
              <w:tblBorders>
                <w:top w:val="single"/>
                <w:left w:val="single"/>
                <w:bottom w:val="single"/>
                <w:right w:val="single"/>
                <w:insideH w:val="single"/>
                <w:insideV w:val="single"/>
              </w:tblBorders>
            </w:tblPr>
            <w:tblGrid>
              <w:gridCol w:w="595"/>
              <w:gridCol w:w="326"/>
              <w:gridCol w:w="326"/>
              <w:gridCol w:w="326"/>
              <w:gridCol w:w="326"/>
              <w:gridCol w:w="326"/>
              <w:gridCol w:w="326"/>
            </w:tblGrid>
            <w:tr>
              <w:tc>
                <w:tcPr>
                  <w:tcW w:type="dxa" w:w="2551"/>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宋体" w:hAnsi="宋体" w:cs="宋体" w:eastAsia="宋体"/>
                      <w:color w:val="000000"/>
                      <w:sz w:val="48"/>
                    </w:rPr>
                    <w:t>吉利轿车分项报价表</w:t>
                  </w: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配件</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单位</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数量</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价格（元）</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工时费（元）</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合计（元）</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备注</w:t>
                  </w: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机油</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升</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350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机滤</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空滤</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汽滤</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轮胎</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下支臂</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330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油门踏板匹配</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发电机皮带</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空调滤芯</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清洗节气门</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清洗油嘴</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喷油嘴密封圈</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冷媒</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后刹车片</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270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电瓶</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启停</w:t>
                  </w: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四轮定位</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大灯灯泡</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前轮刹车片</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下水管</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根</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火花塞</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110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变速箱油</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桶</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手动</w:t>
                  </w: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前刹车盘</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370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470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车铣缸盖平面</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车铣缸体平面</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方向拉杆</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拉杆球头</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185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防尘套</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电喇叭</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68</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168</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时规壳</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密封胶</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下水管</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2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节温器盖</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215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后刹车盘</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270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前减震器</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370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470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后减震器</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发电机皮带</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前轮轴承</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210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后轮轴承</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活塞环</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540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540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上水管</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冷媒</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桶</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止推瓦</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中冷器传感器</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时规壳垫</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冷凝器</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泄压阀</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膨胀阀</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240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空调高压管</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油压传感器</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玻璃水</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瓶</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雨刷</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发动机大修</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发动机中修</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拆装变速箱</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tc>
        <w:tc>
          <w:tcPr>
            <w:tcW w:type="dxa" w:w="2769"/>
          </w:tcPr>
          <w:p>
            <w:pPr>
              <w:pStyle w:val="null3"/>
            </w:pPr>
            <w:r>
              <w:rPr/>
              <w:t>6</w:t>
            </w:r>
          </w:p>
        </w:tc>
        <w:tc>
          <w:tcPr>
            <w:tcW w:type="dxa" w:w="2769"/>
          </w:tcPr>
          <w:tbl>
            <w:tblPr>
              <w:tblBorders>
                <w:top w:val="single"/>
                <w:left w:val="single"/>
                <w:bottom w:val="single"/>
                <w:right w:val="single"/>
                <w:insideH w:val="single"/>
                <w:insideV w:val="single"/>
              </w:tblBorders>
            </w:tblPr>
            <w:tblGrid>
              <w:gridCol w:w="598"/>
              <w:gridCol w:w="325"/>
              <w:gridCol w:w="325"/>
              <w:gridCol w:w="325"/>
              <w:gridCol w:w="325"/>
              <w:gridCol w:w="325"/>
              <w:gridCol w:w="325"/>
            </w:tblGrid>
            <w:tr>
              <w:tc>
                <w:tcPr>
                  <w:tcW w:type="dxa" w:w="2548"/>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宋体" w:hAnsi="宋体" w:cs="宋体" w:eastAsia="宋体"/>
                      <w:color w:val="000000"/>
                      <w:sz w:val="48"/>
                    </w:rPr>
                    <w:t>江铃皮卡分项报价表</w:t>
                  </w: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配件</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单位</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数量</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价格（元）</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工时费（元）</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合计（元）</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备注</w:t>
                  </w: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机油</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升</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480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530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机滤</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空滤</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汽滤</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轮胎</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690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690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电子油门踏板</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330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410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油门踏板匹配</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发电机皮带</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240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空调滤芯</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清洗节气门</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清洗油嘴</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喷油嘴密封圈</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冷媒</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后刹车片</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290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440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电瓶</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610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610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启停</w:t>
                  </w: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四轮定位</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大灯灯泡</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前轮刹车片</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280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430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下水管</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根</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火花塞</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变速箱油</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升</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自动</w:t>
                  </w: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缸床垫</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车铣缸盖平面</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车铣缸体平面</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方向拉杆</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225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拉杆球头</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180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防尘套</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电喇叭</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68</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168</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时规壳</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密封胶</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水泵</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370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2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570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节温器盖</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进气电磁阀</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330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330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排气电磁阀</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330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330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气门油封</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240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240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气门导管</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液压挺赶</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680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680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曲轴轮</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370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370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活塞环</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380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380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上水管</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110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110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暖风水管</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260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260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止推瓦</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曲轴前油封</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时规壳垫</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冷凝器</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595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泄压阀</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膨胀阀</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空调高压管</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240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油压传感器</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冷媒</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瓶</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雨刷</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发动机大修</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发动机中修</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拆装变速箱</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tc>
        <w:tc>
          <w:tcPr>
            <w:tcW w:type="dxa" w:w="2769"/>
          </w:tcPr>
          <w:p>
            <w:pPr>
              <w:pStyle w:val="null3"/>
            </w:pPr>
            <w:r>
              <w:rPr/>
              <w:t>7</w:t>
            </w:r>
          </w:p>
        </w:tc>
        <w:tc>
          <w:tcPr>
            <w:tcW w:type="dxa" w:w="2769"/>
          </w:tcPr>
          <w:tbl>
            <w:tblPr>
              <w:tblBorders>
                <w:top w:val="single"/>
                <w:left w:val="single"/>
                <w:bottom w:val="single"/>
                <w:right w:val="single"/>
                <w:insideH w:val="single"/>
                <w:insideV w:val="single"/>
              </w:tblBorders>
            </w:tblPr>
            <w:tblGrid>
              <w:gridCol w:w="364"/>
              <w:gridCol w:w="364"/>
              <w:gridCol w:w="364"/>
              <w:gridCol w:w="364"/>
              <w:gridCol w:w="364"/>
              <w:gridCol w:w="364"/>
              <w:gridCol w:w="364"/>
            </w:tblGrid>
            <w:tr>
              <w:tc>
                <w:tcPr>
                  <w:tcW w:type="dxa" w:w="2548"/>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宋体" w:hAnsi="宋体" w:cs="宋体" w:eastAsia="宋体"/>
                      <w:color w:val="000000"/>
                      <w:sz w:val="48"/>
                    </w:rPr>
                    <w:t xml:space="preserve">  五菱宏光分项报价表</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配件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单位</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数量</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价格（元）</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工时费（元）</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合计（元）</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备注</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机滤</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空滤</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汽滤</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轮胎</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前减震器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后减震器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305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发电机皮带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前刹车盘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后刹车盘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前轮轴承</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后轮轴承</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前刹车片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275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375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后刹车片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下支臂</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四轮定位</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大灯灯泡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上水管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下水管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火花塞</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变速箱油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手动</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离合器压盘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离合器摩擦片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离合器分离轴承</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方向拉杆</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拉杆球头</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防尘套</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电喇叭</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68</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148</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密封胶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水箱</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6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曲轴</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进气门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排气门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气门油封</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气门导管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液压挺赶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活塞</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活塞环</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小瓦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止推瓦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连杆</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时规套装</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套</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大修包</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机油泵</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水箱</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冷凝器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电子扇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冷媒</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雨刷</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发动机大修</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发动机中修</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拆装变速箱</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tc>
        <w:tc>
          <w:tcPr>
            <w:tcW w:type="dxa" w:w="2769"/>
          </w:tcPr>
          <w:p>
            <w:pPr>
              <w:pStyle w:val="null3"/>
            </w:pPr>
            <w:r>
              <w:rPr/>
              <w:t>8</w:t>
            </w:r>
          </w:p>
        </w:tc>
        <w:tc>
          <w:tcPr>
            <w:tcW w:type="dxa" w:w="2769"/>
          </w:tcPr>
          <w:tbl>
            <w:tblPr>
              <w:tblBorders>
                <w:top w:val="single"/>
                <w:left w:val="single"/>
                <w:bottom w:val="single"/>
                <w:right w:val="single"/>
                <w:insideH w:val="single"/>
                <w:insideV w:val="single"/>
              </w:tblBorders>
            </w:tblPr>
            <w:tblGrid>
              <w:gridCol w:w="364"/>
              <w:gridCol w:w="364"/>
              <w:gridCol w:w="364"/>
              <w:gridCol w:w="364"/>
              <w:gridCol w:w="364"/>
              <w:gridCol w:w="364"/>
              <w:gridCol w:w="364"/>
            </w:tblGrid>
            <w:tr>
              <w:tc>
                <w:tcPr>
                  <w:tcW w:type="dxa" w:w="2548"/>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宋体" w:hAnsi="宋体" w:cs="宋体" w:eastAsia="宋体"/>
                      <w:color w:val="000000"/>
                      <w:sz w:val="48"/>
                    </w:rPr>
                    <w:t>现代ix35分项报价表</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配件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单位</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数量</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价格（元）</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工时费（元）</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合计（元）</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备注</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机滤</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空滤</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汽滤</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轮胎</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前减震器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后减震器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发电机皮带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前刹车盘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后刹车盘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前轮轴承</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后轮轴承</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前刹车片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285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435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后刹车片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下支臂</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四轮定位</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大灯灯泡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上水管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下水管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火花塞</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变速箱油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自动</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进气电磁阀</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排气电磁阀</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防冻液</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4升</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方向拉杆</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拉杆球头</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防尘套</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电喇叭</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68</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168</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启停</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密封胶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水泵</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6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曲轴</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1780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1780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进气可变正时轮</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排气可变正时轮</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气门油封</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气门导管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液压挺赶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活塞</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活塞环</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小瓦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止推瓦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连杆</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时规套装</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套</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大修包</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机油泵</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发动机胶垫</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变速箱胶垫</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油压传感器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冷媒</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雨刷</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发动机大修</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发动机中修</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拆装变速箱</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标的名称：西安市公安局高陵分局车辆维修保养服务项目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8"/>
              </w:rPr>
              <w:t>1.</w:t>
            </w:r>
            <w:r>
              <w:rPr>
                <w:rFonts w:ascii="宋体" w:hAnsi="宋体" w:cs="宋体" w:eastAsia="宋体"/>
                <w:sz w:val="28"/>
              </w:rPr>
              <w:t>人员、设备、场地均需满足二类以上（含二类）汽车维修资质的相关要求。</w:t>
            </w:r>
          </w:p>
          <w:p>
            <w:pPr>
              <w:pStyle w:val="null3"/>
              <w:jc w:val="both"/>
            </w:pPr>
            <w:r>
              <w:rPr>
                <w:rFonts w:ascii="calibri" w:hAnsi="calibri" w:cs="calibri" w:eastAsia="calibri"/>
                <w:sz w:val="28"/>
              </w:rPr>
              <w:t>2.</w:t>
            </w:r>
            <w:r>
              <w:rPr>
                <w:rFonts w:ascii="宋体" w:hAnsi="宋体" w:cs="宋体" w:eastAsia="宋体"/>
                <w:sz w:val="28"/>
              </w:rPr>
              <w:t>维修服务企业提供</w:t>
            </w:r>
            <w:r>
              <w:rPr>
                <w:rFonts w:ascii="calibri" w:hAnsi="calibri" w:cs="calibri" w:eastAsia="calibri"/>
                <w:sz w:val="28"/>
              </w:rPr>
              <w:t>24</w:t>
            </w:r>
            <w:r>
              <w:rPr>
                <w:rFonts w:ascii="宋体" w:hAnsi="宋体" w:cs="宋体" w:eastAsia="宋体"/>
                <w:sz w:val="28"/>
              </w:rPr>
              <w:t>小时维修服务，节假日随时有人值班维修</w:t>
            </w:r>
            <w:r>
              <w:rPr>
                <w:rFonts w:ascii="宋体" w:hAnsi="宋体" w:cs="宋体" w:eastAsia="宋体"/>
                <w:sz w:val="28"/>
              </w:rPr>
              <w:t>。</w:t>
            </w:r>
          </w:p>
          <w:p>
            <w:pPr>
              <w:pStyle w:val="null3"/>
              <w:jc w:val="both"/>
            </w:pPr>
            <w:r>
              <w:rPr>
                <w:rFonts w:ascii="calibri" w:hAnsi="calibri" w:cs="calibri" w:eastAsia="calibri"/>
                <w:sz w:val="28"/>
              </w:rPr>
              <w:t>3.</w:t>
            </w:r>
            <w:r>
              <w:rPr>
                <w:rFonts w:ascii="宋体" w:hAnsi="宋体" w:cs="宋体" w:eastAsia="宋体"/>
                <w:sz w:val="28"/>
              </w:rPr>
              <w:t>车辆随到随修，按单位的修车审批流程及时上报车辆的故障及需要更换的配件及维修价格，车辆进入维修服务企业厂区内，随时有人接待，</w:t>
            </w:r>
            <w:r>
              <w:rPr>
                <w:rFonts w:ascii="calibri" w:hAnsi="calibri" w:cs="calibri" w:eastAsia="calibri"/>
                <w:sz w:val="28"/>
              </w:rPr>
              <w:t>30</w:t>
            </w:r>
            <w:r>
              <w:rPr>
                <w:rFonts w:ascii="宋体" w:hAnsi="宋体" w:cs="宋体" w:eastAsia="宋体"/>
                <w:sz w:val="28"/>
              </w:rPr>
              <w:t>分钟内安排人员检修，一般故障</w:t>
            </w:r>
            <w:r>
              <w:rPr>
                <w:rFonts w:ascii="calibri" w:hAnsi="calibri" w:cs="calibri" w:eastAsia="calibri"/>
                <w:sz w:val="28"/>
              </w:rPr>
              <w:t>2</w:t>
            </w:r>
            <w:r>
              <w:rPr>
                <w:rFonts w:ascii="宋体" w:hAnsi="宋体" w:cs="宋体" w:eastAsia="宋体"/>
                <w:sz w:val="28"/>
              </w:rPr>
              <w:t>小时内修复。</w:t>
            </w:r>
          </w:p>
          <w:p>
            <w:pPr>
              <w:pStyle w:val="null3"/>
              <w:jc w:val="both"/>
            </w:pPr>
            <w:r>
              <w:rPr>
                <w:rFonts w:ascii="calibri" w:hAnsi="calibri" w:cs="calibri" w:eastAsia="calibri"/>
                <w:sz w:val="28"/>
              </w:rPr>
              <w:t>4.</w:t>
            </w:r>
            <w:r>
              <w:rPr>
                <w:rFonts w:ascii="宋体" w:hAnsi="宋体" w:cs="宋体" w:eastAsia="宋体"/>
                <w:sz w:val="28"/>
              </w:rPr>
              <w:t>保证一般常用易损配件库存充足，随时更换，非易损配件损坏需更换，订货周期不易过长。</w:t>
            </w:r>
          </w:p>
          <w:p>
            <w:pPr>
              <w:pStyle w:val="null3"/>
              <w:jc w:val="both"/>
            </w:pPr>
            <w:r>
              <w:rPr>
                <w:rFonts w:ascii="calibri" w:hAnsi="calibri" w:cs="calibri" w:eastAsia="calibri"/>
                <w:sz w:val="28"/>
              </w:rPr>
              <w:t>5.</w:t>
            </w:r>
            <w:r>
              <w:rPr>
                <w:rFonts w:ascii="宋体" w:hAnsi="宋体" w:cs="宋体" w:eastAsia="宋体"/>
                <w:sz w:val="28"/>
              </w:rPr>
              <w:t>维修质保期按汽修行业标准执行，同一维修项目在质保期内发生返修的，免费快速优质修复。</w:t>
            </w:r>
          </w:p>
          <w:p>
            <w:pPr>
              <w:pStyle w:val="null3"/>
              <w:jc w:val="both"/>
            </w:pPr>
            <w:r>
              <w:rPr>
                <w:rFonts w:ascii="calibri" w:hAnsi="calibri" w:cs="calibri" w:eastAsia="calibri"/>
                <w:sz w:val="28"/>
              </w:rPr>
              <w:t>6.</w:t>
            </w:r>
            <w:r>
              <w:rPr>
                <w:rFonts w:ascii="宋体" w:hAnsi="宋体" w:cs="宋体" w:eastAsia="宋体"/>
                <w:sz w:val="28"/>
              </w:rPr>
              <w:t>保证使用的车辆配件符合国家质量标准的车辆制造厂配件，不得以次充好，保证车辆的维修质量。</w:t>
            </w:r>
          </w:p>
          <w:p>
            <w:pPr>
              <w:pStyle w:val="null3"/>
              <w:jc w:val="both"/>
            </w:pPr>
            <w:r>
              <w:rPr>
                <w:rFonts w:ascii="calibri" w:hAnsi="calibri" w:cs="calibri" w:eastAsia="calibri"/>
                <w:sz w:val="28"/>
              </w:rPr>
              <w:t>7.</w:t>
            </w:r>
            <w:r>
              <w:rPr>
                <w:rFonts w:ascii="宋体" w:hAnsi="宋体" w:cs="宋体" w:eastAsia="宋体"/>
                <w:sz w:val="28"/>
              </w:rPr>
              <w:t>分车辆建立包括维修内容，维修时间，零配件更换，里程数，保养等内容的单车维修记录档案，用户可随时查看维修记录，并按月统计车辆的修理费用。</w:t>
            </w:r>
          </w:p>
          <w:p>
            <w:pPr>
              <w:pStyle w:val="null3"/>
              <w:jc w:val="both"/>
            </w:pPr>
            <w:r>
              <w:rPr>
                <w:rFonts w:ascii="calibri" w:hAnsi="calibri" w:cs="calibri" w:eastAsia="calibri"/>
                <w:sz w:val="28"/>
              </w:rPr>
              <w:t>8.</w:t>
            </w:r>
            <w:r>
              <w:rPr>
                <w:rFonts w:ascii="宋体" w:hAnsi="宋体" w:cs="宋体" w:eastAsia="宋体"/>
                <w:sz w:val="28"/>
              </w:rPr>
              <w:t>为采购人提供</w:t>
            </w:r>
            <w:r>
              <w:rPr>
                <w:rFonts w:ascii="calibri" w:hAnsi="calibri" w:cs="calibri" w:eastAsia="calibri"/>
                <w:sz w:val="28"/>
              </w:rPr>
              <w:t>24</w:t>
            </w:r>
            <w:r>
              <w:rPr>
                <w:rFonts w:ascii="宋体" w:hAnsi="宋体" w:cs="宋体" w:eastAsia="宋体"/>
                <w:sz w:val="28"/>
              </w:rPr>
              <w:t>小时在行政区域内免费车辆道路救援服务及车辆送修人员免费送回服务，在接到采购人救援电话后，承诺</w:t>
            </w:r>
            <w:r>
              <w:rPr>
                <w:rFonts w:ascii="calibri" w:hAnsi="calibri" w:cs="calibri" w:eastAsia="calibri"/>
                <w:sz w:val="28"/>
              </w:rPr>
              <w:t>30</w:t>
            </w:r>
            <w:r>
              <w:rPr>
                <w:rFonts w:ascii="宋体" w:hAnsi="宋体" w:cs="宋体" w:eastAsia="宋体"/>
                <w:sz w:val="28"/>
              </w:rPr>
              <w:t>分钟之内到达现场，在行政区域外的救援视情况协商给予救援费用。</w:t>
            </w:r>
          </w:p>
        </w:tc>
      </w:tr>
      <w:tr>
        <w:tc>
          <w:tcPr>
            <w:tcW w:type="dxa" w:w="2769"/>
          </w:tcPr>
          <w:p/>
        </w:tc>
        <w:tc>
          <w:tcPr>
            <w:tcW w:type="dxa" w:w="2769"/>
          </w:tcPr>
          <w:p>
            <w:pPr>
              <w:pStyle w:val="null3"/>
            </w:pPr>
            <w:r>
              <w:rPr/>
              <w:t>2</w:t>
            </w:r>
          </w:p>
        </w:tc>
        <w:tc>
          <w:tcPr>
            <w:tcW w:type="dxa" w:w="2769"/>
          </w:tcPr>
          <w:tbl>
            <w:tblPr>
              <w:tblBorders>
                <w:top w:val="single"/>
                <w:left w:val="single"/>
                <w:bottom w:val="single"/>
                <w:right w:val="single"/>
                <w:insideH w:val="single"/>
                <w:insideV w:val="single"/>
              </w:tblBorders>
            </w:tblPr>
            <w:tblGrid>
              <w:gridCol w:w="364"/>
              <w:gridCol w:w="364"/>
              <w:gridCol w:w="364"/>
              <w:gridCol w:w="364"/>
              <w:gridCol w:w="364"/>
              <w:gridCol w:w="364"/>
              <w:gridCol w:w="364"/>
            </w:tblGrid>
            <w:tr>
              <w:tc>
                <w:tcPr>
                  <w:tcW w:type="dxa" w:w="2548"/>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宋体" w:hAnsi="宋体" w:cs="宋体" w:eastAsia="宋体"/>
                      <w:color w:val="000000"/>
                      <w:sz w:val="48"/>
                    </w:rPr>
                    <w:t>比亚迪G6分项报价表</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配件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单位</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数量</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价格（元）</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工时费（元）</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合计（元）</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备注</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机滤</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空滤</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汽滤</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轮胎</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前减震器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后减震器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发电机皮带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前刹车盘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305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后刹车盘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前轮轴承</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后轮轴承</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前刹车片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后刹车片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下支臂</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四轮定位</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大灯灯泡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上水管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下水管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火花塞</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变速箱油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手动</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离合器压盘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离合器摩擦片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离合器分离轴承</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方向拉杆</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拉杆球头</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防尘套</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电喇叭</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68</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168</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密封胶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水箱</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6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空调压缩机</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进气门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排气门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气门油封</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气门导管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液压挺赶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活塞</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活塞环</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小瓦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止推瓦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连杆</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时规套装</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套</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大修包</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机油泵</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水箱</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冷凝器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295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295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电子扇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冷媒</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雨刷</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发动机大修</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发动机中修</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拆装变速箱</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tc>
        <w:tc>
          <w:tcPr>
            <w:tcW w:type="dxa" w:w="2769"/>
          </w:tcPr>
          <w:p>
            <w:pPr>
              <w:pStyle w:val="null3"/>
            </w:pPr>
            <w:r>
              <w:rPr/>
              <w:t>3</w:t>
            </w:r>
          </w:p>
        </w:tc>
        <w:tc>
          <w:tcPr>
            <w:tcW w:type="dxa" w:w="2769"/>
          </w:tcPr>
          <w:tbl>
            <w:tblPr>
              <w:tblBorders>
                <w:top w:val="single"/>
                <w:left w:val="single"/>
                <w:bottom w:val="single"/>
                <w:right w:val="single"/>
                <w:insideH w:val="single"/>
                <w:insideV w:val="single"/>
              </w:tblBorders>
            </w:tblPr>
            <w:tblGrid>
              <w:gridCol w:w="364"/>
              <w:gridCol w:w="364"/>
              <w:gridCol w:w="364"/>
              <w:gridCol w:w="364"/>
              <w:gridCol w:w="364"/>
              <w:gridCol w:w="364"/>
              <w:gridCol w:w="364"/>
            </w:tblGrid>
            <w:tr>
              <w:tc>
                <w:tcPr>
                  <w:tcW w:type="dxa" w:w="2548"/>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宋体" w:hAnsi="宋体" w:cs="宋体" w:eastAsia="宋体"/>
                      <w:color w:val="000000"/>
                      <w:sz w:val="48"/>
                    </w:rPr>
                    <w:t>比亚迪宋分项报价表</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配件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单位</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数量</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价格（元）</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工时费（元）</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合计（元）</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备注</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机滤</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空滤</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汽滤</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轮胎</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前减震器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后减震器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发电机皮带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前刹车盘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后刹车盘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前轮轴承</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后轮轴承</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前刹车片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后刹车片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下支臂</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四轮定位</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大灯灯泡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上水管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下水管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火花塞</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变速箱油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自动</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废气管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气门室垫</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喷油嘴密封圈</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方向拉杆</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拉杆球头</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防尘套</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电喇叭</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68</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168</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启停</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密封胶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水箱</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6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汽油高压泵活塞</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进气门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排气门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气门油封</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气门导管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液压挺赶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活塞</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活塞环</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小瓦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止推瓦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连杆</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时规套装</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套</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大修包</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机油泵</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发动机胶垫</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变速箱胶垫</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油压电磁阀</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冷媒</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雨刷</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发动机大修</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发动机中修</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拆装变速箱</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tc>
        <w:tc>
          <w:tcPr>
            <w:tcW w:type="dxa" w:w="2769"/>
          </w:tcPr>
          <w:p>
            <w:pPr>
              <w:pStyle w:val="null3"/>
            </w:pPr>
            <w:r>
              <w:rPr/>
              <w:t>4</w:t>
            </w:r>
          </w:p>
        </w:tc>
        <w:tc>
          <w:tcPr>
            <w:tcW w:type="dxa" w:w="2769"/>
          </w:tcPr>
          <w:tbl>
            <w:tblPr>
              <w:tblBorders>
                <w:top w:val="single"/>
                <w:left w:val="single"/>
                <w:bottom w:val="single"/>
                <w:right w:val="single"/>
                <w:insideH w:val="single"/>
                <w:insideV w:val="single"/>
              </w:tblBorders>
            </w:tblPr>
            <w:tblGrid>
              <w:gridCol w:w="641"/>
              <w:gridCol w:w="318"/>
              <w:gridCol w:w="318"/>
              <w:gridCol w:w="318"/>
              <w:gridCol w:w="318"/>
              <w:gridCol w:w="318"/>
              <w:gridCol w:w="318"/>
            </w:tblGrid>
            <w:tr>
              <w:tc>
                <w:tcPr>
                  <w:tcW w:type="dxa" w:w="2549"/>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宋体" w:hAnsi="宋体" w:cs="宋体" w:eastAsia="宋体"/>
                      <w:color w:val="000000"/>
                      <w:sz w:val="48"/>
                    </w:rPr>
                    <w:t>传祺轿车分项报价表</w:t>
                  </w: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配件</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单位</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数量</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价格（元）</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工时费（元）</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合计（元）</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备注</w:t>
                  </w: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机油</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升</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机滤</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空滤</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汽滤</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轮胎</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490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540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电子油门踏板</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280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380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油门踏板匹配</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发电机皮带</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空调滤芯</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清洗节气门</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清洗油嘴</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喷油嘴密封圈</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冷媒</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后刹车片</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280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430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电瓶</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610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610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启停</w:t>
                  </w: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四轮定位</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大灯灯泡</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前轮刹车片</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410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下水管</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根</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火花塞</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变速箱油</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升</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自动</w:t>
                  </w: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前刹车盘</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290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440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车铣缸盖平面</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车铣缸体平面</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方向拉杆</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拉杆球头</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185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防尘套</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电喇叭</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68</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168</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时规壳</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密封胶</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水泵</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380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1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580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节温器盖</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后刹车盘</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270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前减震器</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480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后减震器</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330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430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发电机皮带</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180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260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前轮轴承</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270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后轮轴承</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280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活塞环</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上水管</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冷媒</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桶</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止推瓦</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曲轴前油封</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时规壳垫</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冷凝器</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620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泄压阀</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膨胀阀</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270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空调高压管</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210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油压传感器</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玻璃水</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瓶</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25</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雨刷</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发动机大修</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发动机中修</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拆装变速箱</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18"/>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tc>
        <w:tc>
          <w:tcPr>
            <w:tcW w:type="dxa" w:w="2769"/>
          </w:tcPr>
          <w:p>
            <w:pPr>
              <w:pStyle w:val="null3"/>
            </w:pPr>
            <w:r>
              <w:rPr/>
              <w:t>5</w:t>
            </w:r>
          </w:p>
        </w:tc>
        <w:tc>
          <w:tcPr>
            <w:tcW w:type="dxa" w:w="2769"/>
          </w:tcPr>
          <w:tbl>
            <w:tblPr>
              <w:tblBorders>
                <w:top w:val="single"/>
                <w:left w:val="single"/>
                <w:bottom w:val="single"/>
                <w:right w:val="single"/>
                <w:insideH w:val="single"/>
                <w:insideV w:val="single"/>
              </w:tblBorders>
            </w:tblPr>
            <w:tblGrid>
              <w:gridCol w:w="595"/>
              <w:gridCol w:w="326"/>
              <w:gridCol w:w="326"/>
              <w:gridCol w:w="326"/>
              <w:gridCol w:w="326"/>
              <w:gridCol w:w="326"/>
              <w:gridCol w:w="326"/>
            </w:tblGrid>
            <w:tr>
              <w:tc>
                <w:tcPr>
                  <w:tcW w:type="dxa" w:w="2551"/>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宋体" w:hAnsi="宋体" w:cs="宋体" w:eastAsia="宋体"/>
                      <w:color w:val="000000"/>
                      <w:sz w:val="48"/>
                    </w:rPr>
                    <w:t>吉利轿车分项报价表</w:t>
                  </w: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配件</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单位</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数量</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价格（元）</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工时费（元）</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合计（元）</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备注</w:t>
                  </w: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机油</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升</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350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机滤</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空滤</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汽滤</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轮胎</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下支臂</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330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油门踏板匹配</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发电机皮带</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空调滤芯</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清洗节气门</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清洗油嘴</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喷油嘴密封圈</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冷媒</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后刹车片</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270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电瓶</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启停</w:t>
                  </w: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四轮定位</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大灯灯泡</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前轮刹车片</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下水管</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根</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火花塞</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110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变速箱油</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桶</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手动</w:t>
                  </w: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前刹车盘</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370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470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车铣缸盖平面</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车铣缸体平面</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方向拉杆</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拉杆球头</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185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防尘套</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电喇叭</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68</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168</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时规壳</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密封胶</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下水管</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26"/>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节温器盖</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215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后刹车盘</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270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前减震器</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370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470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后减震器</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发电机皮带</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前轮轴承</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210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后轮轴承</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活塞环</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540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540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上水管</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冷媒</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桶</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止推瓦</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中冷器传感器</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时规壳垫</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冷凝器</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泄压阀</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膨胀阀</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240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空调高压管</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油压传感器</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玻璃水</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瓶</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25</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雨刷</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发动机大修</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发动机中修</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拆装变速箱</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26"/>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tc>
        <w:tc>
          <w:tcPr>
            <w:tcW w:type="dxa" w:w="2769"/>
          </w:tcPr>
          <w:p>
            <w:pPr>
              <w:pStyle w:val="null3"/>
            </w:pPr>
            <w:r>
              <w:rPr/>
              <w:t>6</w:t>
            </w:r>
          </w:p>
        </w:tc>
        <w:tc>
          <w:tcPr>
            <w:tcW w:type="dxa" w:w="2769"/>
          </w:tcPr>
          <w:tbl>
            <w:tblPr>
              <w:tblBorders>
                <w:top w:val="single"/>
                <w:left w:val="single"/>
                <w:bottom w:val="single"/>
                <w:right w:val="single"/>
                <w:insideH w:val="single"/>
                <w:insideV w:val="single"/>
              </w:tblBorders>
            </w:tblPr>
            <w:tblGrid>
              <w:gridCol w:w="598"/>
              <w:gridCol w:w="325"/>
              <w:gridCol w:w="325"/>
              <w:gridCol w:w="325"/>
              <w:gridCol w:w="325"/>
              <w:gridCol w:w="325"/>
              <w:gridCol w:w="325"/>
            </w:tblGrid>
            <w:tr>
              <w:tc>
                <w:tcPr>
                  <w:tcW w:type="dxa" w:w="2548"/>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宋体" w:hAnsi="宋体" w:cs="宋体" w:eastAsia="宋体"/>
                      <w:color w:val="000000"/>
                      <w:sz w:val="48"/>
                    </w:rPr>
                    <w:t>江铃皮卡分项报价表</w:t>
                  </w: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配件</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单位</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数量</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价格（元）</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工时费（元）</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合计（元）</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备注</w:t>
                  </w: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机油</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升</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480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530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机滤</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空滤</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汽滤</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轮胎</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690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690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电子油门踏板</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330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410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油门踏板匹配</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发电机皮带</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240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空调滤芯</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清洗节气门</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清洗油嘴</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喷油嘴密封圈</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冷媒</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后刹车片</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290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440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电瓶</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610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610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启停</w:t>
                  </w: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四轮定位</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大灯灯泡</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前轮刹车片</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280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430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下水管</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根</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火花塞</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变速箱油</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升</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自动</w:t>
                  </w: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缸床垫</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车铣缸盖平面</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车铣缸体平面</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方向拉杆</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225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拉杆球头</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180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防尘套</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电喇叭</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68</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168</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时规壳</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密封胶</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水泵</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370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25"/>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570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节温器盖</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进气电磁阀</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330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330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排气电磁阀</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330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330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气门油封</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240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240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气门导管</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液压挺赶</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680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680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曲轴轮</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370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370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活塞环</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380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380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上水管</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110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110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暖风水管</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260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260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止推瓦</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曲轴前油封</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时规壳垫</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冷凝器</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595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泄压阀</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膨胀阀</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空调高压管</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240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油压传感器</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75</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冷媒</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瓶</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雨刷</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发动机大修</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发动机中修</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5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拆装变速箱</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25"/>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tc>
        <w:tc>
          <w:tcPr>
            <w:tcW w:type="dxa" w:w="2769"/>
          </w:tcPr>
          <w:p>
            <w:pPr>
              <w:pStyle w:val="null3"/>
            </w:pPr>
            <w:r>
              <w:rPr/>
              <w:t>7</w:t>
            </w:r>
          </w:p>
        </w:tc>
        <w:tc>
          <w:tcPr>
            <w:tcW w:type="dxa" w:w="2769"/>
          </w:tcPr>
          <w:tbl>
            <w:tblPr>
              <w:tblBorders>
                <w:top w:val="single"/>
                <w:left w:val="single"/>
                <w:bottom w:val="single"/>
                <w:right w:val="single"/>
                <w:insideH w:val="single"/>
                <w:insideV w:val="single"/>
              </w:tblBorders>
            </w:tblPr>
            <w:tblGrid>
              <w:gridCol w:w="364"/>
              <w:gridCol w:w="364"/>
              <w:gridCol w:w="364"/>
              <w:gridCol w:w="364"/>
              <w:gridCol w:w="364"/>
              <w:gridCol w:w="364"/>
              <w:gridCol w:w="364"/>
            </w:tblGrid>
            <w:tr>
              <w:tc>
                <w:tcPr>
                  <w:tcW w:type="dxa" w:w="2548"/>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宋体" w:hAnsi="宋体" w:cs="宋体" w:eastAsia="宋体"/>
                      <w:color w:val="000000"/>
                      <w:sz w:val="48"/>
                    </w:rPr>
                    <w:t xml:space="preserve">  五菱宏光分项报价表</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配件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单位</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数量</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价格（元）</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工时费（元）</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合计（元）</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备注</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机滤</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空滤</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汽滤</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轮胎</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前减震器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后减震器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305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发电机皮带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前刹车盘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后刹车盘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前轮轴承</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后轮轴承</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前刹车片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275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375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后刹车片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下支臂</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四轮定位</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大灯灯泡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上水管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下水管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火花塞</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变速箱油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手动</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离合器压盘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离合器摩擦片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离合器分离轴承</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方向拉杆</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拉杆球头</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防尘套</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电喇叭</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68</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148</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密封胶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水箱</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6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曲轴</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进气门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排气门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气门油封</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气门导管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液压挺赶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活塞</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活塞环</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小瓦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止推瓦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连杆</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时规套装</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套</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大修包</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机油泵</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水箱</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冷凝器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电子扇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冷媒</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雨刷</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发动机大修</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发动机中修</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拆装变速箱</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769"/>
          </w:tcPr>
          <w:p/>
        </w:tc>
        <w:tc>
          <w:tcPr>
            <w:tcW w:type="dxa" w:w="2769"/>
          </w:tcPr>
          <w:p>
            <w:pPr>
              <w:pStyle w:val="null3"/>
            </w:pPr>
            <w:r>
              <w:rPr/>
              <w:t>8</w:t>
            </w:r>
          </w:p>
        </w:tc>
        <w:tc>
          <w:tcPr>
            <w:tcW w:type="dxa" w:w="2769"/>
          </w:tcPr>
          <w:tbl>
            <w:tblPr>
              <w:tblBorders>
                <w:top w:val="single"/>
                <w:left w:val="single"/>
                <w:bottom w:val="single"/>
                <w:right w:val="single"/>
                <w:insideH w:val="single"/>
                <w:insideV w:val="single"/>
              </w:tblBorders>
            </w:tblPr>
            <w:tblGrid>
              <w:gridCol w:w="364"/>
              <w:gridCol w:w="364"/>
              <w:gridCol w:w="364"/>
              <w:gridCol w:w="364"/>
              <w:gridCol w:w="364"/>
              <w:gridCol w:w="364"/>
              <w:gridCol w:w="364"/>
            </w:tblGrid>
            <w:tr>
              <w:tc>
                <w:tcPr>
                  <w:tcW w:type="dxa" w:w="2548"/>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宋体" w:hAnsi="宋体" w:cs="宋体" w:eastAsia="宋体"/>
                      <w:color w:val="000000"/>
                      <w:sz w:val="48"/>
                    </w:rPr>
                    <w:t>现代ix35分项报价表</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配件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单位</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数量</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价格（元）</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工时费（元）</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合计（元）</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备注</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机滤</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空滤</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汽滤</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轮胎</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前减震器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后减震器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发电机皮带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前刹车盘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后刹车盘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前轮轴承</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后轮轴承</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前刹车片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285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435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后刹车片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下支臂</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四轮定位</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大灯灯泡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 xml:space="preserve"> </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上水管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下水管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火花塞</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变速箱油</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升</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自动</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进气电磁阀</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排气电磁阀</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防冻液</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4升</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方向拉杆</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拉杆球头</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防尘套</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电喇叭</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68</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168</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电瓶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启停</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密封胶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水泵</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200</w:t>
                  </w:r>
                </w:p>
              </w:tc>
              <w:tc>
                <w:tcPr>
                  <w:tcW w:type="dxa" w:w="364"/>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曲轴</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1780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1780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进气可变正时轮</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排气可变正时轮</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气门油封</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气门导管</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液压挺赶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590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活塞</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活塞环</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260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小瓦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240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止推瓦</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连杆</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230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时规套装</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套</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650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大修包</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480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机油泵</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发动机胶垫</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310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变速箱胶垫</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220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油压传感器</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个</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75</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冷媒</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瓶</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70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雨刷</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付</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90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原厂</w:t>
                  </w: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发动机大修</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1500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发动机中修</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1000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拆装变速箱</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color w:val="000000"/>
                      <w:sz w:val="28"/>
                    </w:rPr>
                    <w:t>400</w:t>
                  </w:r>
                </w:p>
              </w:tc>
              <w:tc>
                <w:tcPr>
                  <w:tcW w:type="dxa" w:w="364"/>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outlineLvl w:val="2"/>
      </w:pPr>
      <w:r>
        <w:rPr>
          <w:b/>
          <w:sz w:val="28"/>
        </w:rPr>
        <w:t>3.2.3人员配置要求</w:t>
      </w:r>
    </w:p>
    <w:p>
      <w:pPr>
        <w:pStyle w:val="null3"/>
      </w:pPr>
      <w:r>
        <w:rPr/>
        <w:t>采购包1：</w:t>
      </w:r>
    </w:p>
    <w:p>
      <w:pPr>
        <w:pStyle w:val="null3"/>
      </w:pPr>
      <w:r>
        <w:rPr/>
        <w:t>详见技术参数与性能指标</w:t>
      </w:r>
    </w:p>
    <w:p>
      <w:pPr>
        <w:pStyle w:val="null3"/>
      </w:pPr>
      <w:r>
        <w:rPr/>
        <w:t>采购包2：</w:t>
      </w:r>
    </w:p>
    <w:p>
      <w:pPr>
        <w:pStyle w:val="null3"/>
      </w:pPr>
      <w:r>
        <w:rPr/>
        <w:t>详见技术参数与性能指标</w:t>
      </w:r>
    </w:p>
    <w:p>
      <w:pPr>
        <w:pStyle w:val="null3"/>
        <w:outlineLvl w:val="2"/>
      </w:pPr>
      <w:r>
        <w:rPr>
          <w:b/>
          <w:sz w:val="28"/>
        </w:rPr>
        <w:t>3.2.4设施设备要求</w:t>
      </w:r>
    </w:p>
    <w:p>
      <w:pPr>
        <w:pStyle w:val="null3"/>
      </w:pPr>
      <w:r>
        <w:rPr/>
        <w:t>采购包1：</w:t>
      </w:r>
    </w:p>
    <w:p>
      <w:pPr>
        <w:pStyle w:val="null3"/>
      </w:pPr>
      <w:r>
        <w:rPr/>
        <w:t>详见技术参数与性能指标</w:t>
      </w:r>
    </w:p>
    <w:p>
      <w:pPr>
        <w:pStyle w:val="null3"/>
      </w:pPr>
      <w:r>
        <w:rPr/>
        <w:t>采购包2：</w:t>
      </w:r>
    </w:p>
    <w:p>
      <w:pPr>
        <w:pStyle w:val="null3"/>
      </w:pPr>
      <w:r>
        <w:rPr/>
        <w:t>详见技术参数与性能指标</w:t>
      </w:r>
    </w:p>
    <w:p>
      <w:pPr>
        <w:pStyle w:val="null3"/>
        <w:outlineLvl w:val="2"/>
      </w:pPr>
      <w:r>
        <w:rPr>
          <w:b/>
          <w:sz w:val="28"/>
        </w:rPr>
        <w:t>3.2.5其他要求</w:t>
      </w:r>
    </w:p>
    <w:p>
      <w:pPr>
        <w:pStyle w:val="null3"/>
      </w:pPr>
      <w:r>
        <w:rPr/>
        <w:t>采购包1：</w:t>
      </w:r>
    </w:p>
    <w:p>
      <w:pPr>
        <w:pStyle w:val="null3"/>
      </w:pPr>
      <w:r>
        <w:rPr/>
        <w:t>/</w:t>
      </w:r>
    </w:p>
    <w:p>
      <w:pPr>
        <w:pStyle w:val="null3"/>
      </w:pPr>
      <w:r>
        <w:rPr/>
        <w:t>采购包2：</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自合同签订之日起1年</w:t>
      </w:r>
    </w:p>
    <w:p>
      <w:pPr>
        <w:pStyle w:val="null3"/>
      </w:pPr>
      <w:r>
        <w:rPr/>
        <w:t>采购包2：</w:t>
      </w:r>
    </w:p>
    <w:p>
      <w:pPr>
        <w:pStyle w:val="null3"/>
      </w:pPr>
      <w:r>
        <w:rPr/>
        <w:t>自合同签订之日起1年</w:t>
      </w:r>
    </w:p>
    <w:p>
      <w:pPr>
        <w:pStyle w:val="null3"/>
        <w:outlineLvl w:val="3"/>
      </w:pPr>
      <w:r>
        <w:rPr>
          <w:b/>
          <w:sz w:val="24"/>
        </w:rPr>
        <w:t>3.3.2服务地点</w:t>
      </w:r>
    </w:p>
    <w:p>
      <w:pPr>
        <w:pStyle w:val="null3"/>
      </w:pPr>
      <w:r>
        <w:rPr/>
        <w:t>采购包1：</w:t>
      </w:r>
    </w:p>
    <w:p>
      <w:pPr>
        <w:pStyle w:val="null3"/>
      </w:pPr>
      <w:r>
        <w:rPr/>
        <w:t>西安市高陵区城区</w:t>
      </w:r>
    </w:p>
    <w:p>
      <w:pPr>
        <w:pStyle w:val="null3"/>
      </w:pPr>
      <w:r>
        <w:rPr/>
        <w:t>采购包2：</w:t>
      </w:r>
    </w:p>
    <w:p>
      <w:pPr>
        <w:pStyle w:val="null3"/>
      </w:pPr>
      <w:r>
        <w:rPr/>
        <w:t>西安市高陵区园区</w:t>
      </w:r>
    </w:p>
    <w:p>
      <w:pPr>
        <w:pStyle w:val="null3"/>
        <w:outlineLvl w:val="3"/>
      </w:pPr>
      <w:r>
        <w:rPr>
          <w:b/>
          <w:sz w:val="24"/>
        </w:rPr>
        <w:t>3.3.3考核（验收）标准和方法</w:t>
      </w:r>
    </w:p>
    <w:p>
      <w:pPr>
        <w:pStyle w:val="null3"/>
      </w:pPr>
      <w:r>
        <w:rPr/>
        <w:t>采购包1：</w:t>
      </w:r>
    </w:p>
    <w:p>
      <w:pPr>
        <w:pStyle w:val="null3"/>
      </w:pPr>
      <w:r>
        <w:rPr/>
        <w:t>符合国家及行业标准，达到“合格”要求</w:t>
      </w:r>
    </w:p>
    <w:p>
      <w:pPr>
        <w:pStyle w:val="null3"/>
      </w:pPr>
      <w:r>
        <w:rPr/>
        <w:t>采购包2：</w:t>
      </w:r>
    </w:p>
    <w:p>
      <w:pPr>
        <w:pStyle w:val="null3"/>
      </w:pPr>
      <w:r>
        <w:rPr/>
        <w:t>符合国家及行业标准，达到“合格”要求</w:t>
      </w:r>
    </w:p>
    <w:p>
      <w:pPr>
        <w:pStyle w:val="null3"/>
        <w:outlineLvl w:val="3"/>
      </w:pPr>
      <w:r>
        <w:rPr>
          <w:b/>
          <w:sz w:val="24"/>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 xml:space="preserve"> 合同签订后，成交供应商每季度所产生的费用结合所报优惠率经采购人确认后按季度据实结算， 最终结算金额不超过采购预算</w:t>
      </w:r>
      <w:r>
        <w:rPr/>
        <w:t xml:space="preserve"> ，达到付款条件起 </w:t>
      </w:r>
      <w:r>
        <w:rPr/>
        <w:t>90</w:t>
      </w:r>
      <w:r>
        <w:rPr/>
        <w:t xml:space="preserve"> 日内，支付合同总金额的 </w:t>
      </w:r>
      <w:r>
        <w:rPr/>
        <w:t>25.00</w:t>
      </w:r>
      <w:r>
        <w:rPr/>
        <w:t>%。</w:t>
      </w:r>
    </w:p>
    <w:p>
      <w:pPr>
        <w:pStyle w:val="null3"/>
      </w:pPr>
      <w:r>
        <w:rPr/>
        <w:t>采购包1：</w:t>
      </w:r>
      <w:r>
        <w:rPr/>
        <w:t xml:space="preserve"> 付款条件说明： </w:t>
      </w:r>
      <w:r>
        <w:rPr/>
        <w:t xml:space="preserve"> 合同签订后，成交供应商每季度所产生的费用结合所报优惠率经采购人确认后按季度据实结算， 最终结算金额不超过采购预算</w:t>
      </w:r>
      <w:r>
        <w:rPr/>
        <w:t xml:space="preserve"> ，达到付款条件起 </w:t>
      </w:r>
      <w:r>
        <w:rPr/>
        <w:t>90</w:t>
      </w:r>
      <w:r>
        <w:rPr/>
        <w:t xml:space="preserve"> 日内，支付合同总金额的 </w:t>
      </w:r>
      <w:r>
        <w:rPr/>
        <w:t>25.00</w:t>
      </w:r>
      <w:r>
        <w:rPr/>
        <w:t>%。</w:t>
      </w:r>
    </w:p>
    <w:p>
      <w:pPr>
        <w:pStyle w:val="null3"/>
      </w:pPr>
      <w:r>
        <w:rPr/>
        <w:t>采购包1：</w:t>
      </w:r>
      <w:r>
        <w:rPr/>
        <w:t xml:space="preserve"> 付款条件说明： </w:t>
      </w:r>
      <w:r>
        <w:rPr/>
        <w:t xml:space="preserve"> 合同签订后，成交供应商每季度所产生的费用结合所报优惠率经采购人确认后按季度据实结算， 最终结算金额不超过采购预算</w:t>
      </w:r>
      <w:r>
        <w:rPr/>
        <w:t xml:space="preserve"> ，达到付款条件起 </w:t>
      </w:r>
      <w:r>
        <w:rPr/>
        <w:t>90</w:t>
      </w:r>
      <w:r>
        <w:rPr/>
        <w:t xml:space="preserve"> 日内，支付合同总金额的 </w:t>
      </w:r>
      <w:r>
        <w:rPr/>
        <w:t>25.00</w:t>
      </w:r>
      <w:r>
        <w:rPr/>
        <w:t>%。</w:t>
      </w:r>
    </w:p>
    <w:p>
      <w:pPr>
        <w:pStyle w:val="null3"/>
      </w:pPr>
      <w:r>
        <w:rPr/>
        <w:t>采购包1：</w:t>
      </w:r>
      <w:r>
        <w:rPr/>
        <w:t xml:space="preserve"> 付款条件说明： </w:t>
      </w:r>
      <w:r>
        <w:rPr/>
        <w:t xml:space="preserve"> 合同签订后，成交供应商每季度所产生的费用结合所报优惠率经采购人确认后按季度据实结算， 最终结算金额不超过采购预算</w:t>
      </w:r>
      <w:r>
        <w:rPr/>
        <w:t xml:space="preserve"> ，达到付款条件起 </w:t>
      </w:r>
      <w:r>
        <w:rPr/>
        <w:t>90</w:t>
      </w:r>
      <w:r>
        <w:rPr/>
        <w:t xml:space="preserve"> 日内，支付合同总金额的 </w:t>
      </w:r>
      <w:r>
        <w:rPr/>
        <w:t>25.00</w:t>
      </w:r>
      <w:r>
        <w:rPr/>
        <w:t>%。</w:t>
      </w:r>
    </w:p>
    <w:p>
      <w:pPr>
        <w:pStyle w:val="null3"/>
      </w:pPr>
      <w:r>
        <w:rPr/>
        <w:t>采购包2：</w:t>
      </w:r>
      <w:r>
        <w:rPr/>
        <w:t xml:space="preserve"> 付款条件说明： </w:t>
      </w:r>
      <w:r>
        <w:rPr/>
        <w:t xml:space="preserve"> 合同签订后，成交供应商每季度所产生的费用结合所报优惠率经采购人确认后按季度据实结算， 最终结算金额不超过采购预算</w:t>
      </w:r>
      <w:r>
        <w:rPr/>
        <w:t xml:space="preserve"> ，达到付款条件起 </w:t>
      </w:r>
      <w:r>
        <w:rPr/>
        <w:t>90</w:t>
      </w:r>
      <w:r>
        <w:rPr/>
        <w:t xml:space="preserve"> 日内，支付合同总金额的 </w:t>
      </w:r>
      <w:r>
        <w:rPr/>
        <w:t>25.00</w:t>
      </w:r>
      <w:r>
        <w:rPr/>
        <w:t>%。</w:t>
      </w:r>
    </w:p>
    <w:p>
      <w:pPr>
        <w:pStyle w:val="null3"/>
      </w:pPr>
      <w:r>
        <w:rPr/>
        <w:t>采购包2：</w:t>
      </w:r>
      <w:r>
        <w:rPr/>
        <w:t xml:space="preserve"> 付款条件说明： </w:t>
      </w:r>
      <w:r>
        <w:rPr/>
        <w:t xml:space="preserve"> 合同签订后，成交供应商每季度所产生的费用结合所报优惠率经采购人确认后按季度据实结算， 最终结算金额不超过采购预算</w:t>
      </w:r>
      <w:r>
        <w:rPr/>
        <w:t xml:space="preserve"> ，达到付款条件起 </w:t>
      </w:r>
      <w:r>
        <w:rPr/>
        <w:t>90</w:t>
      </w:r>
      <w:r>
        <w:rPr/>
        <w:t xml:space="preserve"> 日内，支付合同总金额的 </w:t>
      </w:r>
      <w:r>
        <w:rPr/>
        <w:t>25.00</w:t>
      </w:r>
      <w:r>
        <w:rPr/>
        <w:t>%。</w:t>
      </w:r>
    </w:p>
    <w:p>
      <w:pPr>
        <w:pStyle w:val="null3"/>
      </w:pPr>
      <w:r>
        <w:rPr/>
        <w:t>采购包2：</w:t>
      </w:r>
      <w:r>
        <w:rPr/>
        <w:t xml:space="preserve"> 付款条件说明： </w:t>
      </w:r>
      <w:r>
        <w:rPr/>
        <w:t xml:space="preserve"> 合同签订后，成交供应商每季度所产生的费用结合所报优惠率经采购人确认后按季度据实结算， 最终结算金额不超过采购预算</w:t>
      </w:r>
      <w:r>
        <w:rPr/>
        <w:t xml:space="preserve"> ，达到付款条件起 </w:t>
      </w:r>
      <w:r>
        <w:rPr/>
        <w:t>90</w:t>
      </w:r>
      <w:r>
        <w:rPr/>
        <w:t xml:space="preserve"> 日内，支付合同总金额的 </w:t>
      </w:r>
      <w:r>
        <w:rPr/>
        <w:t>25.00</w:t>
      </w:r>
      <w:r>
        <w:rPr/>
        <w:t>%。</w:t>
      </w:r>
    </w:p>
    <w:p>
      <w:pPr>
        <w:pStyle w:val="null3"/>
      </w:pPr>
      <w:r>
        <w:rPr/>
        <w:t>采购包2：</w:t>
      </w:r>
      <w:r>
        <w:rPr/>
        <w:t xml:space="preserve"> 付款条件说明： </w:t>
      </w:r>
      <w:r>
        <w:rPr/>
        <w:t xml:space="preserve"> 合同签订后，成交供应商每季度所产生的费用结合所报优惠率经采购人确认后按季度据实结算， 最终结算金额不超过采购预算</w:t>
      </w:r>
      <w:r>
        <w:rPr/>
        <w:t xml:space="preserve"> ，达到付款条件起 </w:t>
      </w:r>
      <w:r>
        <w:rPr/>
        <w:t>90</w:t>
      </w:r>
      <w:r>
        <w:rPr/>
        <w:t xml:space="preserve"> 日内，支付合同总金额的 </w:t>
      </w:r>
      <w:r>
        <w:rPr/>
        <w:t>25.00</w:t>
      </w:r>
      <w:r>
        <w:rPr/>
        <w:t>%。</w:t>
      </w:r>
    </w:p>
    <w:p>
      <w:pPr>
        <w:pStyle w:val="null3"/>
        <w:outlineLvl w:val="3"/>
      </w:pPr>
      <w:r>
        <w:rPr>
          <w:b/>
          <w:sz w:val="24"/>
        </w:rPr>
        <w:t>3.3.6违约责任及解决争议的方法</w:t>
      </w:r>
    </w:p>
    <w:p>
      <w:pPr>
        <w:pStyle w:val="null3"/>
      </w:pPr>
      <w:r>
        <w:rPr/>
        <w:t>采购包1：</w:t>
      </w:r>
    </w:p>
    <w:p>
      <w:pPr>
        <w:pStyle w:val="null3"/>
      </w:pPr>
      <w:r>
        <w:rPr/>
        <w:t>合同中未约定的，按照《民法典》中相关条款执行。</w:t>
      </w:r>
    </w:p>
    <w:p>
      <w:pPr>
        <w:pStyle w:val="null3"/>
      </w:pPr>
      <w:r>
        <w:rPr/>
        <w:t>采购包2：</w:t>
      </w:r>
    </w:p>
    <w:p>
      <w:pPr>
        <w:pStyle w:val="null3"/>
      </w:pPr>
      <w:r>
        <w:rPr/>
        <w:t>合同中未约定的，按照《民法典》中相关条款执行。</w:t>
      </w:r>
    </w:p>
    <w:p>
      <w:pPr>
        <w:pStyle w:val="null3"/>
        <w:outlineLvl w:val="2"/>
      </w:pPr>
      <w:r>
        <w:rPr>
          <w:b/>
          <w:sz w:val="28"/>
        </w:rPr>
        <w:t>3.4其他要求</w:t>
      </w:r>
    </w:p>
    <w:p>
      <w:pPr>
        <w:pStyle w:val="null3"/>
      </w:pPr>
      <w:r>
        <w:rPr/>
        <w:t>本次磋商供应商可同时参与多个包段，但最多只能中1个包段。若供应商为多个包段排序第一的成交候选人，则按照从1到2包段的评审顺序，成为前一包段的排序第一成交候选人不作为后续包段的成交候选人推荐。</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资格证明资料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经审计的财务报告或提交投标文件截止时间三个月内其基本账户开户银行出具的资信证明（以上两种形式的资料提供任何一种即可）；供应商需在项目电子化交易系统中按要求上传相应证明文件并进行电子签章。</w:t>
            </w:r>
          </w:p>
        </w:tc>
        <w:tc>
          <w:tcPr>
            <w:tcW w:type="dxa" w:w="1661"/>
          </w:tcPr>
          <w:p>
            <w:pPr>
              <w:pStyle w:val="null3"/>
            </w:pPr>
            <w:r>
              <w:rPr/>
              <w:t>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资格证明资料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资格证明资料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度经审计的财务报告或提交投标文件截止时间三个月内其基本账户开户银行出具的资信证明（以上两种形式的资料提供任何一种即可）；供应商需在项目电子化交易系统中按要求上传相应证明文件并进行电子签章。</w:t>
            </w:r>
          </w:p>
        </w:tc>
        <w:tc>
          <w:tcPr>
            <w:tcW w:type="dxa" w:w="1661"/>
          </w:tcPr>
          <w:p>
            <w:pPr>
              <w:pStyle w:val="null3"/>
            </w:pPr>
            <w:r>
              <w:rPr/>
              <w:t>资格证明资料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资格证明资料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法定代表人授权书或法定代表人身份证明</w:t>
            </w:r>
          </w:p>
        </w:tc>
        <w:tc>
          <w:tcPr>
            <w:tcW w:type="dxa" w:w="3322"/>
          </w:tcPr>
          <w:p>
            <w:pPr>
              <w:pStyle w:val="null3"/>
            </w:pPr>
            <w:r>
              <w:rPr/>
              <w:t>法定代表人授权书（附法定代表人、被授权人身份证复印件）及被授权人身份证复印件（法定代表人直接参加招标，须提供法定代表人身份证明及身份证复印件）；非法人单位参照执行。</w:t>
            </w:r>
          </w:p>
        </w:tc>
        <w:tc>
          <w:tcPr>
            <w:tcW w:type="dxa" w:w="1661"/>
          </w:tcPr>
          <w:p>
            <w:pPr>
              <w:pStyle w:val="null3"/>
            </w:pPr>
            <w:r>
              <w:rPr/>
              <w:t>资格证明资料</w:t>
            </w:r>
          </w:p>
        </w:tc>
      </w:tr>
      <w:tr>
        <w:tc>
          <w:tcPr>
            <w:tcW w:type="dxa" w:w="831"/>
          </w:tcPr>
          <w:p>
            <w:pPr>
              <w:pStyle w:val="null3"/>
            </w:pPr>
            <w:r>
              <w:rPr/>
              <w:t>2</w:t>
            </w:r>
          </w:p>
        </w:tc>
        <w:tc>
          <w:tcPr>
            <w:tcW w:type="dxa" w:w="2492"/>
          </w:tcPr>
          <w:p>
            <w:pPr>
              <w:pStyle w:val="null3"/>
            </w:pPr>
            <w:r>
              <w:rPr/>
              <w:t>资质要求</w:t>
            </w:r>
          </w:p>
        </w:tc>
        <w:tc>
          <w:tcPr>
            <w:tcW w:type="dxa" w:w="3322"/>
          </w:tcPr>
          <w:p>
            <w:pPr>
              <w:pStyle w:val="null3"/>
            </w:pPr>
            <w:r>
              <w:rPr/>
              <w:t>供应商须提供二类以上（含二类）汽车维修资质证明材料；</w:t>
            </w:r>
          </w:p>
        </w:tc>
        <w:tc>
          <w:tcPr>
            <w:tcW w:type="dxa" w:w="1661"/>
          </w:tcPr>
          <w:p>
            <w:pPr>
              <w:pStyle w:val="null3"/>
            </w:pPr>
            <w:r>
              <w:rPr/>
              <w:t>资格证明资料</w:t>
            </w:r>
          </w:p>
        </w:tc>
      </w:tr>
      <w:tr>
        <w:tc>
          <w:tcPr>
            <w:tcW w:type="dxa" w:w="831"/>
          </w:tcPr>
          <w:p>
            <w:pPr>
              <w:pStyle w:val="null3"/>
            </w:pPr>
            <w:r>
              <w:rPr/>
              <w:t>3</w:t>
            </w:r>
          </w:p>
        </w:tc>
        <w:tc>
          <w:tcPr>
            <w:tcW w:type="dxa" w:w="2492"/>
          </w:tcPr>
          <w:p>
            <w:pPr>
              <w:pStyle w:val="null3"/>
            </w:pPr>
            <w:r>
              <w:rPr/>
              <w:t>信用查询</w:t>
            </w:r>
          </w:p>
        </w:tc>
        <w:tc>
          <w:tcPr>
            <w:tcW w:type="dxa" w:w="3322"/>
          </w:tcPr>
          <w:p>
            <w:pPr>
              <w:pStyle w:val="null3"/>
            </w:pPr>
            <w:r>
              <w:rPr/>
              <w:t xml:space="preserve">供应商不得为“信用中国”网站（www.creditchina.gov.cn）中列入失信被执行人和重大税收违法失信主体的供应商，不得为中国政府采购网（www.ccgp.gov.cn）政府采购严重违法失信行为记录名单中被财政部门禁止参加政府采购活动的供应商； </w:t>
            </w:r>
          </w:p>
        </w:tc>
        <w:tc>
          <w:tcPr>
            <w:tcW w:type="dxa" w:w="1661"/>
          </w:tcPr>
          <w:p>
            <w:pPr>
              <w:pStyle w:val="null3"/>
            </w:pPr>
            <w:r>
              <w:rPr/>
              <w:t>资格证明资料</w:t>
            </w:r>
          </w:p>
        </w:tc>
      </w:tr>
      <w:tr>
        <w:tc>
          <w:tcPr>
            <w:tcW w:type="dxa" w:w="831"/>
          </w:tcPr>
          <w:p>
            <w:pPr>
              <w:pStyle w:val="null3"/>
            </w:pPr>
            <w:r>
              <w:rPr/>
              <w:t>4</w:t>
            </w:r>
          </w:p>
        </w:tc>
        <w:tc>
          <w:tcPr>
            <w:tcW w:type="dxa" w:w="2492"/>
          </w:tcPr>
          <w:p>
            <w:pPr>
              <w:pStyle w:val="null3"/>
            </w:pPr>
            <w:r>
              <w:rPr/>
              <w:t>关联关系</w:t>
            </w:r>
          </w:p>
        </w:tc>
        <w:tc>
          <w:tcPr>
            <w:tcW w:type="dxa" w:w="3322"/>
          </w:tcPr>
          <w:p>
            <w:pPr>
              <w:pStyle w:val="null3"/>
            </w:pPr>
            <w:r>
              <w:rPr/>
              <w:t>单位负责人为同一人或者存在直接控股、管理关系的不同投标人，不得参加同一合同项下的政府采购活动；（提供承诺书）</w:t>
            </w:r>
          </w:p>
        </w:tc>
        <w:tc>
          <w:tcPr>
            <w:tcW w:type="dxa" w:w="1661"/>
          </w:tcPr>
          <w:p>
            <w:pPr>
              <w:pStyle w:val="null3"/>
            </w:pPr>
            <w:r>
              <w:rPr/>
              <w:t>资格证明资料</w:t>
            </w:r>
          </w:p>
        </w:tc>
      </w:tr>
      <w:tr>
        <w:tc>
          <w:tcPr>
            <w:tcW w:type="dxa" w:w="831"/>
          </w:tcPr>
          <w:p>
            <w:pPr>
              <w:pStyle w:val="null3"/>
            </w:pPr>
            <w:r>
              <w:rPr/>
              <w:t>5</w:t>
            </w:r>
          </w:p>
        </w:tc>
        <w:tc>
          <w:tcPr>
            <w:tcW w:type="dxa" w:w="2492"/>
          </w:tcPr>
          <w:p>
            <w:pPr>
              <w:pStyle w:val="null3"/>
            </w:pPr>
            <w:r>
              <w:rPr/>
              <w:t>其他要求</w:t>
            </w:r>
          </w:p>
        </w:tc>
        <w:tc>
          <w:tcPr>
            <w:tcW w:type="dxa" w:w="3322"/>
          </w:tcPr>
          <w:p>
            <w:pPr>
              <w:pStyle w:val="null3"/>
            </w:pPr>
            <w:r>
              <w:rPr/>
              <w:t xml:space="preserve">本项目不接受联合体投标；（提供承诺书） </w:t>
            </w:r>
          </w:p>
        </w:tc>
        <w:tc>
          <w:tcPr>
            <w:tcW w:type="dxa" w:w="1661"/>
          </w:tcPr>
          <w:p>
            <w:pPr>
              <w:pStyle w:val="null3"/>
            </w:pPr>
            <w:r>
              <w:rPr/>
              <w:t>资格证明资料</w:t>
            </w:r>
          </w:p>
        </w:tc>
      </w:tr>
      <w:tr>
        <w:tc>
          <w:tcPr>
            <w:tcW w:type="dxa" w:w="831"/>
          </w:tcPr>
          <w:p>
            <w:pPr>
              <w:pStyle w:val="null3"/>
            </w:pPr>
            <w:r>
              <w:rPr/>
              <w:t>6</w:t>
            </w:r>
          </w:p>
        </w:tc>
        <w:tc>
          <w:tcPr>
            <w:tcW w:type="dxa" w:w="2492"/>
          </w:tcPr>
          <w:p>
            <w:pPr>
              <w:pStyle w:val="null3"/>
            </w:pPr>
            <w:r>
              <w:rPr/>
              <w:t>有效的主体资格证明</w:t>
            </w:r>
          </w:p>
        </w:tc>
        <w:tc>
          <w:tcPr>
            <w:tcW w:type="dxa" w:w="3322"/>
          </w:tcPr>
          <w:p>
            <w:pPr>
              <w:pStyle w:val="null3"/>
            </w:pPr>
            <w:r>
              <w:rPr/>
              <w:t xml:space="preserve">具有独立承担民事责任能力的法人、其他组织或自然人，并出具合法有效的营业执照或事业单位法人证书等国家规定的相关证明，自然人参与的提供其身份证明书； </w:t>
            </w:r>
          </w:p>
        </w:tc>
        <w:tc>
          <w:tcPr>
            <w:tcW w:type="dxa" w:w="1661"/>
          </w:tcPr>
          <w:p>
            <w:pPr>
              <w:pStyle w:val="null3"/>
            </w:pPr>
            <w:r>
              <w:rPr/>
              <w:t>资格证明资料</w:t>
            </w:r>
          </w:p>
        </w:tc>
      </w:tr>
      <w:tr>
        <w:tc>
          <w:tcPr>
            <w:tcW w:type="dxa" w:w="831"/>
          </w:tcPr>
          <w:p>
            <w:pPr>
              <w:pStyle w:val="null3"/>
            </w:pPr>
            <w:r>
              <w:rPr/>
              <w:t>7</w:t>
            </w:r>
          </w:p>
        </w:tc>
        <w:tc>
          <w:tcPr>
            <w:tcW w:type="dxa" w:w="2492"/>
          </w:tcPr>
          <w:p>
            <w:pPr>
              <w:pStyle w:val="null3"/>
            </w:pPr>
            <w:r>
              <w:rPr/>
              <w:t>税收缴纳证明</w:t>
            </w:r>
          </w:p>
        </w:tc>
        <w:tc>
          <w:tcPr>
            <w:tcW w:type="dxa" w:w="3322"/>
          </w:tcPr>
          <w:p>
            <w:pPr>
              <w:pStyle w:val="null3"/>
            </w:pPr>
            <w:r>
              <w:rPr/>
              <w:t xml:space="preserve">提交响应文件截止时间前6个月内至少一个月的纳税证明或完税证明，纳税证明或完税证明上应有代收机构或税务机关的公章或业务专用章，(依法免税的供应商应提供相应文件证明)； </w:t>
            </w:r>
          </w:p>
        </w:tc>
        <w:tc>
          <w:tcPr>
            <w:tcW w:type="dxa" w:w="1661"/>
          </w:tcPr>
          <w:p>
            <w:pPr>
              <w:pStyle w:val="null3"/>
            </w:pPr>
            <w:r>
              <w:rPr/>
              <w:t>资格证明资料</w:t>
            </w:r>
          </w:p>
        </w:tc>
      </w:tr>
      <w:tr>
        <w:tc>
          <w:tcPr>
            <w:tcW w:type="dxa" w:w="831"/>
          </w:tcPr>
          <w:p>
            <w:pPr>
              <w:pStyle w:val="null3"/>
            </w:pPr>
            <w:r>
              <w:rPr/>
              <w:t>8</w:t>
            </w:r>
          </w:p>
        </w:tc>
        <w:tc>
          <w:tcPr>
            <w:tcW w:type="dxa" w:w="2492"/>
          </w:tcPr>
          <w:p>
            <w:pPr>
              <w:pStyle w:val="null3"/>
            </w:pPr>
            <w:r>
              <w:rPr/>
              <w:t>社会保障资金缴纳证明</w:t>
            </w:r>
          </w:p>
        </w:tc>
        <w:tc>
          <w:tcPr>
            <w:tcW w:type="dxa" w:w="3322"/>
          </w:tcPr>
          <w:p>
            <w:pPr>
              <w:pStyle w:val="null3"/>
            </w:pPr>
            <w:r>
              <w:rPr/>
              <w:t xml:space="preserve">提供投标截止日前6个月内已缴存的至少一个月的社会保障资金缴存单据或社保机构开具的社会保险参保缴费情况证明，依法不需要缴纳社会保障资金的单位应提供相关证明材料； </w:t>
            </w:r>
          </w:p>
        </w:tc>
        <w:tc>
          <w:tcPr>
            <w:tcW w:type="dxa" w:w="1661"/>
          </w:tcPr>
          <w:p>
            <w:pPr>
              <w:pStyle w:val="null3"/>
            </w:pPr>
            <w:r>
              <w:rPr/>
              <w:t>资格证明资料</w:t>
            </w:r>
          </w:p>
        </w:tc>
      </w:tr>
      <w:tr>
        <w:tc>
          <w:tcPr>
            <w:tcW w:type="dxa" w:w="831"/>
          </w:tcPr>
          <w:p>
            <w:pPr>
              <w:pStyle w:val="null3"/>
            </w:pPr>
            <w:r>
              <w:rPr/>
              <w:t>9</w:t>
            </w:r>
          </w:p>
        </w:tc>
        <w:tc>
          <w:tcPr>
            <w:tcW w:type="dxa" w:w="2492"/>
          </w:tcPr>
          <w:p>
            <w:pPr>
              <w:pStyle w:val="null3"/>
            </w:pPr>
            <w:r>
              <w:rPr/>
              <w:t>财务状况报告</w:t>
            </w:r>
          </w:p>
        </w:tc>
        <w:tc>
          <w:tcPr>
            <w:tcW w:type="dxa" w:w="3322"/>
          </w:tcPr>
          <w:p>
            <w:pPr>
              <w:pStyle w:val="null3"/>
            </w:pPr>
            <w:r>
              <w:rPr/>
              <w:t xml:space="preserve">提供2022年度经审计的财务报告或提交投标文件截止时间三个月内其基本账户开户银行出具的资信证明（以上两种形式的资料提供任何一种即可）； </w:t>
            </w:r>
          </w:p>
        </w:tc>
        <w:tc>
          <w:tcPr>
            <w:tcW w:type="dxa" w:w="1661"/>
          </w:tcPr>
          <w:p>
            <w:pPr>
              <w:pStyle w:val="null3"/>
            </w:pPr>
            <w:r>
              <w:rPr/>
              <w:t>资格证明资料</w:t>
            </w:r>
          </w:p>
        </w:tc>
      </w:tr>
      <w:tr>
        <w:tc>
          <w:tcPr>
            <w:tcW w:type="dxa" w:w="831"/>
          </w:tcPr>
          <w:p>
            <w:pPr>
              <w:pStyle w:val="null3"/>
            </w:pPr>
            <w:r>
              <w:rPr/>
              <w:t>10</w:t>
            </w:r>
          </w:p>
        </w:tc>
        <w:tc>
          <w:tcPr>
            <w:tcW w:type="dxa" w:w="2492"/>
          </w:tcPr>
          <w:p>
            <w:pPr>
              <w:pStyle w:val="null3"/>
            </w:pPr>
            <w:r>
              <w:rPr/>
              <w:t>无重大违法记录书面声明</w:t>
            </w:r>
          </w:p>
        </w:tc>
        <w:tc>
          <w:tcPr>
            <w:tcW w:type="dxa" w:w="3322"/>
          </w:tcPr>
          <w:p>
            <w:pPr>
              <w:pStyle w:val="null3"/>
            </w:pPr>
            <w:r>
              <w:rPr/>
              <w:t>参加政府采购活动前3年内，在经营活动中没有重大违法记录（提供书面声明）；</w:t>
            </w:r>
          </w:p>
        </w:tc>
        <w:tc>
          <w:tcPr>
            <w:tcW w:type="dxa" w:w="1661"/>
          </w:tcPr>
          <w:p>
            <w:pPr>
              <w:pStyle w:val="null3"/>
            </w:pPr>
            <w:r>
              <w:rPr/>
              <w:t>资格证明资料</w:t>
            </w:r>
          </w:p>
        </w:tc>
      </w:tr>
      <w:tr>
        <w:tc>
          <w:tcPr>
            <w:tcW w:type="dxa" w:w="831"/>
          </w:tcPr>
          <w:p>
            <w:pPr>
              <w:pStyle w:val="null3"/>
            </w:pPr>
            <w:r>
              <w:rPr/>
              <w:t>11</w:t>
            </w:r>
          </w:p>
        </w:tc>
        <w:tc>
          <w:tcPr>
            <w:tcW w:type="dxa" w:w="2492"/>
          </w:tcPr>
          <w:p>
            <w:pPr>
              <w:pStyle w:val="null3"/>
            </w:pPr>
            <w:r>
              <w:rPr/>
              <w:t>履行能力</w:t>
            </w:r>
          </w:p>
        </w:tc>
        <w:tc>
          <w:tcPr>
            <w:tcW w:type="dxa" w:w="3322"/>
          </w:tcPr>
          <w:p>
            <w:pPr>
              <w:pStyle w:val="null3"/>
            </w:pPr>
            <w:r>
              <w:rPr/>
              <w:t>提供具有履行本合同所必需的设备和专业技术能力的承诺。（提供承诺书）</w:t>
            </w:r>
          </w:p>
        </w:tc>
        <w:tc>
          <w:tcPr>
            <w:tcW w:type="dxa" w:w="1661"/>
          </w:tcPr>
          <w:p>
            <w:pPr>
              <w:pStyle w:val="null3"/>
            </w:pPr>
            <w:r>
              <w:rPr/>
              <w:t>资格证明资料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法定代表人授权书或法定代表人身份证明</w:t>
            </w:r>
          </w:p>
        </w:tc>
        <w:tc>
          <w:tcPr>
            <w:tcW w:type="dxa" w:w="3322"/>
          </w:tcPr>
          <w:p>
            <w:pPr>
              <w:pStyle w:val="null3"/>
            </w:pPr>
            <w:r>
              <w:rPr/>
              <w:t>法定代表人授权书（附法定代表人、被授权人身份证复印件）及被授权人身份证复印件（法定代表人直接参加招标，须提供法定代表人身份证明及身份证复印件）；非法人单位参照执行。</w:t>
            </w:r>
          </w:p>
        </w:tc>
        <w:tc>
          <w:tcPr>
            <w:tcW w:type="dxa" w:w="1661"/>
          </w:tcPr>
          <w:p>
            <w:pPr>
              <w:pStyle w:val="null3"/>
            </w:pPr>
            <w:r>
              <w:rPr/>
              <w:t>资格证明资料</w:t>
            </w:r>
          </w:p>
        </w:tc>
      </w:tr>
      <w:tr>
        <w:tc>
          <w:tcPr>
            <w:tcW w:type="dxa" w:w="831"/>
          </w:tcPr>
          <w:p>
            <w:pPr>
              <w:pStyle w:val="null3"/>
            </w:pPr>
            <w:r>
              <w:rPr/>
              <w:t>2</w:t>
            </w:r>
          </w:p>
        </w:tc>
        <w:tc>
          <w:tcPr>
            <w:tcW w:type="dxa" w:w="2492"/>
          </w:tcPr>
          <w:p>
            <w:pPr>
              <w:pStyle w:val="null3"/>
            </w:pPr>
            <w:r>
              <w:rPr/>
              <w:t>资质要求</w:t>
            </w:r>
          </w:p>
        </w:tc>
        <w:tc>
          <w:tcPr>
            <w:tcW w:type="dxa" w:w="3322"/>
          </w:tcPr>
          <w:p>
            <w:pPr>
              <w:pStyle w:val="null3"/>
            </w:pPr>
            <w:r>
              <w:rPr/>
              <w:t>供应商须提供二类以上（含二类）汽车维修资质证明材料；</w:t>
            </w:r>
          </w:p>
        </w:tc>
        <w:tc>
          <w:tcPr>
            <w:tcW w:type="dxa" w:w="1661"/>
          </w:tcPr>
          <w:p>
            <w:pPr>
              <w:pStyle w:val="null3"/>
            </w:pPr>
            <w:r>
              <w:rPr/>
              <w:t>资格证明资料</w:t>
            </w:r>
          </w:p>
        </w:tc>
      </w:tr>
      <w:tr>
        <w:tc>
          <w:tcPr>
            <w:tcW w:type="dxa" w:w="831"/>
          </w:tcPr>
          <w:p>
            <w:pPr>
              <w:pStyle w:val="null3"/>
            </w:pPr>
            <w:r>
              <w:rPr/>
              <w:t>3</w:t>
            </w:r>
          </w:p>
        </w:tc>
        <w:tc>
          <w:tcPr>
            <w:tcW w:type="dxa" w:w="2492"/>
          </w:tcPr>
          <w:p>
            <w:pPr>
              <w:pStyle w:val="null3"/>
            </w:pPr>
            <w:r>
              <w:rPr/>
              <w:t>信用查询</w:t>
            </w:r>
          </w:p>
        </w:tc>
        <w:tc>
          <w:tcPr>
            <w:tcW w:type="dxa" w:w="3322"/>
          </w:tcPr>
          <w:p>
            <w:pPr>
              <w:pStyle w:val="null3"/>
            </w:pPr>
            <w:r>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t>资格证明资料</w:t>
            </w:r>
          </w:p>
        </w:tc>
      </w:tr>
      <w:tr>
        <w:tc>
          <w:tcPr>
            <w:tcW w:type="dxa" w:w="831"/>
          </w:tcPr>
          <w:p>
            <w:pPr>
              <w:pStyle w:val="null3"/>
            </w:pPr>
            <w:r>
              <w:rPr/>
              <w:t>4</w:t>
            </w:r>
          </w:p>
        </w:tc>
        <w:tc>
          <w:tcPr>
            <w:tcW w:type="dxa" w:w="2492"/>
          </w:tcPr>
          <w:p>
            <w:pPr>
              <w:pStyle w:val="null3"/>
            </w:pPr>
            <w:r>
              <w:rPr/>
              <w:t>关联关系</w:t>
            </w:r>
          </w:p>
        </w:tc>
        <w:tc>
          <w:tcPr>
            <w:tcW w:type="dxa" w:w="3322"/>
          </w:tcPr>
          <w:p>
            <w:pPr>
              <w:pStyle w:val="null3"/>
            </w:pPr>
            <w:r>
              <w:rPr/>
              <w:t>单位负责人为同一人或者存在直接控股、管理关系的不同投标人，不得参加同一合同项下的政府采购活动；（提供承诺书）</w:t>
            </w:r>
          </w:p>
        </w:tc>
        <w:tc>
          <w:tcPr>
            <w:tcW w:type="dxa" w:w="1661"/>
          </w:tcPr>
          <w:p>
            <w:pPr>
              <w:pStyle w:val="null3"/>
            </w:pPr>
            <w:r>
              <w:rPr/>
              <w:t>资格证明资料</w:t>
            </w:r>
          </w:p>
        </w:tc>
      </w:tr>
      <w:tr>
        <w:tc>
          <w:tcPr>
            <w:tcW w:type="dxa" w:w="831"/>
          </w:tcPr>
          <w:p>
            <w:pPr>
              <w:pStyle w:val="null3"/>
            </w:pPr>
            <w:r>
              <w:rPr/>
              <w:t>5</w:t>
            </w:r>
          </w:p>
        </w:tc>
        <w:tc>
          <w:tcPr>
            <w:tcW w:type="dxa" w:w="2492"/>
          </w:tcPr>
          <w:p>
            <w:pPr>
              <w:pStyle w:val="null3"/>
            </w:pPr>
            <w:r>
              <w:rPr/>
              <w:t>其他要求</w:t>
            </w:r>
          </w:p>
        </w:tc>
        <w:tc>
          <w:tcPr>
            <w:tcW w:type="dxa" w:w="3322"/>
          </w:tcPr>
          <w:p>
            <w:pPr>
              <w:pStyle w:val="null3"/>
            </w:pPr>
            <w:r>
              <w:rPr/>
              <w:t xml:space="preserve">本项目不接受联合体投标；（提供承诺书） </w:t>
            </w:r>
          </w:p>
        </w:tc>
        <w:tc>
          <w:tcPr>
            <w:tcW w:type="dxa" w:w="1661"/>
          </w:tcPr>
          <w:p>
            <w:pPr>
              <w:pStyle w:val="null3"/>
            </w:pPr>
            <w:r>
              <w:rPr/>
              <w:t>资格证明资料</w:t>
            </w:r>
          </w:p>
        </w:tc>
      </w:tr>
      <w:tr>
        <w:tc>
          <w:tcPr>
            <w:tcW w:type="dxa" w:w="831"/>
          </w:tcPr>
          <w:p>
            <w:pPr>
              <w:pStyle w:val="null3"/>
            </w:pPr>
            <w:r>
              <w:rPr/>
              <w:t>6</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t>资格证明资料</w:t>
            </w:r>
          </w:p>
        </w:tc>
      </w:tr>
      <w:tr>
        <w:tc>
          <w:tcPr>
            <w:tcW w:type="dxa" w:w="831"/>
          </w:tcPr>
          <w:p>
            <w:pPr>
              <w:pStyle w:val="null3"/>
            </w:pPr>
            <w:r>
              <w:rPr/>
              <w:t>7</w:t>
            </w:r>
          </w:p>
        </w:tc>
        <w:tc>
          <w:tcPr>
            <w:tcW w:type="dxa" w:w="2492"/>
          </w:tcPr>
          <w:p>
            <w:pPr>
              <w:pStyle w:val="null3"/>
            </w:pPr>
            <w:r>
              <w:rPr/>
              <w:t>税收缴纳证明</w:t>
            </w:r>
          </w:p>
        </w:tc>
        <w:tc>
          <w:tcPr>
            <w:tcW w:type="dxa" w:w="3322"/>
          </w:tcPr>
          <w:p>
            <w:pPr>
              <w:pStyle w:val="null3"/>
            </w:pPr>
            <w:r>
              <w:rPr/>
              <w:t xml:space="preserve">提交响应文件截止时间前6个月内至少一个月的纳税证明或完税证明，纳税证明或完税证明上应有代收机构或税务机关的公章或业务专用章，(依法免税的供应商应提供相应文件证明)； </w:t>
            </w:r>
          </w:p>
        </w:tc>
        <w:tc>
          <w:tcPr>
            <w:tcW w:type="dxa" w:w="1661"/>
          </w:tcPr>
          <w:p>
            <w:pPr>
              <w:pStyle w:val="null3"/>
            </w:pPr>
            <w:r>
              <w:rPr/>
              <w:t>资格证明资料</w:t>
            </w:r>
          </w:p>
        </w:tc>
      </w:tr>
      <w:tr>
        <w:tc>
          <w:tcPr>
            <w:tcW w:type="dxa" w:w="831"/>
          </w:tcPr>
          <w:p>
            <w:pPr>
              <w:pStyle w:val="null3"/>
            </w:pPr>
            <w:r>
              <w:rPr/>
              <w:t>8</w:t>
            </w:r>
          </w:p>
        </w:tc>
        <w:tc>
          <w:tcPr>
            <w:tcW w:type="dxa" w:w="2492"/>
          </w:tcPr>
          <w:p>
            <w:pPr>
              <w:pStyle w:val="null3"/>
            </w:pPr>
            <w:r>
              <w:rPr/>
              <w:t>社会保障资金缴纳证明</w:t>
            </w:r>
          </w:p>
        </w:tc>
        <w:tc>
          <w:tcPr>
            <w:tcW w:type="dxa" w:w="3322"/>
          </w:tcPr>
          <w:p>
            <w:pPr>
              <w:pStyle w:val="null3"/>
            </w:pPr>
            <w:r>
              <w:rPr/>
              <w:t xml:space="preserve">提供投标截止日前6个月内已缴存的至少一个月的社会保障资金缴存单据或社保机构开具的社会保险参保缴费情况证明，依法不需要缴纳社会保障资金的单位应提供相关证明材料； </w:t>
            </w:r>
          </w:p>
        </w:tc>
        <w:tc>
          <w:tcPr>
            <w:tcW w:type="dxa" w:w="1661"/>
          </w:tcPr>
          <w:p>
            <w:pPr>
              <w:pStyle w:val="null3"/>
            </w:pPr>
            <w:r>
              <w:rPr/>
              <w:t>资格证明资料</w:t>
            </w:r>
          </w:p>
        </w:tc>
      </w:tr>
      <w:tr>
        <w:tc>
          <w:tcPr>
            <w:tcW w:type="dxa" w:w="831"/>
          </w:tcPr>
          <w:p>
            <w:pPr>
              <w:pStyle w:val="null3"/>
            </w:pPr>
            <w:r>
              <w:rPr/>
              <w:t>9</w:t>
            </w:r>
          </w:p>
        </w:tc>
        <w:tc>
          <w:tcPr>
            <w:tcW w:type="dxa" w:w="2492"/>
          </w:tcPr>
          <w:p>
            <w:pPr>
              <w:pStyle w:val="null3"/>
            </w:pPr>
            <w:r>
              <w:rPr/>
              <w:t>财务状况报告</w:t>
            </w:r>
          </w:p>
        </w:tc>
        <w:tc>
          <w:tcPr>
            <w:tcW w:type="dxa" w:w="3322"/>
          </w:tcPr>
          <w:p>
            <w:pPr>
              <w:pStyle w:val="null3"/>
            </w:pPr>
            <w:r>
              <w:rPr/>
              <w:t xml:space="preserve">提供2022年度经审计的财务报告或提交投标文件截止时间三个月内其基本账户开户银行出具的资信证明（以上两种形式的资料提供任何一种即可）； </w:t>
            </w:r>
          </w:p>
        </w:tc>
        <w:tc>
          <w:tcPr>
            <w:tcW w:type="dxa" w:w="1661"/>
          </w:tcPr>
          <w:p>
            <w:pPr>
              <w:pStyle w:val="null3"/>
            </w:pPr>
            <w:r>
              <w:rPr/>
              <w:t>资格证明资料</w:t>
            </w:r>
          </w:p>
        </w:tc>
      </w:tr>
      <w:tr>
        <w:tc>
          <w:tcPr>
            <w:tcW w:type="dxa" w:w="831"/>
          </w:tcPr>
          <w:p>
            <w:pPr>
              <w:pStyle w:val="null3"/>
            </w:pPr>
            <w:r>
              <w:rPr/>
              <w:t>10</w:t>
            </w:r>
          </w:p>
        </w:tc>
        <w:tc>
          <w:tcPr>
            <w:tcW w:type="dxa" w:w="2492"/>
          </w:tcPr>
          <w:p>
            <w:pPr>
              <w:pStyle w:val="null3"/>
            </w:pPr>
            <w:r>
              <w:rPr/>
              <w:t>无重大违法记录书面声明</w:t>
            </w:r>
          </w:p>
        </w:tc>
        <w:tc>
          <w:tcPr>
            <w:tcW w:type="dxa" w:w="3322"/>
          </w:tcPr>
          <w:p>
            <w:pPr>
              <w:pStyle w:val="null3"/>
            </w:pPr>
            <w:r>
              <w:rPr/>
              <w:t>参加政府采购活动前3年内，在经营活动中没有重大违法记录（提供书面声明）；</w:t>
            </w:r>
          </w:p>
        </w:tc>
        <w:tc>
          <w:tcPr>
            <w:tcW w:type="dxa" w:w="1661"/>
          </w:tcPr>
          <w:p>
            <w:pPr>
              <w:pStyle w:val="null3"/>
            </w:pPr>
            <w:r>
              <w:rPr/>
              <w:t>资格证明资料</w:t>
            </w:r>
          </w:p>
        </w:tc>
      </w:tr>
      <w:tr>
        <w:tc>
          <w:tcPr>
            <w:tcW w:type="dxa" w:w="831"/>
          </w:tcPr>
          <w:p>
            <w:pPr>
              <w:pStyle w:val="null3"/>
            </w:pPr>
            <w:r>
              <w:rPr/>
              <w:t>11</w:t>
            </w:r>
          </w:p>
        </w:tc>
        <w:tc>
          <w:tcPr>
            <w:tcW w:type="dxa" w:w="2492"/>
          </w:tcPr>
          <w:p>
            <w:pPr>
              <w:pStyle w:val="null3"/>
            </w:pPr>
            <w:r>
              <w:rPr/>
              <w:t>履行能力</w:t>
            </w:r>
          </w:p>
        </w:tc>
        <w:tc>
          <w:tcPr>
            <w:tcW w:type="dxa" w:w="3322"/>
          </w:tcPr>
          <w:p>
            <w:pPr>
              <w:pStyle w:val="null3"/>
            </w:pPr>
            <w:r>
              <w:rPr/>
              <w:t>提供具有履行本合同所必需的设备和专业技术能力的承诺。（提供承诺书）</w:t>
            </w:r>
          </w:p>
        </w:tc>
        <w:tc>
          <w:tcPr>
            <w:tcW w:type="dxa" w:w="1661"/>
          </w:tcPr>
          <w:p>
            <w:pPr>
              <w:pStyle w:val="null3"/>
            </w:pPr>
            <w:r>
              <w:rPr/>
              <w:t>资格证明资料</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响应文件封面 资格证明资料 开标一览表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（1）响应文件的签字盖章：响应文件上法定代表人或其委托代理人的签字齐全并加盖单位章； （2）响应文件格式：应符合响应文件要求； （3）报价唯一：只能有一个有效报价，不得提交选择性报价。</w:t>
            </w:r>
          </w:p>
        </w:tc>
        <w:tc>
          <w:tcPr>
            <w:tcW w:type="dxa" w:w="1661"/>
          </w:tcPr>
          <w:p>
            <w:pPr>
              <w:pStyle w:val="null3"/>
            </w:pPr>
            <w:r>
              <w:rPr/>
              <w:t>响应文件封面 资格证明资料 开标一览表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响应文件内容：响应文件内容齐全、无遗漏</w:t>
            </w:r>
          </w:p>
        </w:tc>
        <w:tc>
          <w:tcPr>
            <w:tcW w:type="dxa" w:w="1661"/>
          </w:tcPr>
          <w:p>
            <w:pPr>
              <w:pStyle w:val="null3"/>
            </w:pPr>
            <w:r>
              <w:rPr/>
              <w:t>响应文件封面 资格证明资料 开标一览表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（1）对采购文件响应程度：要求全面响应，不能有任何采购人不能接受的附加条件； （2）拟提供服务响应程度；应满足采购文件提出的技术和服务要求。 （3）服务期：应满足采购文件中要求； （4）服务地点：应满足采购文件中要求； （5）投标有效期：应满足采购文件中的规定。</w:t>
            </w:r>
          </w:p>
        </w:tc>
        <w:tc>
          <w:tcPr>
            <w:tcW w:type="dxa" w:w="1661"/>
          </w:tcPr>
          <w:p>
            <w:pPr>
              <w:pStyle w:val="null3"/>
            </w:pPr>
            <w:r>
              <w:rPr/>
              <w:t>响应文件封面 资格证明资料 开标一览表 服务内容及服务邀请应答表 中小企业声明函 残疾人福利性单位声明函 商务应答表 服务方案 标的清单 报价表 响应函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资格证明资料 响应文件封面 开标一览表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（1）响应文件的签字盖章：响应文件上法定代表人或其委托代理人的签字齐全并加盖单位章； （2）响应文件格式：应符合响应文件要求； （3）报价唯一：只能有一个有效报价，不得提交选择性报价。</w:t>
            </w:r>
          </w:p>
        </w:tc>
        <w:tc>
          <w:tcPr>
            <w:tcW w:type="dxa" w:w="1661"/>
          </w:tcPr>
          <w:p>
            <w:pPr>
              <w:pStyle w:val="null3"/>
            </w:pPr>
            <w:r>
              <w:rPr/>
              <w:t>响应文件封面 资格证明资料 开标一览表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响应文件内容：响应文件内容齐全、无遗漏</w:t>
            </w:r>
          </w:p>
        </w:tc>
        <w:tc>
          <w:tcPr>
            <w:tcW w:type="dxa" w:w="1661"/>
          </w:tcPr>
          <w:p>
            <w:pPr>
              <w:pStyle w:val="null3"/>
            </w:pPr>
            <w:r>
              <w:rPr/>
              <w:t>响应文件封面 资格证明资料 开标一览表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（1）对采购文件响应程度：要求全面响应，不能有任何采购人不能接受的附加条件； （2）拟提供服务响应程度；应满足采购文件提出的技术和服务要求。 （3）服务期：应满足采购文件中要求； （4）服务地点：应满足采购文件中要求； （5）投标有效期：应满足采购文件中的规定。</w:t>
            </w:r>
          </w:p>
        </w:tc>
        <w:tc>
          <w:tcPr>
            <w:tcW w:type="dxa" w:w="1661"/>
          </w:tcPr>
          <w:p>
            <w:pPr>
              <w:pStyle w:val="null3"/>
            </w:pPr>
            <w:r>
              <w:rPr/>
              <w:t>响应文件封面 资格证明资料 开标一览表 服务内容及服务邀请应答表 中小企业声明函 残疾人福利性单位声明函 商务应答表 服务方案 标的清单 报价表 响应函 监狱企业的证明文件</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pPr>
      <w:r>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w:t>
            </w:r>
          </w:p>
        </w:tc>
        <w:tc>
          <w:tcPr>
            <w:tcW w:type="dxa" w:w="2492"/>
          </w:tcPr>
          <w:p>
            <w:pPr>
              <w:pStyle w:val="null3"/>
            </w:pPr>
            <w:r>
              <w:rPr/>
              <w:t>供应商须提供自2021年1月至今类似项目业绩，以提供的合同或中标通知书为准（以合同签订日期为准或以中标通知书发出时间为准），每提供一份得1分，满分3分。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设备条件及消耗品品质</w:t>
            </w:r>
          </w:p>
        </w:tc>
        <w:tc>
          <w:tcPr>
            <w:tcW w:type="dxa" w:w="2492"/>
          </w:tcPr>
          <w:p>
            <w:pPr>
              <w:pStyle w:val="null3"/>
            </w:pPr>
            <w:r>
              <w:rPr/>
              <w:t>1、维修场地、停车场地、办公区域满足本项目需要，工具、零件、设备清洁。车辆停放整齐，工具、工件摆放有序。按其响应程度计0～5分。 2、检测设备、维修所需设备齐全，数量充足，能充分保障维修高峰期的维修效率（提供相关证明材料）。按其响应程度计0～5分。 3、车辆维修所用的消耗品品质满足磋商文件要求。按其响应程度计0～5分。 4、提供车辆的维修设备、设施等证明资料和说明。按其响应程度计0～5分。 5、设备及配品配件货源渠道正常，有质量保证，并提供相关证明资料。按其响应程度计0～5分。</w:t>
            </w:r>
          </w:p>
        </w:tc>
        <w:tc>
          <w:tcPr>
            <w:tcW w:type="dxa" w:w="831"/>
          </w:tcPr>
          <w:p>
            <w:pPr>
              <w:pStyle w:val="null3"/>
              <w:jc w:val="right"/>
            </w:pPr>
            <w:r>
              <w:rPr/>
              <w:t>25.00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车辆应急预案措施</w:t>
            </w:r>
          </w:p>
        </w:tc>
        <w:tc>
          <w:tcPr>
            <w:tcW w:type="dxa" w:w="2492"/>
          </w:tcPr>
          <w:p>
            <w:pPr>
              <w:pStyle w:val="null3"/>
            </w:pPr>
            <w:r>
              <w:rPr/>
              <w:t>1、具备项目所需的故障车辆路途施救措施，且措施有效可行。按其响应程度计0～4分。 2、对事故车辆的维修响应时间。按其响应程度计0～4分。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安全环境保护措施</w:t>
            </w:r>
          </w:p>
        </w:tc>
        <w:tc>
          <w:tcPr>
            <w:tcW w:type="dxa" w:w="2492"/>
          </w:tcPr>
          <w:p>
            <w:pPr>
              <w:pStyle w:val="null3"/>
            </w:pPr>
            <w:r>
              <w:rPr/>
              <w:t>1、企业应有各项规章制度，各工种、各类设备的安全操作规程，并将规程明示在相应的工位或设备处。按其响应程度计0～4分。 2、使用、存储有毒、易燃、易爆物品，腐蚀剂，压力容器等均有相应的安全防护措施和设施。按其响应程度计0～4分。 3、作业环境以及按生产工艺配置的处理废油、废液、废气等的设施，应符合有关规定。按其响应程度计0～4分。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组织管理</w:t>
            </w:r>
          </w:p>
        </w:tc>
        <w:tc>
          <w:tcPr>
            <w:tcW w:type="dxa" w:w="2492"/>
          </w:tcPr>
          <w:p>
            <w:pPr>
              <w:pStyle w:val="null3"/>
            </w:pPr>
            <w:r>
              <w:rPr/>
              <w:t>1、应具有规范的业务流程，并明示业务受理程序、服务承诺、处理用户意见制度。按其响应程度计0～6分。 2、验收应具有所修车型的维修技术资料及工艺文件，确保完整有效并能及时更新。按其响应程度计0～6分。 3、应具有不低于行业规定的质量保证承诺、设备管理与维护、人员技术培训等制度。按其响应程度计0～6分。 4、应具有健全的经营管理体系，设置①车辆维修、②业务受理、③质量检验、④文件资料管理、⑤修前检验记录、⑥配件管理、⑦仪器设备管理、⑧价格结算等，内容包含但不限于岗位职责、配置人员数量、从业年限等，按其响应程度计0～24分。评审标准： （1）完善性：方案必须全面，对评审内容中的各项要求有详细阐述； （2）可实施性：切合本项目实际情况，提出步骤清晰、合理的方案； （3）针对性：方案能够紧扣项目实际情况，内容科学合理。 上述9项评审内容全部满足评审标准得24分，每有一个评审内容缺项扣3分，每有一项评审内容存在缺陷，扣2分，扣完为止。 说明：缺陷是指内容没有结合项目实际需求、虽有内容但不完善、不全面、内容表述前后不一致、套用其他项目方案或与项目需求不匹配及其他不利于项目实施的等任意一种情形。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t>42.00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本项目报价以下浮(%)形式时，供应商的报价%最高的，即为磋商基准价，其价格分为满分。其他供应商的磋商报价统一按照下列公式计算： 磋商报价得分=[（1-磋商基准价）/（1-最后磋商报价）]×价格权值×100 注：磋商小组三分之二以上成员认为某磋商报价有低于成本价嫌疑的，涉嫌不正当竞争的，为无效报价。</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开标一览表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w:t>
            </w:r>
          </w:p>
        </w:tc>
        <w:tc>
          <w:tcPr>
            <w:tcW w:type="dxa" w:w="2492"/>
          </w:tcPr>
          <w:p>
            <w:pPr>
              <w:pStyle w:val="null3"/>
            </w:pPr>
            <w:r>
              <w:rPr/>
              <w:t>供应商须提供自2021年1月至今类似项目业绩，以提供的合同或中标通知书为准（以合同签订日期为准或以中标通知书发出时间为准），每提供一份得1分，满分3分。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设备条件及消耗品品质</w:t>
            </w:r>
          </w:p>
        </w:tc>
        <w:tc>
          <w:tcPr>
            <w:tcW w:type="dxa" w:w="2492"/>
          </w:tcPr>
          <w:p>
            <w:pPr>
              <w:pStyle w:val="null3"/>
            </w:pPr>
            <w:r>
              <w:rPr/>
              <w:t>1、维修场地、停车场地、办公区域满足本项目需要，工具、零件、设备清洁。车辆停放整齐，工具、工件摆放有序。按其响应程度计0～5分。 2、检测设备、维修所需设备齐全，数量充足，能充分保障维修高峰期的维修效率（提供相关证明材料）。按其响应程度计0～5分。 3、车辆维修所用的消耗品品质满足磋商文件要求。按其响应程度计0～5分。 4、提供车辆的维修设备、设施等证明资料和说明。按其响应程度计0～5分。 5、设备及配品配件货源渠道正常，有质量保证，并提供相关证明资料。按其响应程度计0～5分。</w:t>
            </w:r>
          </w:p>
        </w:tc>
        <w:tc>
          <w:tcPr>
            <w:tcW w:type="dxa" w:w="831"/>
          </w:tcPr>
          <w:p>
            <w:pPr>
              <w:pStyle w:val="null3"/>
              <w:jc w:val="right"/>
            </w:pPr>
            <w:r>
              <w:rPr/>
              <w:t>25.00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车辆应急预案措施</w:t>
            </w:r>
          </w:p>
        </w:tc>
        <w:tc>
          <w:tcPr>
            <w:tcW w:type="dxa" w:w="2492"/>
          </w:tcPr>
          <w:p>
            <w:pPr>
              <w:pStyle w:val="null3"/>
            </w:pPr>
            <w:r>
              <w:rPr/>
              <w:t>1、具备项目所需的故障车辆路途施救措施，且措施有效可行。按其响应程度计0～4分。 2、对事故车辆的维修响应时间。按其响应程度计0～4分。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安全环境保护措施</w:t>
            </w:r>
          </w:p>
        </w:tc>
        <w:tc>
          <w:tcPr>
            <w:tcW w:type="dxa" w:w="2492"/>
          </w:tcPr>
          <w:p>
            <w:pPr>
              <w:pStyle w:val="null3"/>
            </w:pPr>
            <w:r>
              <w:rPr/>
              <w:t>1、企业应有各项规章制度，各工种、各类设备的安全操作规程，并将规程明示在相应的工位或设备处。按其响应程度计0～4分。 2、使用、存储有毒、易燃、易爆物品，腐蚀剂，压力容器等均有相应的安全防护措施和设施。按其响应程度计0～4分。 3、作业环境以及按生产工艺配置的处理废油、废液、废气等的设施，应符合有关规定。按其响应程度计0～4分。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组织管理</w:t>
            </w:r>
          </w:p>
        </w:tc>
        <w:tc>
          <w:tcPr>
            <w:tcW w:type="dxa" w:w="2492"/>
          </w:tcPr>
          <w:p>
            <w:pPr>
              <w:pStyle w:val="null3"/>
            </w:pPr>
            <w:r>
              <w:rPr/>
              <w:t>1、应具有规范的业务流程，并明示业务受理程序、服务承诺、处理用户意见制度。按其响应程度计0～6分。 2、验收应具有所修车型的维修技术资料及工艺文件，确保完整有效并能及时更新。按其响应程度计0～6分。 3、应具有不低于行业规定的质量保证承诺、设备管理与维护、人员技术培训等制度。按其响应程度计0～6分。 4、应具有健全的经营管理体系，设置①车辆维修、②业务受理、③质量检验、④文件资料管理、⑤修前检验记录、⑥配件管理、⑦仪器设备管理、⑧价格结算等，内容包含但不限于岗位职责、配置人员数量、从业年限等，按其响应程度计0～24分。评审标准： （1）完善性：方案必须全面，对评审内容中的各项要求有详细阐述； （2）可实施性：切合本项目实际情况，提出步骤清晰、合理的方案； （3）针对性：方案能够紧扣项目实际情况，内容科学合理。 上述9项评审内容全部满足评审标准得24分，每有一个评审内容缺项扣3分，每有一项评审内容存在缺陷，扣2分，扣完为止。 说明：缺陷是指内容没有结合项目实际需求、虽有内容但不完善、不全面、内容表述前后不一致、套用其他项目方案或与项目需求不匹配及其他不利于项目实施的等任意一种情形。</w:t>
            </w:r>
          </w:p>
        </w:tc>
        <w:tc>
          <w:tcPr>
            <w:tcW w:type="dxa" w:w="831"/>
          </w:tcPr>
          <w:p>
            <w:pPr>
              <w:pStyle w:val="null3"/>
              <w:jc w:val="right"/>
            </w:pPr>
            <w:r>
              <w:rPr/>
              <w:t>42.00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本项目报价以下浮(%)形式时，供应商的报价%最高的，即为磋商基准价，其价格分为满分。其他供应商的磋商报价统一按照下列公式计算： 磋商报价得分=[（1-磋商基准价）/（1-最后磋商报价）]×价格权值×100 注：磋商小组三分之二以上成员认为某磋商报价有低于成本价嫌疑的，涉嫌不正当竞争的，为无效报价。</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开标一览表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详见附件：资格证明资料</w:t>
      </w:r>
    </w:p>
    <w:p>
      <w:pPr>
        <w:pStyle w:val="null3"/>
        <w:ind w:firstLine="960"/>
      </w:pPr>
      <w:r>
        <w:rPr/>
        <w:t>详见附件：开标一览表</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详见附件：资格证明资料</w:t>
      </w:r>
    </w:p>
    <w:p>
      <w:pPr>
        <w:pStyle w:val="null3"/>
        <w:ind w:firstLine="960"/>
      </w:pPr>
      <w:r>
        <w:rPr/>
        <w:t>详见附件：开标一览表</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