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版本号：SXDXYZB2025-008-220251011001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高陵区既有住宅小区围墙内雨污分流建设改造项目设计服务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SXDXYZB2025-008-2</w:t>
      </w:r>
      <w:r>
        <w:br/>
      </w:r>
      <w:r>
        <w:br/>
      </w:r>
      <w:r>
        <w:br/>
      </w:r>
    </w:p>
    <w:p>
      <w:pPr>
        <w:pStyle w:val="null3"/>
        <w:jc w:val="center"/>
        <w:outlineLvl w:val="2"/>
      </w:pPr>
      <w:r>
        <w:rPr>
          <w:rFonts w:ascii="仿宋_GB2312" w:hAnsi="仿宋_GB2312" w:cs="仿宋_GB2312" w:eastAsia="仿宋_GB2312"/>
          <w:sz w:val="28"/>
          <w:b/>
        </w:rPr>
        <w:t>西安市高陵区住房和城乡建设局</w:t>
      </w:r>
    </w:p>
    <w:p>
      <w:pPr>
        <w:pStyle w:val="null3"/>
        <w:jc w:val="center"/>
        <w:outlineLvl w:val="2"/>
      </w:pPr>
      <w:r>
        <w:rPr>
          <w:rFonts w:ascii="仿宋_GB2312" w:hAnsi="仿宋_GB2312" w:cs="仿宋_GB2312" w:eastAsia="仿宋_GB2312"/>
          <w:sz w:val="28"/>
          <w:b/>
        </w:rPr>
        <w:t>陕西德欣源项目管理有限公司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2025年10月11日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陕西德欣源项目管理有限公司</w:t>
      </w:r>
      <w:r>
        <w:rPr>
          <w:rFonts w:ascii="仿宋_GB2312" w:hAnsi="仿宋_GB2312" w:cs="仿宋_GB2312" w:eastAsia="仿宋_GB2312"/>
        </w:rPr>
        <w:t>（以下简称“代理机构”）受</w:t>
      </w:r>
      <w:r>
        <w:rPr>
          <w:rFonts w:ascii="仿宋_GB2312" w:hAnsi="仿宋_GB2312" w:cs="仿宋_GB2312" w:eastAsia="仿宋_GB2312"/>
        </w:rPr>
        <w:t>西安市高陵区住房和城乡建设局</w:t>
      </w:r>
      <w:r>
        <w:rPr>
          <w:rFonts w:ascii="仿宋_GB2312" w:hAnsi="仿宋_GB2312" w:cs="仿宋_GB2312" w:eastAsia="仿宋_GB2312"/>
        </w:rPr>
        <w:t>委托，拟对</w:t>
      </w:r>
      <w:r>
        <w:rPr>
          <w:rFonts w:ascii="仿宋_GB2312" w:hAnsi="仿宋_GB2312" w:cs="仿宋_GB2312" w:eastAsia="仿宋_GB2312"/>
        </w:rPr>
        <w:t>高陵区既有住宅小区围墙内雨污分流建设改造项目设计服务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SXDXYZB2025-008-2</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高陵区既有住宅小区围墙内雨污分流建设改造项目设计服务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高陵区既有住宅小区地下排水管道雨污分流整改项目的施工图设计服务。</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采购包1（高陵区既有住宅小区围墙内雨污分流建设改造项目设计服务）：属于专门面向中小企业采购。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1、营业执照等主体证明：具有独立承担民事责任的能力，提供法人或者其他组织的营业执照等国家规定的证明文件，自然人参与的提供其身份证明。</w:t>
      </w:r>
    </w:p>
    <w:p>
      <w:pPr>
        <w:pStyle w:val="null3"/>
      </w:pPr>
      <w:r>
        <w:rPr>
          <w:rFonts w:ascii="仿宋_GB2312" w:hAnsi="仿宋_GB2312" w:cs="仿宋_GB2312" w:eastAsia="仿宋_GB2312"/>
        </w:rPr>
        <w:t>2、财务状况报告（任选其一）：财务状况报告（任选其一）①提供经审计的2023年或2024年的财务审计报告（成立时间至提交响应文件截止时间不足一年的可提供成立后任意时段的资产负债表）；②提交响应文件截止时间三个月内其基本账户开户银行出具的资信证明（附基本存款账户信息）。</w:t>
      </w:r>
    </w:p>
    <w:p>
      <w:pPr>
        <w:pStyle w:val="null3"/>
      </w:pPr>
      <w:r>
        <w:rPr>
          <w:rFonts w:ascii="仿宋_GB2312" w:hAnsi="仿宋_GB2312" w:cs="仿宋_GB2312" w:eastAsia="仿宋_GB2312"/>
        </w:rPr>
        <w:t>3、税收缴纳证明：提交响应文件截止时间前一年内至少一个月的纳税证明或完税证明（增值税、营业税、企业所得税至少提供一种），纳税证明或完税证明上应有代收机构或税务机关的公章或业务专用章。依法免税的单位应提供相关证明材料。</w:t>
      </w:r>
    </w:p>
    <w:p>
      <w:pPr>
        <w:pStyle w:val="null3"/>
      </w:pPr>
      <w:r>
        <w:rPr>
          <w:rFonts w:ascii="仿宋_GB2312" w:hAnsi="仿宋_GB2312" w:cs="仿宋_GB2312" w:eastAsia="仿宋_GB2312"/>
        </w:rPr>
        <w:t>4、社会保障资金缴纳证明：提交响应文件截止时间前一年内至少一个月的社会保障资金缴存单据或社保机构开具的社会保险参保缴费情况证明，单据或证明上应有社保机构或代收机构的公章或业务专用章。依法不需要缴纳社会保障资金的单位应提供相关证明材料。 供应商应提交的相关资格证明材料</w:t>
      </w:r>
    </w:p>
    <w:p>
      <w:pPr>
        <w:pStyle w:val="null3"/>
      </w:pPr>
      <w:r>
        <w:rPr>
          <w:rFonts w:ascii="仿宋_GB2312" w:hAnsi="仿宋_GB2312" w:cs="仿宋_GB2312" w:eastAsia="仿宋_GB2312"/>
        </w:rPr>
        <w:t>5、具有履行合同所必需的设备和专业技术能力：出具具备履行合同所必需的设备和专业技术能力的书面声明。</w:t>
      </w:r>
    </w:p>
    <w:p>
      <w:pPr>
        <w:pStyle w:val="null3"/>
      </w:pPr>
      <w:r>
        <w:rPr>
          <w:rFonts w:ascii="仿宋_GB2312" w:hAnsi="仿宋_GB2312" w:cs="仿宋_GB2312" w:eastAsia="仿宋_GB2312"/>
        </w:rPr>
        <w:t>6、信用查询：供应商不得为“信用中国”网站(http://www.creditchina.gov.cn)列入“失信被执行人（页面跳转至“中国执行信息公开网”http://zxgk.court.gov.cn/shixin/）、重大税收违法失信主体”的投标人；不得为中国政府采购网(http://www.ccgp.gov.cn)“政府采购严重违法失信行为记录名单”中的投标人。</w:t>
      </w:r>
    </w:p>
    <w:p>
      <w:pPr>
        <w:pStyle w:val="null3"/>
      </w:pPr>
      <w:r>
        <w:rPr>
          <w:rFonts w:ascii="仿宋_GB2312" w:hAnsi="仿宋_GB2312" w:cs="仿宋_GB2312" w:eastAsia="仿宋_GB2312"/>
        </w:rPr>
        <w:t>7、法定代表人身份证明/法定代表人授权委托书：如授权代表参与需提供法定代表人授权书（附法定代表人及被授权人身份证复印件），如法定代表人直接参与须提交法定代表人身份证明（附法定代表人身份证复印件）。</w:t>
      </w:r>
    </w:p>
    <w:p>
      <w:pPr>
        <w:pStyle w:val="null3"/>
      </w:pPr>
      <w:r>
        <w:rPr>
          <w:rFonts w:ascii="仿宋_GB2312" w:hAnsi="仿宋_GB2312" w:cs="仿宋_GB2312" w:eastAsia="仿宋_GB2312"/>
        </w:rPr>
        <w:t>8、资质要求：具备工程设计综合资质甲级及以上资质或建筑行业（建筑工程）专业设计乙级及以上资质或市政行业工程设计乙级及以上资质或市政行业（排水工程）专业设计乙级及以上资质。</w:t>
      </w:r>
    </w:p>
    <w:p>
      <w:pPr>
        <w:pStyle w:val="null3"/>
      </w:pPr>
      <w:r>
        <w:rPr>
          <w:rFonts w:ascii="仿宋_GB2312" w:hAnsi="仿宋_GB2312" w:cs="仿宋_GB2312" w:eastAsia="仿宋_GB2312"/>
        </w:rPr>
        <w:t>9、项目负责人资格要求：拟派项目负责人须具备一级注册建筑师资格或一级注册结构师资格或注册公用设备工程师及以上资格。</w:t>
      </w:r>
    </w:p>
    <w:p>
      <w:pPr>
        <w:pStyle w:val="null3"/>
      </w:pPr>
      <w:r>
        <w:rPr>
          <w:rFonts w:ascii="仿宋_GB2312" w:hAnsi="仿宋_GB2312" w:cs="仿宋_GB2312" w:eastAsia="仿宋_GB2312"/>
        </w:rPr>
        <w:t>10、不接受联合体相关要求：本项目不接受联合体响应，不允许分包。</w:t>
      </w:r>
    </w:p>
    <w:p>
      <w:pPr>
        <w:pStyle w:val="null3"/>
      </w:pPr>
      <w:r>
        <w:rPr>
          <w:rFonts w:ascii="仿宋_GB2312" w:hAnsi="仿宋_GB2312" w:cs="仿宋_GB2312" w:eastAsia="仿宋_GB2312"/>
        </w:rPr>
        <w:t>11、关联声明：单位负责人为同一人或者存在直接控股、管理关系的不同供应商，不得同时参加本项目采购活动。</w:t>
      </w:r>
    </w:p>
    <w:p>
      <w:pPr>
        <w:pStyle w:val="null3"/>
      </w:pPr>
      <w:r>
        <w:rPr>
          <w:rFonts w:ascii="仿宋_GB2312" w:hAnsi="仿宋_GB2312" w:cs="仿宋_GB2312" w:eastAsia="仿宋_GB2312"/>
        </w:rPr>
        <w:t>12、落实政府采购政策资格：本项目专门面向中小企业采购（残疾人福利性单位、监狱企业视同小型、微型企业），供应商需提供《中小企业声明函》、《监狱企业的证明文件》或《残疾人福利性单位声明函》）。</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西安市高陵区住房和城乡建设局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西安市高陵区文卫路132号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710200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樊琦</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029-86913317</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陕西德欣源项目管理有限公司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陕西省西安市经济技术开发区文景路一方中港国际B座1701室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王玉</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029-86109738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采购包1：550,000.00元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代理服务费收费标准：招标代理服务费根据《国家发展改革委关于进一步放开建设项目专业服务价格的通知》（发改价格〔2015〕299 号）、国家计委印发的《招标代理服务收费管理暂行办法》（计价格[2002]1980号） 文规定收费标准下浮 20%收费计取。 代理服务费账号信息如下： 公司名称：陕西德欣源项目管理有限公司 开户行：中国建设银行股份有限公司西安凤城七路支行 账号：61050110309109999888</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西安市高陵区住房和城乡建设局</w:t>
      </w:r>
      <w:r>
        <w:rPr>
          <w:rFonts w:ascii="仿宋_GB2312" w:hAnsi="仿宋_GB2312" w:cs="仿宋_GB2312" w:eastAsia="仿宋_GB2312"/>
        </w:rPr>
        <w:t>和</w:t>
      </w:r>
      <w:r>
        <w:rPr>
          <w:rFonts w:ascii="仿宋_GB2312" w:hAnsi="仿宋_GB2312" w:cs="仿宋_GB2312" w:eastAsia="仿宋_GB2312"/>
        </w:rPr>
        <w:t>陕西德欣源项目管理有限公司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西安市高陵区住房和城乡建设局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陕西德欣源项目管理有限公司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西安市高陵区住房和城乡建设局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陕西德欣源项目管理有限公司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根据采购文件规定的验收标准和方法进行验收。</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陕西德欣源项目管理有限公司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陕西德欣源项目管理有限公司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陕西德欣源项目管理有限公司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联系人：王工</w:t>
      </w:r>
    </w:p>
    <w:p>
      <w:pPr>
        <w:pStyle w:val="null3"/>
      </w:pPr>
      <w:r>
        <w:rPr>
          <w:rFonts w:ascii="仿宋_GB2312" w:hAnsi="仿宋_GB2312" w:cs="仿宋_GB2312" w:eastAsia="仿宋_GB2312"/>
        </w:rPr>
        <w:t>联系电话：029-86109738</w:t>
      </w:r>
    </w:p>
    <w:p>
      <w:pPr>
        <w:pStyle w:val="null3"/>
      </w:pPr>
      <w:r>
        <w:rPr>
          <w:rFonts w:ascii="仿宋_GB2312" w:hAnsi="仿宋_GB2312" w:cs="仿宋_GB2312" w:eastAsia="仿宋_GB2312"/>
        </w:rPr>
        <w:t>地址：陕西省西安市经济技术开发区文景路一方中港国际B座1701室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高陵区既有住宅小区地下排水管道雨污分流整改项目的施工图设计服务。</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550,000.00</w:t>
      </w:r>
    </w:p>
    <w:p>
      <w:pPr>
        <w:pStyle w:val="null3"/>
      </w:pPr>
      <w:r>
        <w:rPr>
          <w:rFonts w:ascii="仿宋_GB2312" w:hAnsi="仿宋_GB2312" w:cs="仿宋_GB2312" w:eastAsia="仿宋_GB2312"/>
        </w:rPr>
        <w:t>采购包最高限价（元）: 550,000.00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高陵区既有住宅小区围墙内雨污分流建设改造项目设计服务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550,000.00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标的名称：高陵区既有住宅小区围墙内雨污分流建设改造项目设计服务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b/>
              </w:rPr>
              <w:t>一、</w:t>
            </w:r>
            <w:r>
              <w:rPr>
                <w:rFonts w:ascii="仿宋_GB2312" w:hAnsi="仿宋_GB2312" w:cs="仿宋_GB2312" w:eastAsia="仿宋_GB2312"/>
                <w:b/>
              </w:rPr>
              <w:t>项目概况</w:t>
            </w:r>
          </w:p>
          <w:p>
            <w:pPr>
              <w:pStyle w:val="null3"/>
              <w:ind w:firstLine="400"/>
            </w:pPr>
            <w:r>
              <w:rPr>
                <w:rFonts w:ascii="仿宋_GB2312" w:hAnsi="仿宋_GB2312" w:cs="仿宋_GB2312" w:eastAsia="仿宋_GB2312"/>
              </w:rPr>
              <w:t>高陵区既有住宅小区围墙内雨污分流建设改造项目设计，该项目施工总投资约</w:t>
            </w:r>
            <w:r>
              <w:rPr>
                <w:rFonts w:ascii="仿宋_GB2312" w:hAnsi="仿宋_GB2312" w:cs="仿宋_GB2312" w:eastAsia="仿宋_GB2312"/>
              </w:rPr>
              <w:t>16006300.00元，现委托设计单位对高陵区既有住宅小区地下排水管道雨污分流整改工程的施工图设计服务。</w:t>
            </w:r>
          </w:p>
          <w:p>
            <w:pPr>
              <w:pStyle w:val="null3"/>
              <w:ind w:firstLine="400"/>
            </w:pPr>
            <w:r>
              <w:rPr>
                <w:rFonts w:ascii="仿宋_GB2312" w:hAnsi="仿宋_GB2312" w:cs="仿宋_GB2312" w:eastAsia="仿宋_GB2312"/>
              </w:rPr>
              <w:t>本项目对高陵区鹿苑街道办辖区内的文卫路小区、锦绣新天地、银龙小区、隆枫苑等</w:t>
            </w:r>
            <w:r>
              <w:rPr>
                <w:rFonts w:ascii="仿宋_GB2312" w:hAnsi="仿宋_GB2312" w:cs="仿宋_GB2312" w:eastAsia="仿宋_GB2312"/>
              </w:rPr>
              <w:t xml:space="preserve">34 个老旧小区进行雨污分流改造，规划设计原管道作为污水管道使用，新建雨水管道总长约9Km，配套建设小区绿化、路面回复工程等。    </w:t>
            </w:r>
          </w:p>
          <w:p>
            <w:pPr>
              <w:pStyle w:val="null3"/>
              <w:ind w:firstLine="400"/>
            </w:pPr>
            <w:r>
              <w:rPr>
                <w:rFonts w:ascii="仿宋_GB2312" w:hAnsi="仿宋_GB2312" w:cs="仿宋_GB2312" w:eastAsia="仿宋_GB2312"/>
              </w:rPr>
              <w:t>本项目高陵区鹿苑街道办辖区内</w:t>
            </w:r>
            <w:r>
              <w:rPr>
                <w:rFonts w:ascii="仿宋_GB2312" w:hAnsi="仿宋_GB2312" w:cs="仿宋_GB2312" w:eastAsia="仿宋_GB2312"/>
              </w:rPr>
              <w:t>34个老旧小区：文卫路小区、锦绣新天地、银龙小区、隆枫苑、宏博旧小区、北馨苑小区、征稽所小区、泾渭园艺、文景苑小区、仓门巷小区、温馨小区、天源小区、东花园小区、农资小区、福鹿园小区、安澜小区、思源小区、龙腾小区、吉祥小区、卉苑小区、警苑小区、朝阳小区、南苑小区、利民小区、春天小区、路政小区、运政小区、运政新时代、电力老小区、春城粮苑、鹿苑东小区、奶粉厂小区、公路段2等34个小区进行雨污分流改造。</w:t>
            </w:r>
          </w:p>
          <w:p>
            <w:pPr>
              <w:pStyle w:val="null3"/>
            </w:pPr>
            <w:r>
              <w:rPr>
                <w:rFonts w:ascii="仿宋_GB2312" w:hAnsi="仿宋_GB2312" w:cs="仿宋_GB2312" w:eastAsia="仿宋_GB2312"/>
                <w:b/>
              </w:rPr>
              <w:t>二、服务要求</w:t>
            </w:r>
          </w:p>
          <w:p>
            <w:pPr>
              <w:pStyle w:val="null3"/>
              <w:ind w:firstLine="200"/>
            </w:pPr>
            <w:r>
              <w:rPr>
                <w:rFonts w:ascii="仿宋_GB2312" w:hAnsi="仿宋_GB2312" w:cs="仿宋_GB2312" w:eastAsia="仿宋_GB2312"/>
              </w:rPr>
              <w:t>（</w:t>
            </w:r>
            <w:r>
              <w:rPr>
                <w:rFonts w:ascii="仿宋_GB2312" w:hAnsi="仿宋_GB2312" w:cs="仿宋_GB2312" w:eastAsia="仿宋_GB2312"/>
              </w:rPr>
              <w:t>1）人员配置：供应商须提供针对本项目的详细人员配备情况。要求拟派项目成员相关专业人员搭配合理、职能健全，岗位分工明确、职责清晰，包括人员配备情况及水平、人员安排、专业配置、从业经历、参与工作经验等方面，均应满足本项目采购需求。</w:t>
            </w:r>
          </w:p>
          <w:p>
            <w:pPr>
              <w:pStyle w:val="null3"/>
            </w:pPr>
            <w:r>
              <w:rPr>
                <w:rFonts w:ascii="仿宋_GB2312" w:hAnsi="仿宋_GB2312" w:cs="仿宋_GB2312" w:eastAsia="仿宋_GB2312"/>
              </w:rPr>
              <w:t xml:space="preserve">  </w:t>
            </w:r>
            <w:r>
              <w:rPr>
                <w:rFonts w:ascii="仿宋_GB2312" w:hAnsi="仿宋_GB2312" w:cs="仿宋_GB2312" w:eastAsia="仿宋_GB2312"/>
              </w:rPr>
              <w:t>（</w:t>
            </w:r>
            <w:r>
              <w:rPr>
                <w:rFonts w:ascii="仿宋_GB2312" w:hAnsi="仿宋_GB2312" w:cs="仿宋_GB2312" w:eastAsia="仿宋_GB2312"/>
              </w:rPr>
              <w:t>2）专业设备：提供具有履行本合同所必需的设备和专业技术能力的说明及承诺书。</w:t>
            </w:r>
          </w:p>
          <w:p>
            <w:pPr>
              <w:pStyle w:val="null3"/>
              <w:ind w:firstLine="200"/>
            </w:pPr>
            <w:r>
              <w:rPr>
                <w:rFonts w:ascii="仿宋_GB2312" w:hAnsi="仿宋_GB2312" w:cs="仿宋_GB2312" w:eastAsia="仿宋_GB2312"/>
              </w:rPr>
              <w:t>（</w:t>
            </w:r>
            <w:r>
              <w:rPr>
                <w:rFonts w:ascii="仿宋_GB2312" w:hAnsi="仿宋_GB2312" w:cs="仿宋_GB2312" w:eastAsia="仿宋_GB2312"/>
              </w:rPr>
              <w:t>3）服务标准：合格，应符合国家相关技术标准和陕西省具体要求。</w:t>
            </w:r>
          </w:p>
          <w:p>
            <w:pPr>
              <w:pStyle w:val="null3"/>
              <w:ind w:firstLine="200"/>
            </w:pPr>
            <w:r>
              <w:rPr>
                <w:rFonts w:ascii="仿宋_GB2312" w:hAnsi="仿宋_GB2312" w:cs="仿宋_GB2312" w:eastAsia="仿宋_GB2312"/>
              </w:rPr>
              <w:t>（</w:t>
            </w:r>
            <w:r>
              <w:rPr>
                <w:rFonts w:ascii="仿宋_GB2312" w:hAnsi="仿宋_GB2312" w:cs="仿宋_GB2312" w:eastAsia="仿宋_GB2312"/>
              </w:rPr>
              <w:t>4）配合服务：配合项目评审、现场踏勘，及时修改优化设计方案，提供施工技术交底，解释设计意图和技术要点。</w:t>
            </w:r>
          </w:p>
          <w:p>
            <w:pPr>
              <w:pStyle w:val="null3"/>
              <w:ind w:firstLine="200"/>
            </w:pPr>
            <w:r>
              <w:rPr>
                <w:rFonts w:ascii="仿宋_GB2312" w:hAnsi="仿宋_GB2312" w:cs="仿宋_GB2312" w:eastAsia="仿宋_GB2312"/>
              </w:rPr>
              <w:t>（</w:t>
            </w:r>
            <w:r>
              <w:rPr>
                <w:rFonts w:ascii="仿宋_GB2312" w:hAnsi="仿宋_GB2312" w:cs="仿宋_GB2312" w:eastAsia="仿宋_GB2312"/>
              </w:rPr>
              <w:t>5）后续服务：施工期间提供驻场或定期巡查服务，解决设计相关问题；配合竣工验收。</w:t>
            </w:r>
          </w:p>
          <w:p>
            <w:pPr>
              <w:pStyle w:val="null3"/>
              <w:ind w:firstLine="200"/>
            </w:pPr>
            <w:r>
              <w:rPr>
                <w:rFonts w:ascii="仿宋_GB2312" w:hAnsi="仿宋_GB2312" w:cs="仿宋_GB2312" w:eastAsia="仿宋_GB2312"/>
              </w:rPr>
              <w:t>（</w:t>
            </w:r>
            <w:r>
              <w:rPr>
                <w:rFonts w:ascii="仿宋_GB2312" w:hAnsi="仿宋_GB2312" w:cs="仿宋_GB2312" w:eastAsia="仿宋_GB2312"/>
              </w:rPr>
              <w:t>6）资料交付：按约定提交完整设计成果（含纸质、电子文件），确保资料规范。</w:t>
            </w:r>
          </w:p>
          <w:p>
            <w:pPr>
              <w:pStyle w:val="null3"/>
              <w:ind w:firstLine="200"/>
            </w:pPr>
            <w:r>
              <w:rPr>
                <w:rFonts w:ascii="仿宋_GB2312" w:hAnsi="仿宋_GB2312" w:cs="仿宋_GB2312" w:eastAsia="仿宋_GB2312"/>
              </w:rPr>
              <w:t>（</w:t>
            </w:r>
            <w:r>
              <w:rPr>
                <w:rFonts w:ascii="仿宋_GB2312" w:hAnsi="仿宋_GB2312" w:cs="仿宋_GB2312" w:eastAsia="仿宋_GB2312"/>
              </w:rPr>
              <w:t>7）进度要求：提供必要基础资料后15个工作日完成施工图设计。</w:t>
            </w:r>
          </w:p>
          <w:p>
            <w:pPr>
              <w:pStyle w:val="null3"/>
              <w:ind w:firstLine="400"/>
            </w:pPr>
            <w:r>
              <w:rPr>
                <w:rFonts w:ascii="仿宋_GB2312" w:hAnsi="仿宋_GB2312" w:cs="仿宋_GB2312" w:eastAsia="仿宋_GB2312"/>
              </w:rPr>
              <w:t>按项目实施进度安排合理，能够在承诺的时间内完成服务。对本项目工作阶段中成果文件的内容及提交进度计划安排合理有序。</w:t>
            </w:r>
          </w:p>
          <w:p>
            <w:pPr>
              <w:pStyle w:val="null3"/>
            </w:pPr>
            <w:r>
              <w:rPr>
                <w:rFonts w:ascii="仿宋_GB2312" w:hAnsi="仿宋_GB2312" w:cs="仿宋_GB2312" w:eastAsia="仿宋_GB2312"/>
                <w:b/>
              </w:rPr>
              <w:t>三、商务要求</w:t>
            </w:r>
          </w:p>
          <w:p>
            <w:pPr>
              <w:pStyle w:val="null3"/>
              <w:ind w:firstLine="200"/>
            </w:pPr>
            <w:r>
              <w:rPr>
                <w:rFonts w:ascii="仿宋_GB2312" w:hAnsi="仿宋_GB2312" w:cs="仿宋_GB2312" w:eastAsia="仿宋_GB2312"/>
              </w:rPr>
              <w:t>（</w:t>
            </w:r>
            <w:r>
              <w:rPr>
                <w:rFonts w:ascii="仿宋_GB2312" w:hAnsi="仿宋_GB2312" w:cs="仿宋_GB2312" w:eastAsia="仿宋_GB2312"/>
              </w:rPr>
              <w:t>1）服务期限：合同生效之日起至工程竣工验收合格之日止。</w:t>
            </w:r>
          </w:p>
          <w:p>
            <w:pPr>
              <w:pStyle w:val="null3"/>
              <w:ind w:firstLine="200"/>
            </w:pPr>
            <w:r>
              <w:rPr>
                <w:rFonts w:ascii="仿宋_GB2312" w:hAnsi="仿宋_GB2312" w:cs="仿宋_GB2312" w:eastAsia="仿宋_GB2312"/>
              </w:rPr>
              <w:t>（</w:t>
            </w:r>
            <w:r>
              <w:rPr>
                <w:rFonts w:ascii="仿宋_GB2312" w:hAnsi="仿宋_GB2312" w:cs="仿宋_GB2312" w:eastAsia="仿宋_GB2312"/>
              </w:rPr>
              <w:t>2）款项结算：</w:t>
            </w:r>
          </w:p>
          <w:p>
            <w:pPr>
              <w:pStyle w:val="null3"/>
              <w:ind w:firstLine="400"/>
            </w:pPr>
            <w:r>
              <w:rPr>
                <w:rFonts w:ascii="仿宋_GB2312" w:hAnsi="仿宋_GB2312" w:cs="仿宋_GB2312" w:eastAsia="仿宋_GB2312"/>
              </w:rPr>
              <w:t>第一次付款：完成初步设计资料文件，并通过初步设计评审并经专家审核签字确认；按甲方规定时间完成施工图资料文件，并经甲方委托的审图公司审核合格通过后</w:t>
            </w:r>
            <w:r>
              <w:rPr>
                <w:rFonts w:ascii="仿宋_GB2312" w:hAnsi="仿宋_GB2312" w:cs="仿宋_GB2312" w:eastAsia="仿宋_GB2312"/>
              </w:rPr>
              <w:t>60日内，甲方向乙方支付合同价格的50%；</w:t>
            </w:r>
          </w:p>
          <w:p>
            <w:pPr>
              <w:pStyle w:val="null3"/>
              <w:ind w:firstLine="400"/>
            </w:pPr>
            <w:r>
              <w:rPr>
                <w:rFonts w:ascii="仿宋_GB2312" w:hAnsi="仿宋_GB2312" w:cs="仿宋_GB2312" w:eastAsia="仿宋_GB2312"/>
              </w:rPr>
              <w:t>第二次付款：竣</w:t>
            </w:r>
            <w:r>
              <w:rPr>
                <w:rFonts w:ascii="仿宋_GB2312" w:hAnsi="仿宋_GB2312" w:cs="仿宋_GB2312" w:eastAsia="仿宋_GB2312"/>
              </w:rPr>
              <w:t>工验收合格后，60日内甲方向乙方支付合同价格的50%。</w:t>
            </w:r>
          </w:p>
          <w:p>
            <w:pPr>
              <w:pStyle w:val="null3"/>
            </w:pPr>
            <w:r>
              <w:rPr>
                <w:rFonts w:ascii="仿宋_GB2312" w:hAnsi="仿宋_GB2312" w:cs="仿宋_GB2312" w:eastAsia="仿宋_GB2312"/>
              </w:rPr>
              <w:t xml:space="preserve">      甲方付款前乙方需提供与付款金额等额有效的增值税普通发票。</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根据项目需求合理配备相关专业背景的，项目负责人及相关技术人员，组建综合型技术团队，满足项目服务要求。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服务方根据采购项目特性及要求，自行配置投入履行合同所必需的各类设施设备（不限于专业设备、辅助设备、工具、软件等）及场所，保证项目顺利实施。</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根据磋商文件要求及合同约定执行。</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合同生效之日起至工程竣工验收合格之日止</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一、具体验收要求详见合同要求。 二、验收依据：（1）合同文本、合同附件、竞争性磋商文件、响应文件。（2）现行的国家标准或国家行政部门颁布的法律法规、规章制度等。三、采购人根据验收依据及项目要求对服务进行检查或考核，服务方须接受采购人的各类考核或检查；若验收不通过或服务质量不符合采购要求，服务方应在一定期限以采购人要求的标准进行整改或进一步完善，并再次进行考核或检查，若服务方在接受检查整改后最终仍未按要求提供符合要求和服务，采购人有权按违约予以撤项，由此产生的一切责任和费用均由服务方承担。</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完成初步设计资料文件，并通过初步设计评审并经专家审核签字确认；按甲方规定时间完成施工图资料文件，并经甲方委托的审图公司审核合格通过后</w:t>
      </w:r>
      <w:r>
        <w:rPr>
          <w:rFonts w:ascii="仿宋_GB2312" w:hAnsi="仿宋_GB2312" w:cs="仿宋_GB2312" w:eastAsia="仿宋_GB2312"/>
        </w:rPr>
        <w:t xml:space="preserve"> ，达到付款条件起 </w:t>
      </w:r>
      <w:r>
        <w:rPr>
          <w:rFonts w:ascii="仿宋_GB2312" w:hAnsi="仿宋_GB2312" w:cs="仿宋_GB2312" w:eastAsia="仿宋_GB2312"/>
        </w:rPr>
        <w:t>60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竣工验收合格后</w:t>
      </w:r>
      <w:r>
        <w:rPr>
          <w:rFonts w:ascii="仿宋_GB2312" w:hAnsi="仿宋_GB2312" w:cs="仿宋_GB2312" w:eastAsia="仿宋_GB2312"/>
        </w:rPr>
        <w:t xml:space="preserve"> ，达到付款条件起 </w:t>
      </w:r>
      <w:r>
        <w:rPr>
          <w:rFonts w:ascii="仿宋_GB2312" w:hAnsi="仿宋_GB2312" w:cs="仿宋_GB2312" w:eastAsia="仿宋_GB2312"/>
        </w:rPr>
        <w:t>60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详见“拟签订的合同”约定。</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财务状况报告（任选其一）：①提供经审计的2023年或2024年的财务审计报告（成立时间至提交响应文件截止时间不足一年的可提供成立后任意时段的资产负债表）；②提交响应文件截止时间三个月内其基本账户开户银行出具的资信证明（附基本存款账户信息）。</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 （监狱企业与残疾人福利性单位视同小型、微型企业）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营业执照等主体证明</w:t>
            </w:r>
          </w:p>
        </w:tc>
        <w:tc>
          <w:tcPr>
            <w:tcW w:type="dxa" w:w="3322"/>
          </w:tcPr>
          <w:p>
            <w:pPr>
              <w:pStyle w:val="null3"/>
            </w:pPr>
            <w:r>
              <w:rPr>
                <w:rFonts w:ascii="仿宋_GB2312" w:hAnsi="仿宋_GB2312" w:cs="仿宋_GB2312" w:eastAsia="仿宋_GB2312"/>
              </w:rPr>
              <w:t>具有独立承担民事责任的能力，提供法人或者其他组织的营业执照等国家规定的证明文件，自然人参与的提供其身份证明。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财务状况报告（任选其一）</w:t>
            </w:r>
          </w:p>
        </w:tc>
        <w:tc>
          <w:tcPr>
            <w:tcW w:type="dxa" w:w="3322"/>
          </w:tcPr>
          <w:p>
            <w:pPr>
              <w:pStyle w:val="null3"/>
            </w:pPr>
            <w:r>
              <w:rPr>
                <w:rFonts w:ascii="仿宋_GB2312" w:hAnsi="仿宋_GB2312" w:cs="仿宋_GB2312" w:eastAsia="仿宋_GB2312"/>
              </w:rPr>
              <w:t>财务状况报告（任选其一）①提供经审计的2023年或2024年的财务审计报告（成立时间至提交响应文件截止时间不足一年的可提供成立后任意时段的资产负债表）；②提交响应文件截止时间三个月内其基本账户开户银行出具的资信证明（附基本存款账户信息）。</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交响应文件截止时间前一年内至少一个月的纳税证明或完税证明（增值税、营业税、企业所得税至少提供一种），纳税证明或完税证明上应有代收机构或税务机关的公章或业务专用章。依法免税的单位应提供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交响应文件截止时间前一年内至少一个月的社会保障资金缴存单据或社保机构开具的社会保险参保缴费情况证明，单据或证明上应有社保机构或代收机构的公章或业务专用章。依法不需要缴纳社会保障资金的单位应提供相关证明材料。 供应商应提交的相关资格证明材料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具有履行合同所必需的设备和专业技术能力</w:t>
            </w:r>
          </w:p>
        </w:tc>
        <w:tc>
          <w:tcPr>
            <w:tcW w:type="dxa" w:w="3322"/>
          </w:tcPr>
          <w:p>
            <w:pPr>
              <w:pStyle w:val="null3"/>
            </w:pPr>
            <w:r>
              <w:rPr>
                <w:rFonts w:ascii="仿宋_GB2312" w:hAnsi="仿宋_GB2312" w:cs="仿宋_GB2312" w:eastAsia="仿宋_GB2312"/>
              </w:rPr>
              <w:t>出具具备履行合同所必需的设备和专业技术能力的书面声明。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不得为“信用中国”网站(http://www.creditchina.gov.cn)列入“失信被执行人（页面跳转至“中国执行信息公开网”http://zxgk.court.gov.cn/shixin/）、重大税收违法失信主体”的投标人；不得为中国政府采购网(http://www.ccgp.gov.cn)“政府采购严重违法失信行为记录名单”中的投标人。</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法定代表人身份证明/法定代表人授权委托书</w:t>
            </w:r>
          </w:p>
        </w:tc>
        <w:tc>
          <w:tcPr>
            <w:tcW w:type="dxa" w:w="3322"/>
          </w:tcPr>
          <w:p>
            <w:pPr>
              <w:pStyle w:val="null3"/>
            </w:pPr>
            <w:r>
              <w:rPr>
                <w:rFonts w:ascii="仿宋_GB2312" w:hAnsi="仿宋_GB2312" w:cs="仿宋_GB2312" w:eastAsia="仿宋_GB2312"/>
              </w:rPr>
              <w:t>如授权代表参与需提供法定代表人授权书（附法定代表人及被授权人身份证复印件），如法定代表人直接参与须提交法定代表人身份证明（附法定代表人身份证复印件）。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资质要求</w:t>
            </w:r>
          </w:p>
        </w:tc>
        <w:tc>
          <w:tcPr>
            <w:tcW w:type="dxa" w:w="3322"/>
          </w:tcPr>
          <w:p>
            <w:pPr>
              <w:pStyle w:val="null3"/>
            </w:pPr>
            <w:r>
              <w:rPr>
                <w:rFonts w:ascii="仿宋_GB2312" w:hAnsi="仿宋_GB2312" w:cs="仿宋_GB2312" w:eastAsia="仿宋_GB2312"/>
              </w:rPr>
              <w:t>具备工程设计综合资质甲级及以上资质或建筑行业（建筑工程）专业设计乙级及以上资质或市政行业工程设计乙级及以上资质或市政行业（排水工程）专业设计乙级及以上资质。</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项目负责人资格要求</w:t>
            </w:r>
          </w:p>
        </w:tc>
        <w:tc>
          <w:tcPr>
            <w:tcW w:type="dxa" w:w="3322"/>
          </w:tcPr>
          <w:p>
            <w:pPr>
              <w:pStyle w:val="null3"/>
            </w:pPr>
            <w:r>
              <w:rPr>
                <w:rFonts w:ascii="仿宋_GB2312" w:hAnsi="仿宋_GB2312" w:cs="仿宋_GB2312" w:eastAsia="仿宋_GB2312"/>
              </w:rPr>
              <w:t>拟派项目负责人须具备一级注册建筑师资格或一级注册结构师资格或注册公用设备工程师及以上资格。</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不接受联合体相关要求</w:t>
            </w:r>
          </w:p>
        </w:tc>
        <w:tc>
          <w:tcPr>
            <w:tcW w:type="dxa" w:w="3322"/>
          </w:tcPr>
          <w:p>
            <w:pPr>
              <w:pStyle w:val="null3"/>
            </w:pPr>
            <w:r>
              <w:rPr>
                <w:rFonts w:ascii="仿宋_GB2312" w:hAnsi="仿宋_GB2312" w:cs="仿宋_GB2312" w:eastAsia="仿宋_GB2312"/>
              </w:rPr>
              <w:t>本项目不接受联合体响应，不允许分包。</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关联声明</w:t>
            </w:r>
          </w:p>
        </w:tc>
        <w:tc>
          <w:tcPr>
            <w:tcW w:type="dxa" w:w="3322"/>
          </w:tcPr>
          <w:p>
            <w:pPr>
              <w:pStyle w:val="null3"/>
            </w:pPr>
            <w:r>
              <w:rPr>
                <w:rFonts w:ascii="仿宋_GB2312" w:hAnsi="仿宋_GB2312" w:cs="仿宋_GB2312" w:eastAsia="仿宋_GB2312"/>
              </w:rPr>
              <w:t>单位负责人为同一人或者存在直接控股、管理关系的不同供应商，不得同时参加本项目采购活动。</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落实政府采购政策资格</w:t>
            </w:r>
          </w:p>
        </w:tc>
        <w:tc>
          <w:tcPr>
            <w:tcW w:type="dxa" w:w="3322"/>
          </w:tcPr>
          <w:p>
            <w:pPr>
              <w:pStyle w:val="null3"/>
            </w:pPr>
            <w:r>
              <w:rPr>
                <w:rFonts w:ascii="仿宋_GB2312" w:hAnsi="仿宋_GB2312" w:cs="仿宋_GB2312" w:eastAsia="仿宋_GB2312"/>
              </w:rPr>
              <w:t>本项目专门面向中小企业采购（残疾人福利性单位、监狱企业视同小型、微型企业），供应商需提供《中小企业声明函》、《监狱企业的证明文件》或《残疾人福利性单位声明函》）。</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同时满足以下条款： （1）货币单位符合磋商文件要求 （2）报价符合唯一性要求 （3）未超出采购包最高限价 （4）符合《报价表》《分项报价表》的填报要求</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对采购文件的响应程度</w:t>
            </w:r>
          </w:p>
        </w:tc>
        <w:tc>
          <w:tcPr>
            <w:tcW w:type="dxa" w:w="3322"/>
          </w:tcPr>
          <w:p>
            <w:pPr>
              <w:pStyle w:val="null3"/>
            </w:pPr>
            <w:r>
              <w:rPr>
                <w:rFonts w:ascii="仿宋_GB2312" w:hAnsi="仿宋_GB2312" w:cs="仿宋_GB2312" w:eastAsia="仿宋_GB2312"/>
              </w:rPr>
              <w:t>符合采购文件中的实质性条款要求，且未含有采购人不能接受的附加条件。</w:t>
            </w:r>
          </w:p>
        </w:tc>
        <w:tc>
          <w:tcPr>
            <w:tcW w:type="dxa" w:w="1661"/>
          </w:tcPr>
          <w:p>
            <w:pPr>
              <w:pStyle w:val="null3"/>
            </w:pPr>
            <w:r>
              <w:rPr>
                <w:rFonts w:ascii="仿宋_GB2312" w:hAnsi="仿宋_GB2312" w:cs="仿宋_GB2312" w:eastAsia="仿宋_GB2312"/>
              </w:rPr>
              <w:t>服务内容及服务邀请应答表 商务应答表 报价表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投标有效期是否达到磋商文件要求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签字盖章</w:t>
            </w:r>
          </w:p>
        </w:tc>
        <w:tc>
          <w:tcPr>
            <w:tcW w:type="dxa" w:w="3322"/>
          </w:tcPr>
          <w:p>
            <w:pPr>
              <w:pStyle w:val="null3"/>
            </w:pPr>
            <w:r>
              <w:rPr>
                <w:rFonts w:ascii="仿宋_GB2312" w:hAnsi="仿宋_GB2312" w:cs="仿宋_GB2312" w:eastAsia="仿宋_GB2312"/>
              </w:rPr>
              <w:t>签章均符合磋商文件要求，且无遗漏。</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标的清单 供应商应提交的相关资格证明材料 报价表 响应函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项目分析及总体方案</w:t>
            </w:r>
          </w:p>
        </w:tc>
        <w:tc>
          <w:tcPr>
            <w:tcW w:type="dxa" w:w="2492"/>
          </w:tcPr>
          <w:p>
            <w:pPr>
              <w:pStyle w:val="null3"/>
            </w:pPr>
            <w:r>
              <w:rPr>
                <w:rFonts w:ascii="仿宋_GB2312" w:hAnsi="仿宋_GB2312" w:cs="仿宋_GB2312" w:eastAsia="仿宋_GB2312"/>
              </w:rPr>
              <w:t xml:space="preserve"> （1）评审内容： 针对本项目需求提供项目分析及总体方案，包含但不限于：①本项目的基本情况及项目背景分析、②设计服务的工作目标、③服务实施计划(服务工作流程)、④服务内容重点难点工作分析及解决思路。 （2）评审依据： 以上四项评审内容无缺项，工作组织科学合理，技术框架清晰完善，专门针对本项目编制，能够保障项目顺利实施的得16分。 每有一项内容缺失或者内容非针对于本项目扣4分。以上服务内容每有一项缺陷扣1分，扣完为止。（缺陷是指：内容不完整、缺少关键点、针对性不强、内容表述前后不一致、现有技术条件下不可能出现的及其他不利于项目实施的情形等任意一种情形）。</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设计方案</w:t>
            </w:r>
          </w:p>
        </w:tc>
        <w:tc>
          <w:tcPr>
            <w:tcW w:type="dxa" w:w="2492"/>
          </w:tcPr>
          <w:p>
            <w:pPr>
              <w:pStyle w:val="null3"/>
            </w:pPr>
            <w:r>
              <w:rPr>
                <w:rFonts w:ascii="仿宋_GB2312" w:hAnsi="仿宋_GB2312" w:cs="仿宋_GB2312" w:eastAsia="仿宋_GB2312"/>
              </w:rPr>
              <w:t>（1）评审内容： 供应商针对本项目有完善的设计方案，包含但不限于：①设计整体思路架构、②设计依据及原则、③工作任务分解、④经济性与资源节约方案。 （2）评审依据： 以上四项评审内容无缺项，工作组织科学合理，制定的质量保障体系完整，措施具有针对性和可操作性，能够保障项目顺利实施的得16分。 每有一项内容缺失或者内容非针对于本项目扣4分。以上服务内容每有一项缺陷扣1分，扣完为止。（缺陷是指：内容不完整、缺少关键点、针对性不强、内容表述前后不一致、现有技术条件下不可能出现的及其他不利于项目实施的情形等任意一种情形）。</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服务质量保证措施</w:t>
            </w:r>
          </w:p>
        </w:tc>
        <w:tc>
          <w:tcPr>
            <w:tcW w:type="dxa" w:w="2492"/>
          </w:tcPr>
          <w:p>
            <w:pPr>
              <w:pStyle w:val="null3"/>
            </w:pPr>
            <w:r>
              <w:rPr>
                <w:rFonts w:ascii="仿宋_GB2312" w:hAnsi="仿宋_GB2312" w:cs="仿宋_GB2312" w:eastAsia="仿宋_GB2312"/>
              </w:rPr>
              <w:t>（1）评审内容： 供应商提供针对本项目的服务质量保证措施，包含但不限于：①设计质量控制措施、②造价控制措施、③设计进度保证措施、④后续工作配合的服务承诺。 （2）评审依据： 以上四项评审内容无缺项，保证措施及承诺概述完整、科学合理，专门针对本项目编制，符合本项目实际情况，能够保障项目顺利实施的得16分。 每有一项内容缺失或者内容非针对于本项目扣4分。以上服务内容每有一项缺陷扣1分，扣完为止。（缺陷是指：内容不完整、缺少关键点、针对性不强、内容表述前后不一致、现有技术条件下不可能出现的及其他不利于项目实施的情形等任意一种情形）。</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应急服务方案</w:t>
            </w:r>
          </w:p>
        </w:tc>
        <w:tc>
          <w:tcPr>
            <w:tcW w:type="dxa" w:w="2492"/>
          </w:tcPr>
          <w:p>
            <w:pPr>
              <w:pStyle w:val="null3"/>
            </w:pPr>
            <w:r>
              <w:rPr>
                <w:rFonts w:ascii="仿宋_GB2312" w:hAnsi="仿宋_GB2312" w:cs="仿宋_GB2312" w:eastAsia="仿宋_GB2312"/>
              </w:rPr>
              <w:t>（1）评审内容： 供应商针对本项目实施过程的应急服务方案，包括但不限于：①应急预案体系、②安全保障方案、③应急服务时限保障措施等。 （2）评审依据： 以上三项评审内容无缺项，应急服务方案完善、科学合理、切实可行满足采购需求，符合本项目实际情况，能够保障项目顺利实施的得12分。 每有一项内容缺失或者内容非针对于本项目扣4分，以上服务内容每有一项缺陷扣1分，扣完为止。（缺陷是指：方案内容不完整、缺少关键点、针对性不强、内容表述前后不一致、现有技术条件下不可能出现的及其他不利于项目实施的情形等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服务承诺及合理化建议</w:t>
            </w:r>
          </w:p>
        </w:tc>
        <w:tc>
          <w:tcPr>
            <w:tcW w:type="dxa" w:w="2492"/>
          </w:tcPr>
          <w:p>
            <w:pPr>
              <w:pStyle w:val="null3"/>
            </w:pPr>
            <w:r>
              <w:rPr>
                <w:rFonts w:ascii="仿宋_GB2312" w:hAnsi="仿宋_GB2312" w:cs="仿宋_GB2312" w:eastAsia="仿宋_GB2312"/>
              </w:rPr>
              <w:t>（1）评审内容： 供应商针对本项目提供的服务承诺及合理化建议，包含但不限于：①服务质量、服务进度、人员保障等具体明确的承诺、②针对本项目提出有利于项目实施的合理化建议。 （2）评审依据： 以上内容无缺项，承诺明确、建议科学合理、符合本项目实际情况，能够保障项目顺利实施的得8分。 每有一项内容缺失或者内容非针对于本项目扣4分。 以上服务内容每有一项缺陷扣1分，扣完为止。 （缺陷是指：方案内容不完整、缺少关键点、针对性不强、内容表述前后不一致、现有技术条件下不可能出现的及其他不利于项目实施的情形等任意一种情形）。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项目负责人</w:t>
            </w:r>
          </w:p>
        </w:tc>
        <w:tc>
          <w:tcPr>
            <w:tcW w:type="dxa" w:w="2492"/>
          </w:tcPr>
          <w:p>
            <w:pPr>
              <w:pStyle w:val="null3"/>
            </w:pPr>
            <w:r>
              <w:rPr>
                <w:rFonts w:ascii="仿宋_GB2312" w:hAnsi="仿宋_GB2312" w:cs="仿宋_GB2312" w:eastAsia="仿宋_GB2312"/>
              </w:rPr>
              <w:t>①拟派项目负责人具备相关专业高级及以上技术职称的计2分。 ②拟派项目负责人具有2021年1月1日至今类似设计项目业绩，每提供一个计2分，满分4分。 注：拟派项目负责人业绩证明材料提供合同复印件或扫描件，以合同签订日期为准并加盖单位公章（合同中须体现拟派项目负责人的姓名或其相关信息内容，合同内容须清晰可辨认，否则视为无效合同）。</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项目组成人员</w:t>
            </w:r>
          </w:p>
        </w:tc>
        <w:tc>
          <w:tcPr>
            <w:tcW w:type="dxa" w:w="2492"/>
          </w:tcPr>
          <w:p>
            <w:pPr>
              <w:pStyle w:val="null3"/>
            </w:pPr>
            <w:r>
              <w:rPr>
                <w:rFonts w:ascii="仿宋_GB2312" w:hAnsi="仿宋_GB2312" w:cs="仿宋_GB2312" w:eastAsia="仿宋_GB2312"/>
              </w:rPr>
              <w:t>依据采购需求，制定项目团队人员配备方案，人员配备情况充分、科学合理，完全满足本项目需求计4-6分，人员配备简单，较为合理计2-3分，配备情况简单难以满足采购需求计1-2分；未提供不计分。 注：提供专业人员相关证件，包含但不限于注册建筑师、注册工程师证书、毕业证书等资料。</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供应商2022年1月1日至今类似项目业绩，每提供一个类似项目业绩计2分，最高计10分。 （业绩以合同签订时间为准，提供合同复印件或扫描件）</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1.经资格审查、符合性审查合格的磋商响应文件，其磋商报价为有效磋商报价。 2.满足磋商文件实质性要求且最后报价最低的供应商的价格为磋商基准价，其价格分为满分10分。 3.磋商报价得分=(磋商基准价/最终磋商报价）×10的公式计算得分。 4.不正当竞争预防措施：在评审过程中,磋商小组认定某供应商的报价明显低于其他通过符合性审查供应商的报价，有可能影响服务质量或者不能诚信履约的,有权要求该供应商在磋商现场合理时间内，提供必要的书面文件予以解释和说明并附带相关证明材料。磋商单位书面说明应当签字确认或者加盖公章,否则无效。磋商单位拒绝或者变相拒绝提供有效书面说明或者书面说明不能证明其报价合理性的,磋商小组将按照其响应文件作为无效响应处理。（因落实政府采购政策进行价格调整的，以调整后的价格计算评标基准价和投标报价，详见磋商文件本部分政府采购政策评分标准，专门面向中小企业采购的项目或者采购包，不再执行价格评审优惠的扶持政策。）</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详见附件：供应商应提交的相关资格证明材料</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详见附件：拟签订的采购合同.docx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