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版本号：KY2025-3-266.20251017001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加油站安装智能监管系统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KY2025-3-266.</w:t>
      </w:r>
      <w:r>
        <w:br/>
      </w:r>
      <w:r>
        <w:br/>
      </w:r>
      <w:r>
        <w:br/>
      </w:r>
    </w:p>
    <w:p>
      <w:pPr>
        <w:pStyle w:val="null3"/>
        <w:jc w:val="center"/>
        <w:outlineLvl w:val="2"/>
      </w:pPr>
      <w:r>
        <w:rPr>
          <w:rFonts w:ascii="仿宋_GB2312" w:hAnsi="仿宋_GB2312" w:cs="仿宋_GB2312" w:eastAsia="仿宋_GB2312"/>
          <w:sz w:val="28"/>
          <w:b/>
        </w:rPr>
        <w:t>西安市高陵区科技工信和商务局</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西安市高陵区科技工信和商务局</w:t>
      </w:r>
      <w:r>
        <w:rPr>
          <w:rFonts w:ascii="仿宋_GB2312" w:hAnsi="仿宋_GB2312" w:cs="仿宋_GB2312" w:eastAsia="仿宋_GB2312"/>
        </w:rPr>
        <w:t>委托，拟对</w:t>
      </w:r>
      <w:r>
        <w:rPr>
          <w:rFonts w:ascii="仿宋_GB2312" w:hAnsi="仿宋_GB2312" w:cs="仿宋_GB2312" w:eastAsia="仿宋_GB2312"/>
        </w:rPr>
        <w:t>加油站安装智能监管系统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KY2025-3-266.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加油站安装智能监管系统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加快推进我区加油站管理水平，全面推动成品油税收规范化管理，对全区加油站实施智慧监管，部署加油站智慧监管平台，同时升级级或加装液位仪数据采集设备，达到使用液位仪数据分析加油站油品的变化情况。</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采购包1（加油站智慧监管系统）：属于专门面向中小企业采购。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7、法定代表人授权书及被授权人身份证：法定代表人授权书及被授权人身份证。（法定代表人直接参与磋商只须提交其身份证明书）</w:t>
      </w:r>
    </w:p>
    <w:p>
      <w:pPr>
        <w:pStyle w:val="null3"/>
      </w:pPr>
      <w:r>
        <w:rPr>
          <w:rFonts w:ascii="仿宋_GB2312" w:hAnsi="仿宋_GB2312" w:cs="仿宋_GB2312" w:eastAsia="仿宋_GB2312"/>
        </w:rPr>
        <w:t>8、中小企业声明函：提供中小企业声明函。（本项目为专门面向中、小、微型企业采购项目）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西安市高陵区科技工信和商务局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陕西省西安市高陵区东二环路1022号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029-86910957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029-81206622-841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采购包1：879,800.00元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收取。2、本项目成交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西安市高陵区科技工信和商务局</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西安市高陵区科技工信和商务局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西安市高陵区科技工信和商务局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联系人：徐闫靖双、黄梦迪、戈迪</w:t>
      </w:r>
    </w:p>
    <w:p>
      <w:pPr>
        <w:pStyle w:val="null3"/>
      </w:pPr>
      <w:r>
        <w:rPr>
          <w:rFonts w:ascii="仿宋_GB2312" w:hAnsi="仿宋_GB2312" w:cs="仿宋_GB2312" w:eastAsia="仿宋_GB2312"/>
        </w:rPr>
        <w:t>联系电话：029-81206622-841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快推进我区加油站管理水平，全面推动成品油税收规范化管理，对全区加油站实施智慧监管，部署加油站智慧监管平台，同时升级级或加装液位仪数据采集设备，达到使用液位仪数据分析加油站油品的变化情况。</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879,800.00</w:t>
      </w:r>
    </w:p>
    <w:p>
      <w:pPr>
        <w:pStyle w:val="null3"/>
      </w:pPr>
      <w:r>
        <w:rPr>
          <w:rFonts w:ascii="仿宋_GB2312" w:hAnsi="仿宋_GB2312" w:cs="仿宋_GB2312" w:eastAsia="仿宋_GB2312"/>
        </w:rPr>
        <w:t>采购包最高限价（元）: 879,800.00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加油站安装智能监管系统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879,800.00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标的名称：加油站安装智能监管系统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一、项目概况</w:t>
            </w:r>
          </w:p>
          <w:p>
            <w:pPr>
              <w:pStyle w:val="null3"/>
            </w:pPr>
            <w:r>
              <w:rPr>
                <w:rFonts w:ascii="仿宋_GB2312" w:hAnsi="仿宋_GB2312" w:cs="仿宋_GB2312" w:eastAsia="仿宋_GB2312"/>
                <w:sz w:val="21"/>
              </w:rPr>
              <w:t>为加快推进我区加油站管理水平，全面推动成品油税收规范化管理，对全区加油站实施智慧监管，部署加油站智慧监管平台，同时升级级或加装液位仪数据采集设备，达到使用液位仪数据分析加油站油品的变化情况。</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二、服务要求：</w:t>
            </w:r>
          </w:p>
          <w:p>
            <w:pPr>
              <w:pStyle w:val="null3"/>
            </w:pPr>
            <w:r>
              <w:rPr>
                <w:rFonts w:ascii="仿宋_GB2312" w:hAnsi="仿宋_GB2312" w:cs="仿宋_GB2312" w:eastAsia="仿宋_GB2312"/>
                <w:sz w:val="21"/>
              </w:rPr>
              <w:t>1.对高陵区域内所有加油站（其中中石化、中石油、延长壳牌25座加油站实行原站自有加油站管理系统对接获取数据，其他18家加油站采取物联网数据采集及分析服务，预留远期扩充至60座加油站的数据服务能力）利用4G传输技术进行实时数据采集与监控液位仪数据，将加油站智慧监管平台部署至甲方指定地点，并将各加油站罐存数据实时传输至服务器终端，提供所有上线加油站的液位仪数据；采集液位仪（储油罐）实时数据，计算进、销、存数据，计算进油量记录：油位高度、水位高度、油体积（标准体积）、水体积、剩余容积、温度、数据时间，提供加油站实时罐存记录及卸油记录，对加油站的“进、销、存”进行全链条的实时监控，根据甲方需求提供加油站“进、销、存”日报表、周报表、月报表，针对罐存数据的趋势进行分析，并提供分析报表；针对罐内液位仪高度异常进行分析，提供数据异常变动预警服务；精准防控风险，智能识别加油站油罐液位仪相关的各类异常，提供相关数据的分析展示功能；保障规范市场秩序，从而促进公平竞争，提升加油站安全与运营效率。</w:t>
            </w:r>
          </w:p>
          <w:p>
            <w:pPr>
              <w:pStyle w:val="null3"/>
            </w:pPr>
            <w:r>
              <w:rPr>
                <w:rFonts w:ascii="仿宋_GB2312" w:hAnsi="仿宋_GB2312" w:cs="仿宋_GB2312" w:eastAsia="仿宋_GB2312"/>
                <w:sz w:val="21"/>
              </w:rPr>
              <w:t>2.加油站智慧监管平台具备以下功能，设备注册，远程监管；能够实时获取液位仪上传的数据；异常报警提示及分析；设备离、断线报警提醒；网络通讯数据加密，保护数据准确性，采集设备具备离线等各类异常预警功能，数据传输具备加密功能，防止数据被随意篡改；多重密码保护无法删除数；参数修改自动记录；断电开机自动记录；自动生成卸油记录；通讯加密；实时更新显示在线离线油站数量；实时更新油罐油体积，显示油站在线与离线的状态；展示卸油记录；4G传输数据；实时获取液位仪罐存（包含：罐号、油高、温度、体积）；自动判断卸油数据（包含：罐号、开始时间、开始罐存、结束时间、结束罐存）；自动校时（开机及每30分钟与网络标准时间同步）；数据上传（采用4G通讯，将数据加密上传到数据监控平台）；液位仪串口复用（支持串口数据转发给其他站级电脑，不影响现有站级软件获取数据）；平台支持数据共享；平台支持对接税务部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二、参数要求</w:t>
            </w:r>
          </w:p>
          <w:p>
            <w:pPr>
              <w:pStyle w:val="null3"/>
            </w:pPr>
            <w:r>
              <w:rPr>
                <w:rFonts w:ascii="仿宋_GB2312" w:hAnsi="仿宋_GB2312" w:cs="仿宋_GB2312" w:eastAsia="仿宋_GB2312"/>
                <w:sz w:val="21"/>
              </w:rPr>
              <w:t>（一）液位仪控制台（数量：17台）</w:t>
            </w:r>
          </w:p>
          <w:p>
            <w:pPr>
              <w:pStyle w:val="null3"/>
            </w:pPr>
            <w:r>
              <w:rPr>
                <w:rFonts w:ascii="仿宋_GB2312" w:hAnsi="仿宋_GB2312" w:cs="仿宋_GB2312" w:eastAsia="仿宋_GB2312"/>
                <w:sz w:val="21"/>
              </w:rPr>
              <w:t>1.具备彩色图形显示及中文文字显示，具备声、光和文字报警功能。</w:t>
            </w:r>
          </w:p>
          <w:p>
            <w:pPr>
              <w:pStyle w:val="null3"/>
            </w:pPr>
            <w:r>
              <w:rPr>
                <w:rFonts w:ascii="仿宋_GB2312" w:hAnsi="仿宋_GB2312" w:cs="仿宋_GB2312" w:eastAsia="仿宋_GB2312"/>
                <w:sz w:val="21"/>
              </w:rPr>
              <w:t>2.可监控油罐数量不小于6。</w:t>
            </w:r>
          </w:p>
          <w:p>
            <w:pPr>
              <w:pStyle w:val="null3"/>
            </w:pPr>
            <w:r>
              <w:rPr>
                <w:rFonts w:ascii="仿宋_GB2312" w:hAnsi="仿宋_GB2312" w:cs="仿宋_GB2312" w:eastAsia="仿宋_GB2312"/>
                <w:sz w:val="21"/>
              </w:rPr>
              <w:t>3.具有实时监控油水总高、油高、水高、油水总体积、油体积、水体积、报警。</w:t>
            </w:r>
          </w:p>
          <w:p>
            <w:pPr>
              <w:pStyle w:val="null3"/>
            </w:pPr>
            <w:r>
              <w:rPr>
                <w:rFonts w:ascii="仿宋_GB2312" w:hAnsi="仿宋_GB2312" w:cs="仿宋_GB2312" w:eastAsia="仿宋_GB2312"/>
                <w:sz w:val="21"/>
              </w:rPr>
              <w:t>4.定时库存（油水总高、油高、水高、油水总体积、油体积、水体积、报警）记录。</w:t>
            </w:r>
          </w:p>
          <w:p>
            <w:pPr>
              <w:pStyle w:val="null3"/>
            </w:pPr>
            <w:r>
              <w:rPr>
                <w:rFonts w:ascii="仿宋_GB2312" w:hAnsi="仿宋_GB2312" w:cs="仿宋_GB2312" w:eastAsia="仿宋_GB2312"/>
                <w:sz w:val="21"/>
              </w:rPr>
              <w:t>5.自动进油历史记录。</w:t>
            </w:r>
          </w:p>
          <w:p>
            <w:pPr>
              <w:pStyle w:val="null3"/>
            </w:pPr>
            <w:r>
              <w:rPr>
                <w:rFonts w:ascii="仿宋_GB2312" w:hAnsi="仿宋_GB2312" w:cs="仿宋_GB2312" w:eastAsia="仿宋_GB2312"/>
                <w:sz w:val="21"/>
              </w:rPr>
              <w:t>6.自动库存温度补偿容积。</w:t>
            </w:r>
          </w:p>
          <w:p>
            <w:pPr>
              <w:pStyle w:val="null3"/>
            </w:pPr>
            <w:r>
              <w:rPr>
                <w:rFonts w:ascii="仿宋_GB2312" w:hAnsi="仿宋_GB2312" w:cs="仿宋_GB2312" w:eastAsia="仿宋_GB2312"/>
                <w:sz w:val="21"/>
              </w:rPr>
              <w:t>7.交接班功能,按设定的交班时间生成报表,交接班记录可存储两周。</w:t>
            </w:r>
          </w:p>
          <w:p>
            <w:pPr>
              <w:pStyle w:val="null3"/>
            </w:pPr>
            <w:r>
              <w:rPr>
                <w:rFonts w:ascii="仿宋_GB2312" w:hAnsi="仿宋_GB2312" w:cs="仿宋_GB2312" w:eastAsia="仿宋_GB2312"/>
                <w:sz w:val="21"/>
              </w:rPr>
              <w:t>8.可设置高液位报警、低液位报警和水位报警点；可设置时钟同步。</w:t>
            </w:r>
          </w:p>
          <w:p>
            <w:pPr>
              <w:pStyle w:val="null3"/>
            </w:pPr>
            <w:r>
              <w:rPr>
                <w:rFonts w:ascii="仿宋_GB2312" w:hAnsi="仿宋_GB2312" w:cs="仿宋_GB2312" w:eastAsia="仿宋_GB2312"/>
                <w:sz w:val="21"/>
              </w:rPr>
              <w:t>9.历史记录保存 1年，需具备断电记录功能，并可报警断电起止时间。</w:t>
            </w:r>
          </w:p>
          <w:p>
            <w:pPr>
              <w:pStyle w:val="null3"/>
            </w:pPr>
            <w:r>
              <w:rPr>
                <w:rFonts w:ascii="仿宋_GB2312" w:hAnsi="仿宋_GB2312" w:cs="仿宋_GB2312" w:eastAsia="仿宋_GB2312"/>
                <w:sz w:val="21"/>
              </w:rPr>
              <w:t>10.多级密码访问管理。权限分级，不同用户设置不同操作权限。</w:t>
            </w:r>
          </w:p>
          <w:p>
            <w:pPr>
              <w:pStyle w:val="null3"/>
            </w:pPr>
            <w:r>
              <w:rPr>
                <w:rFonts w:ascii="仿宋_GB2312" w:hAnsi="仿宋_GB2312" w:cs="仿宋_GB2312" w:eastAsia="仿宋_GB2312"/>
                <w:sz w:val="21"/>
              </w:rPr>
              <w:t>11.内置 TCP/IP 端口连接网络。</w:t>
            </w:r>
          </w:p>
          <w:p>
            <w:pPr>
              <w:pStyle w:val="null3"/>
            </w:pPr>
            <w:r>
              <w:rPr>
                <w:rFonts w:ascii="仿宋_GB2312" w:hAnsi="仿宋_GB2312" w:cs="仿宋_GB2312" w:eastAsia="仿宋_GB2312"/>
                <w:sz w:val="21"/>
              </w:rPr>
              <w:t>12.具备油罐静态及动态测漏报警功能。</w:t>
            </w:r>
          </w:p>
          <w:p>
            <w:pPr>
              <w:pStyle w:val="null3"/>
            </w:pPr>
            <w:r>
              <w:rPr>
                <w:rFonts w:ascii="仿宋_GB2312" w:hAnsi="仿宋_GB2312" w:cs="仿宋_GB2312" w:eastAsia="仿宋_GB2312"/>
                <w:sz w:val="21"/>
              </w:rPr>
              <w:t>13.具备2个RS-232串口和1个USB接口，支持USB口导入或导出数据。</w:t>
            </w:r>
          </w:p>
          <w:p>
            <w:pPr>
              <w:pStyle w:val="null3"/>
            </w:pPr>
            <w:r>
              <w:rPr>
                <w:rFonts w:ascii="仿宋_GB2312" w:hAnsi="仿宋_GB2312" w:cs="仿宋_GB2312" w:eastAsia="仿宋_GB2312"/>
                <w:sz w:val="21"/>
              </w:rPr>
              <w:t>14.具备中国国家强制性产品认证证书（3C认证）</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（二）液位仪探棒（数量：66根）</w:t>
            </w:r>
          </w:p>
          <w:p>
            <w:pPr>
              <w:pStyle w:val="null3"/>
            </w:pPr>
            <w:r>
              <w:rPr>
                <w:rFonts w:ascii="仿宋_GB2312" w:hAnsi="仿宋_GB2312" w:cs="仿宋_GB2312" w:eastAsia="仿宋_GB2312"/>
                <w:sz w:val="21"/>
              </w:rPr>
              <w:t>1.液位测量适用介质：汽油、柴油、煤油、甲醇汽油、乙醇汽油、水等。</w:t>
            </w:r>
          </w:p>
          <w:p>
            <w:pPr>
              <w:pStyle w:val="null3"/>
            </w:pPr>
            <w:r>
              <w:rPr>
                <w:rFonts w:ascii="仿宋_GB2312" w:hAnsi="仿宋_GB2312" w:cs="仿宋_GB2312" w:eastAsia="仿宋_GB2312"/>
                <w:sz w:val="21"/>
              </w:rPr>
              <w:t>2.供电电源可选为：24V（dc），12V（dc）。</w:t>
            </w:r>
          </w:p>
          <w:p>
            <w:pPr>
              <w:pStyle w:val="null3"/>
            </w:pPr>
            <w:r>
              <w:rPr>
                <w:rFonts w:ascii="仿宋_GB2312" w:hAnsi="仿宋_GB2312" w:cs="仿宋_GB2312" w:eastAsia="仿宋_GB2312"/>
                <w:sz w:val="21"/>
              </w:rPr>
              <w:t>3.探棒输出信号形式宜选用数字通讯，优先选用RS485信号。相应的数据单元支持RS232/RS485以及支持网络接口。</w:t>
            </w:r>
          </w:p>
          <w:p>
            <w:pPr>
              <w:pStyle w:val="null3"/>
            </w:pPr>
            <w:r>
              <w:rPr>
                <w:rFonts w:ascii="仿宋_GB2312" w:hAnsi="仿宋_GB2312" w:cs="仿宋_GB2312" w:eastAsia="仿宋_GB2312"/>
                <w:sz w:val="21"/>
              </w:rPr>
              <w:t>4.测量范围</w:t>
            </w:r>
          </w:p>
          <w:p>
            <w:pPr>
              <w:pStyle w:val="null3"/>
            </w:pPr>
            <w:r>
              <w:rPr>
                <w:rFonts w:ascii="仿宋_GB2312" w:hAnsi="仿宋_GB2312" w:cs="仿宋_GB2312" w:eastAsia="仿宋_GB2312"/>
                <w:sz w:val="21"/>
              </w:rPr>
              <w:t>4.1刚性杆：≤4m。</w:t>
            </w:r>
          </w:p>
          <w:p>
            <w:pPr>
              <w:pStyle w:val="null3"/>
            </w:pPr>
            <w:r>
              <w:rPr>
                <w:rFonts w:ascii="仿宋_GB2312" w:hAnsi="仿宋_GB2312" w:cs="仿宋_GB2312" w:eastAsia="仿宋_GB2312"/>
                <w:sz w:val="21"/>
              </w:rPr>
              <w:t>4.2液面测量的盲区：下盲区≤60㎜（按国标）</w:t>
            </w:r>
          </w:p>
          <w:p>
            <w:pPr>
              <w:pStyle w:val="null3"/>
            </w:pPr>
            <w:r>
              <w:rPr>
                <w:rFonts w:ascii="仿宋_GB2312" w:hAnsi="仿宋_GB2312" w:cs="仿宋_GB2312" w:eastAsia="仿宋_GB2312"/>
                <w:sz w:val="21"/>
              </w:rPr>
              <w:t>4.3界面测量的下盲区：≤15㎜（按国标）</w:t>
            </w:r>
          </w:p>
          <w:p>
            <w:pPr>
              <w:pStyle w:val="null3"/>
            </w:pPr>
            <w:r>
              <w:rPr>
                <w:rFonts w:ascii="仿宋_GB2312" w:hAnsi="仿宋_GB2312" w:cs="仿宋_GB2312" w:eastAsia="仿宋_GB2312"/>
                <w:sz w:val="21"/>
              </w:rPr>
              <w:t>5.油面绝对误差±0.5mm。</w:t>
            </w:r>
          </w:p>
          <w:p>
            <w:pPr>
              <w:pStyle w:val="null3"/>
            </w:pPr>
            <w:r>
              <w:rPr>
                <w:rFonts w:ascii="仿宋_GB2312" w:hAnsi="仿宋_GB2312" w:cs="仿宋_GB2312" w:eastAsia="仿宋_GB2312"/>
                <w:sz w:val="21"/>
              </w:rPr>
              <w:t>6.油品平均温度读出误差±0.2℃。</w:t>
            </w:r>
          </w:p>
          <w:p>
            <w:pPr>
              <w:pStyle w:val="null3"/>
            </w:pPr>
            <w:r>
              <w:rPr>
                <w:rFonts w:ascii="仿宋_GB2312" w:hAnsi="仿宋_GB2312" w:cs="仿宋_GB2312" w:eastAsia="仿宋_GB2312"/>
                <w:sz w:val="21"/>
              </w:rPr>
              <w:t>7.油位分辨率0.01mm。</w:t>
            </w:r>
          </w:p>
          <w:p>
            <w:pPr>
              <w:pStyle w:val="null3"/>
            </w:pPr>
            <w:r>
              <w:rPr>
                <w:rFonts w:ascii="仿宋_GB2312" w:hAnsi="仿宋_GB2312" w:cs="仿宋_GB2312" w:eastAsia="仿宋_GB2312"/>
                <w:sz w:val="21"/>
              </w:rPr>
              <w:t>8.水位分辨率0.01mm。</w:t>
            </w:r>
          </w:p>
          <w:p>
            <w:pPr>
              <w:pStyle w:val="null3"/>
            </w:pPr>
            <w:r>
              <w:rPr>
                <w:rFonts w:ascii="仿宋_GB2312" w:hAnsi="仿宋_GB2312" w:cs="仿宋_GB2312" w:eastAsia="仿宋_GB2312"/>
                <w:sz w:val="21"/>
              </w:rPr>
              <w:t>9.温度测量点数 5点油温和1点平均温度。</w:t>
            </w:r>
          </w:p>
          <w:p>
            <w:pPr>
              <w:pStyle w:val="null3"/>
            </w:pPr>
            <w:r>
              <w:rPr>
                <w:rFonts w:ascii="仿宋_GB2312" w:hAnsi="仿宋_GB2312" w:cs="仿宋_GB2312" w:eastAsia="仿宋_GB2312"/>
                <w:sz w:val="21"/>
              </w:rPr>
              <w:t>10.基本温度分辨率 0.1℃。</w:t>
            </w:r>
          </w:p>
          <w:p>
            <w:pPr>
              <w:pStyle w:val="null3"/>
            </w:pPr>
            <w:r>
              <w:rPr>
                <w:rFonts w:ascii="仿宋_GB2312" w:hAnsi="仿宋_GB2312" w:cs="仿宋_GB2312" w:eastAsia="仿宋_GB2312"/>
                <w:sz w:val="21"/>
              </w:rPr>
              <w:t>11.探棒外管材料 不锈钢（316），满足液位仪使用环境要求。</w:t>
            </w:r>
          </w:p>
          <w:p>
            <w:pPr>
              <w:pStyle w:val="null3"/>
            </w:pPr>
            <w:r>
              <w:rPr>
                <w:rFonts w:ascii="仿宋_GB2312" w:hAnsi="仿宋_GB2312" w:cs="仿宋_GB2312" w:eastAsia="仿宋_GB2312"/>
                <w:sz w:val="21"/>
              </w:rPr>
              <w:t>12.安装方式立管式，能始终保持自然垂直。</w:t>
            </w:r>
          </w:p>
          <w:p>
            <w:pPr>
              <w:pStyle w:val="null3"/>
            </w:pPr>
            <w:r>
              <w:rPr>
                <w:rFonts w:ascii="仿宋_GB2312" w:hAnsi="仿宋_GB2312" w:cs="仿宋_GB2312" w:eastAsia="仿宋_GB2312"/>
                <w:sz w:val="21"/>
              </w:rPr>
              <w:t>13.可靠性：抗电磁干扰，抗雷击浪涌、防晃电。提供所投产品的电磁兼容性检测报告及防雷（电涌）检测报告</w:t>
            </w:r>
          </w:p>
          <w:p>
            <w:pPr>
              <w:pStyle w:val="null3"/>
            </w:pPr>
            <w:r>
              <w:rPr>
                <w:rFonts w:ascii="仿宋_GB2312" w:hAnsi="仿宋_GB2312" w:cs="仿宋_GB2312" w:eastAsia="仿宋_GB2312"/>
                <w:sz w:val="21"/>
              </w:rPr>
              <w:t>14.防爆要求：不低于Ex ia IIA T4。</w:t>
            </w:r>
          </w:p>
          <w:p>
            <w:pPr>
              <w:pStyle w:val="null3"/>
            </w:pPr>
            <w:r>
              <w:rPr>
                <w:rFonts w:ascii="仿宋_GB2312" w:hAnsi="仿宋_GB2312" w:cs="仿宋_GB2312" w:eastAsia="仿宋_GB2312"/>
                <w:sz w:val="21"/>
              </w:rPr>
              <w:t>15.防护性能：液位仪探棒应符合 GB4208 的要求，防护等级IP67 以上。</w:t>
            </w:r>
          </w:p>
          <w:p>
            <w:pPr>
              <w:pStyle w:val="null3"/>
            </w:pPr>
            <w:r>
              <w:rPr>
                <w:rFonts w:ascii="仿宋_GB2312" w:hAnsi="仿宋_GB2312" w:cs="仿宋_GB2312" w:eastAsia="仿宋_GB2312"/>
                <w:sz w:val="21"/>
              </w:rPr>
              <w:t>16.工作环境</w:t>
            </w:r>
          </w:p>
          <w:p>
            <w:pPr>
              <w:pStyle w:val="null3"/>
            </w:pPr>
            <w:r>
              <w:rPr>
                <w:rFonts w:ascii="仿宋_GB2312" w:hAnsi="仿宋_GB2312" w:cs="仿宋_GB2312" w:eastAsia="仿宋_GB2312"/>
                <w:sz w:val="21"/>
              </w:rPr>
              <w:t>16.1环境温度范围：-25℃～+55℃</w:t>
            </w:r>
          </w:p>
          <w:p>
            <w:pPr>
              <w:pStyle w:val="null3"/>
            </w:pPr>
            <w:r>
              <w:rPr>
                <w:rFonts w:ascii="仿宋_GB2312" w:hAnsi="仿宋_GB2312" w:cs="仿宋_GB2312" w:eastAsia="仿宋_GB2312"/>
                <w:sz w:val="21"/>
              </w:rPr>
              <w:t>16.2相对湿度：0%～98%。</w:t>
            </w:r>
          </w:p>
          <w:p>
            <w:pPr>
              <w:pStyle w:val="null3"/>
            </w:pPr>
            <w:r>
              <w:rPr>
                <w:rFonts w:ascii="仿宋_GB2312" w:hAnsi="仿宋_GB2312" w:cs="仿宋_GB2312" w:eastAsia="仿宋_GB2312"/>
                <w:sz w:val="21"/>
              </w:rPr>
              <w:t>17探棒需具备的测漏精度按照国标相关要求0.76升/小时。</w:t>
            </w:r>
          </w:p>
          <w:p>
            <w:pPr>
              <w:pStyle w:val="null3"/>
            </w:pPr>
            <w:r>
              <w:rPr>
                <w:rFonts w:ascii="仿宋_GB2312" w:hAnsi="仿宋_GB2312" w:cs="仿宋_GB2312" w:eastAsia="仿宋_GB2312"/>
                <w:sz w:val="21"/>
              </w:rPr>
              <w:t>18具备中国国家强制性产品认证证书（3C认证）</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（三）液位仪数据采集设备（数量：18台）</w:t>
            </w:r>
          </w:p>
          <w:p>
            <w:pPr>
              <w:pStyle w:val="null3"/>
            </w:pPr>
            <w:r>
              <w:rPr>
                <w:rFonts w:ascii="仿宋_GB2312" w:hAnsi="仿宋_GB2312" w:cs="仿宋_GB2312" w:eastAsia="仿宋_GB2312"/>
                <w:sz w:val="21"/>
              </w:rPr>
              <w:t>1.可适配多个品牌的液位仪协议，从串口采集数据。包含：维德路特（Veeder-Root）、澳科、OPW、富兰克林（Franklin）、爱国者（Aigo）、永邦（WINDBELL）、仪通（YT）、三绅（SASEN）、力诺（LINO）、开物通、邦宇、泰宁、凌特、环宸新能源、康宇测控、慧赢电气、法芙尼、长润仪表、贵和测控、福瑞德、北京弘鹏等。</w:t>
            </w:r>
          </w:p>
          <w:p>
            <w:pPr>
              <w:pStyle w:val="null3"/>
            </w:pPr>
            <w:r>
              <w:rPr>
                <w:rFonts w:ascii="仿宋_GB2312" w:hAnsi="仿宋_GB2312" w:cs="仿宋_GB2312" w:eastAsia="仿宋_GB2312"/>
                <w:sz w:val="21"/>
              </w:rPr>
              <w:t>2.实时获取液位仪罐存。包含：罐号、油高、温度、体积，数据采集间隔不少于3分钟。</w:t>
            </w:r>
          </w:p>
          <w:p>
            <w:pPr>
              <w:pStyle w:val="null3"/>
            </w:pPr>
            <w:r>
              <w:rPr>
                <w:rFonts w:ascii="仿宋_GB2312" w:hAnsi="仿宋_GB2312" w:cs="仿宋_GB2312" w:eastAsia="仿宋_GB2312"/>
                <w:sz w:val="21"/>
              </w:rPr>
              <w:t>3.自动判断卸油数据。包含：罐号、开始时间、开始罐存、结束时间、结束罐存。</w:t>
            </w:r>
          </w:p>
          <w:p>
            <w:pPr>
              <w:pStyle w:val="null3"/>
            </w:pPr>
            <w:r>
              <w:rPr>
                <w:rFonts w:ascii="仿宋_GB2312" w:hAnsi="仿宋_GB2312" w:cs="仿宋_GB2312" w:eastAsia="仿宋_GB2312"/>
                <w:sz w:val="21"/>
              </w:rPr>
              <w:t>4.自动校时。开机及每30分钟与网络标准时间同步</w:t>
            </w:r>
          </w:p>
          <w:p>
            <w:pPr>
              <w:pStyle w:val="null3"/>
            </w:pPr>
            <w:r>
              <w:rPr>
                <w:rFonts w:ascii="仿宋_GB2312" w:hAnsi="仿宋_GB2312" w:cs="仿宋_GB2312" w:eastAsia="仿宋_GB2312"/>
                <w:sz w:val="21"/>
              </w:rPr>
              <w:t>5.数据存储。可存储罐存、卸油数据，数据不少于10000条。</w:t>
            </w:r>
          </w:p>
          <w:p>
            <w:pPr>
              <w:pStyle w:val="null3"/>
            </w:pPr>
            <w:r>
              <w:rPr>
                <w:rFonts w:ascii="仿宋_GB2312" w:hAnsi="仿宋_GB2312" w:cs="仿宋_GB2312" w:eastAsia="仿宋_GB2312"/>
                <w:sz w:val="21"/>
              </w:rPr>
              <w:t>6.数据上传。采用有线网络或4G通讯，将数据加密上传到数据监控平台，当网络中断后，数据可补传到数据监控平台</w:t>
            </w:r>
          </w:p>
          <w:p>
            <w:pPr>
              <w:pStyle w:val="null3"/>
            </w:pPr>
            <w:r>
              <w:rPr>
                <w:rFonts w:ascii="仿宋_GB2312" w:hAnsi="仿宋_GB2312" w:cs="仿宋_GB2312" w:eastAsia="仿宋_GB2312"/>
                <w:sz w:val="21"/>
              </w:rPr>
              <w:t>7.远程设置及升级。可从服务器下发采集频率参数；也可远程升级设备程序；</w:t>
            </w:r>
          </w:p>
          <w:p>
            <w:pPr>
              <w:pStyle w:val="null3"/>
            </w:pPr>
            <w:r>
              <w:rPr>
                <w:rFonts w:ascii="仿宋_GB2312" w:hAnsi="仿宋_GB2312" w:cs="仿宋_GB2312" w:eastAsia="仿宋_GB2312"/>
                <w:sz w:val="21"/>
              </w:rPr>
              <w:t>8.液位仪串口复用。支持串口数据转发给其他站级设备，不影响现有站级设备获取数据。</w:t>
            </w:r>
          </w:p>
          <w:p>
            <w:pPr>
              <w:pStyle w:val="null3"/>
            </w:pPr>
            <w:r>
              <w:rPr>
                <w:rFonts w:ascii="仿宋_GB2312" w:hAnsi="仿宋_GB2312" w:cs="仿宋_GB2312" w:eastAsia="仿宋_GB2312"/>
                <w:sz w:val="21"/>
              </w:rPr>
              <w:t>9.流量卡：液位仪数据采集服务≥500M/月（按运维期5年计）</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（四）加油站智慧监管平台（数量：1套）</w:t>
            </w:r>
          </w:p>
          <w:p>
            <w:pPr>
              <w:pStyle w:val="null3"/>
            </w:pPr>
            <w:r>
              <w:rPr>
                <w:rFonts w:ascii="仿宋_GB2312" w:hAnsi="仿宋_GB2312" w:cs="仿宋_GB2312" w:eastAsia="仿宋_GB2312"/>
                <w:sz w:val="21"/>
              </w:rPr>
              <w:t>1.平台支持至少60座油站连接</w:t>
            </w:r>
          </w:p>
          <w:p>
            <w:pPr>
              <w:pStyle w:val="null3"/>
            </w:pPr>
            <w:r>
              <w:rPr>
                <w:rFonts w:ascii="仿宋_GB2312" w:hAnsi="仿宋_GB2312" w:cs="仿宋_GB2312" w:eastAsia="仿宋_GB2312"/>
                <w:sz w:val="21"/>
              </w:rPr>
              <w:t>2.采用浏览器方式访问，支持主流浏览器</w:t>
            </w:r>
          </w:p>
          <w:p>
            <w:pPr>
              <w:pStyle w:val="null3"/>
            </w:pPr>
            <w:r>
              <w:rPr>
                <w:rFonts w:ascii="仿宋_GB2312" w:hAnsi="仿宋_GB2312" w:cs="仿宋_GB2312" w:eastAsia="仿宋_GB2312"/>
                <w:sz w:val="21"/>
              </w:rPr>
              <w:t>3.可查看接入系统的油站通讯状态及数量（总量、离线、在线）。</w:t>
            </w:r>
          </w:p>
          <w:p>
            <w:pPr>
              <w:pStyle w:val="null3"/>
            </w:pPr>
            <w:r>
              <w:rPr>
                <w:rFonts w:ascii="仿宋_GB2312" w:hAnsi="仿宋_GB2312" w:cs="仿宋_GB2312" w:eastAsia="仿宋_GB2312"/>
                <w:sz w:val="21"/>
              </w:rPr>
              <w:t>4.可查看实时库存等信息。</w:t>
            </w:r>
          </w:p>
          <w:p>
            <w:pPr>
              <w:pStyle w:val="null3"/>
            </w:pPr>
            <w:r>
              <w:rPr>
                <w:rFonts w:ascii="仿宋_GB2312" w:hAnsi="仿宋_GB2312" w:cs="仿宋_GB2312" w:eastAsia="仿宋_GB2312"/>
                <w:sz w:val="21"/>
              </w:rPr>
              <w:t>5.可查询不同时间段油站的库存记录，包括整点库存、间隔罐存、交接班库存。曲线方式显示罐存变化趋势</w:t>
            </w:r>
          </w:p>
          <w:p>
            <w:pPr>
              <w:pStyle w:val="null3"/>
            </w:pPr>
            <w:r>
              <w:rPr>
                <w:rFonts w:ascii="仿宋_GB2312" w:hAnsi="仿宋_GB2312" w:cs="仿宋_GB2312" w:eastAsia="仿宋_GB2312"/>
                <w:sz w:val="21"/>
              </w:rPr>
              <w:t>6.可查询油站卸油记录，卸油汇总</w:t>
            </w:r>
          </w:p>
          <w:p>
            <w:pPr>
              <w:pStyle w:val="null3"/>
            </w:pPr>
            <w:r>
              <w:rPr>
                <w:rFonts w:ascii="仿宋_GB2312" w:hAnsi="仿宋_GB2312" w:cs="仿宋_GB2312" w:eastAsia="仿宋_GB2312"/>
                <w:sz w:val="21"/>
              </w:rPr>
              <w:t>7.罐存数据每日分析，检测异常罐存，包含不连续、期初或期末时间不准、油品罐出量为负数、罐存中断期间卸油。</w:t>
            </w:r>
          </w:p>
          <w:p>
            <w:pPr>
              <w:pStyle w:val="null3"/>
            </w:pPr>
            <w:r>
              <w:rPr>
                <w:rFonts w:ascii="仿宋_GB2312" w:hAnsi="仿宋_GB2312" w:cs="仿宋_GB2312" w:eastAsia="仿宋_GB2312"/>
                <w:sz w:val="21"/>
              </w:rPr>
              <w:t>8.离线通知，短信通知离线站信息给指定手机号</w:t>
            </w:r>
          </w:p>
          <w:p>
            <w:pPr>
              <w:pStyle w:val="null3"/>
            </w:pPr>
            <w:r>
              <w:rPr>
                <w:rFonts w:ascii="仿宋_GB2312" w:hAnsi="仿宋_GB2312" w:cs="仿宋_GB2312" w:eastAsia="仿宋_GB2312"/>
                <w:sz w:val="21"/>
              </w:rPr>
              <w:t>9.油品添加或删除油品，可设置油品密度，对应颜色标识等。维护油站企业信息，如油站名称，编码、设备品牌等。维护油罐信息，直径、最大罐容等</w:t>
            </w:r>
          </w:p>
          <w:p>
            <w:pPr>
              <w:pStyle w:val="null3"/>
            </w:pPr>
            <w:r>
              <w:rPr>
                <w:rFonts w:ascii="仿宋_GB2312" w:hAnsi="仿宋_GB2312" w:cs="仿宋_GB2312" w:eastAsia="仿宋_GB2312"/>
                <w:sz w:val="21"/>
              </w:rPr>
              <w:t>10.可设置访问账号，查看不同范围的数据</w:t>
            </w:r>
          </w:p>
          <w:p>
            <w:pPr>
              <w:pStyle w:val="null3"/>
            </w:pPr>
            <w:r>
              <w:rPr>
                <w:rFonts w:ascii="仿宋_GB2312" w:hAnsi="仿宋_GB2312" w:cs="仿宋_GB2312" w:eastAsia="仿宋_GB2312"/>
                <w:sz w:val="21"/>
              </w:rPr>
              <w:t>11.所有数据可保存3年。</w:t>
            </w:r>
          </w:p>
          <w:p>
            <w:pPr>
              <w:pStyle w:val="null3"/>
            </w:pPr>
            <w:r>
              <w:rPr>
                <w:rFonts w:ascii="仿宋_GB2312" w:hAnsi="仿宋_GB2312" w:cs="仿宋_GB2312" w:eastAsia="仿宋_GB2312"/>
                <w:sz w:val="21"/>
              </w:rPr>
              <w:t>12.软件体系结构、开发工具语言要具备良好的软硬件兼容性，不受限于特定硬件和软件环境,确保系统的跨平台部署能力。</w:t>
            </w:r>
          </w:p>
          <w:p>
            <w:pPr>
              <w:pStyle w:val="null3"/>
            </w:pPr>
            <w:r>
              <w:rPr>
                <w:rFonts w:ascii="仿宋_GB2312" w:hAnsi="仿宋_GB2312" w:cs="仿宋_GB2312" w:eastAsia="仿宋_GB2312"/>
                <w:sz w:val="21"/>
              </w:rPr>
              <w:t>13.系统架构和软件设计要充分考虑税务部门的实际情况，满足不同层次、不同年龄人员的实际要求，做到简单、易用、人性化，导航清晰，界面美观，功能醒目，数据展现方式多样化。</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rPr>
              <w:t>（五</w:t>
            </w:r>
            <w:r>
              <w:rPr>
                <w:rFonts w:ascii="仿宋_GB2312" w:hAnsi="仿宋_GB2312" w:cs="仿宋_GB2312" w:eastAsia="仿宋_GB2312"/>
                <w:sz w:val="21"/>
              </w:rPr>
              <w:t>）</w:t>
            </w:r>
            <w:r>
              <w:rPr>
                <w:rFonts w:ascii="仿宋_GB2312" w:hAnsi="仿宋_GB2312" w:cs="仿宋_GB2312" w:eastAsia="仿宋_GB2312"/>
                <w:sz w:val="21"/>
              </w:rPr>
              <w:t>工作站</w:t>
            </w:r>
            <w:r>
              <w:rPr>
                <w:rFonts w:ascii="仿宋_GB2312" w:hAnsi="仿宋_GB2312" w:cs="仿宋_GB2312" w:eastAsia="仿宋_GB2312"/>
                <w:sz w:val="21"/>
              </w:rPr>
              <w:t>（数量：1台）</w:t>
            </w:r>
          </w:p>
          <w:p>
            <w:pPr>
              <w:pStyle w:val="null3"/>
              <w:jc w:val="both"/>
            </w:pPr>
            <w:r>
              <w:rPr>
                <w:rFonts w:ascii="仿宋_GB2312" w:hAnsi="仿宋_GB2312" w:cs="仿宋_GB2312" w:eastAsia="仿宋_GB2312"/>
                <w:sz w:val="21"/>
              </w:rPr>
              <w:t>配置不低于</w:t>
            </w:r>
            <w:r>
              <w:rPr>
                <w:rFonts w:ascii="仿宋_GB2312" w:hAnsi="仿宋_GB2312" w:cs="仿宋_GB2312" w:eastAsia="仿宋_GB2312"/>
                <w:sz w:val="21"/>
              </w:rPr>
              <w:t>：</w:t>
            </w:r>
            <w:r>
              <w:rPr>
                <w:rFonts w:ascii="仿宋_GB2312" w:hAnsi="仿宋_GB2312" w:cs="仿宋_GB2312" w:eastAsia="仿宋_GB2312"/>
                <w:sz w:val="21"/>
              </w:rPr>
              <w:t>8核心16线程主</w:t>
            </w:r>
            <w:r>
              <w:rPr>
                <w:rFonts w:ascii="仿宋_GB2312" w:hAnsi="仿宋_GB2312" w:cs="仿宋_GB2312" w:eastAsia="仿宋_GB2312"/>
                <w:sz w:val="21"/>
              </w:rPr>
              <w:t>频3.2G、16G内存</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rPr>
              <w:t>（六）</w:t>
            </w:r>
            <w:r>
              <w:rPr>
                <w:rFonts w:ascii="仿宋_GB2312" w:hAnsi="仿宋_GB2312" w:cs="仿宋_GB2312" w:eastAsia="仿宋_GB2312"/>
                <w:sz w:val="21"/>
              </w:rPr>
              <w:t>显示设备</w:t>
            </w:r>
            <w:r>
              <w:rPr>
                <w:rFonts w:ascii="仿宋_GB2312" w:hAnsi="仿宋_GB2312" w:cs="仿宋_GB2312" w:eastAsia="仿宋_GB2312"/>
                <w:sz w:val="21"/>
              </w:rPr>
              <w:t>（数量：1台）</w:t>
            </w:r>
          </w:p>
          <w:p>
            <w:pPr>
              <w:pStyle w:val="null3"/>
            </w:pPr>
            <w:r>
              <w:rPr>
                <w:rFonts w:ascii="仿宋_GB2312" w:hAnsi="仿宋_GB2312" w:cs="仿宋_GB2312" w:eastAsia="仿宋_GB2312"/>
                <w:sz w:val="21"/>
              </w:rPr>
              <w:t>1.尺寸：</w:t>
            </w:r>
            <w:r>
              <w:rPr>
                <w:rFonts w:ascii="仿宋_GB2312" w:hAnsi="仿宋_GB2312" w:cs="仿宋_GB2312" w:eastAsia="仿宋_GB2312"/>
                <w:sz w:val="21"/>
                <w:b/>
              </w:rPr>
              <w:t>≥</w:t>
            </w:r>
            <w:r>
              <w:rPr>
                <w:rFonts w:ascii="仿宋_GB2312" w:hAnsi="仿宋_GB2312" w:cs="仿宋_GB2312" w:eastAsia="仿宋_GB2312"/>
                <w:sz w:val="21"/>
              </w:rPr>
              <w:t>85英寸；</w:t>
            </w:r>
          </w:p>
          <w:p>
            <w:pPr>
              <w:pStyle w:val="null3"/>
            </w:pPr>
            <w:r>
              <w:rPr>
                <w:rFonts w:ascii="仿宋_GB2312" w:hAnsi="仿宋_GB2312" w:cs="仿宋_GB2312" w:eastAsia="仿宋_GB2312"/>
                <w:sz w:val="21"/>
              </w:rPr>
              <w:t>2.能效等级：一级能效；</w:t>
            </w:r>
          </w:p>
          <w:p>
            <w:pPr>
              <w:pStyle w:val="null3"/>
            </w:pPr>
            <w:r>
              <w:rPr>
                <w:rFonts w:ascii="仿宋_GB2312" w:hAnsi="仿宋_GB2312" w:cs="仿宋_GB2312" w:eastAsia="仿宋_GB2312"/>
                <w:sz w:val="21"/>
              </w:rPr>
              <w:t>3.刷屏率：</w:t>
            </w:r>
            <w:r>
              <w:rPr>
                <w:rFonts w:ascii="仿宋_GB2312" w:hAnsi="仿宋_GB2312" w:cs="仿宋_GB2312" w:eastAsia="仿宋_GB2312"/>
                <w:sz w:val="21"/>
                <w:b/>
              </w:rPr>
              <w:t>≥</w:t>
            </w:r>
            <w:r>
              <w:rPr>
                <w:rFonts w:ascii="仿宋_GB2312" w:hAnsi="仿宋_GB2312" w:cs="仿宋_GB2312" w:eastAsia="仿宋_GB2312"/>
                <w:sz w:val="21"/>
              </w:rPr>
              <w:t>120Hz；</w:t>
            </w:r>
          </w:p>
          <w:p>
            <w:pPr>
              <w:pStyle w:val="null3"/>
            </w:pPr>
            <w:r>
              <w:rPr>
                <w:rFonts w:ascii="仿宋_GB2312" w:hAnsi="仿宋_GB2312" w:cs="仿宋_GB2312" w:eastAsia="仿宋_GB2312"/>
                <w:sz w:val="21"/>
              </w:rPr>
              <w:t>4.存储内存：</w:t>
            </w:r>
            <w:r>
              <w:rPr>
                <w:rFonts w:ascii="仿宋_GB2312" w:hAnsi="仿宋_GB2312" w:cs="仿宋_GB2312" w:eastAsia="仿宋_GB2312"/>
                <w:sz w:val="21"/>
                <w:b/>
              </w:rPr>
              <w:t>≥</w:t>
            </w:r>
            <w:r>
              <w:rPr>
                <w:rFonts w:ascii="仿宋_GB2312" w:hAnsi="仿宋_GB2312" w:cs="仿宋_GB2312" w:eastAsia="仿宋_GB2312"/>
                <w:sz w:val="21"/>
              </w:rPr>
              <w:t>64GB；</w:t>
            </w:r>
          </w:p>
          <w:p>
            <w:pPr>
              <w:pStyle w:val="null3"/>
            </w:pPr>
            <w:r>
              <w:rPr>
                <w:rFonts w:ascii="仿宋_GB2312" w:hAnsi="仿宋_GB2312" w:cs="仿宋_GB2312" w:eastAsia="仿宋_GB2312"/>
                <w:sz w:val="21"/>
              </w:rPr>
              <w:t>5.运行内存/RAM：</w:t>
            </w:r>
            <w:r>
              <w:rPr>
                <w:rFonts w:ascii="仿宋_GB2312" w:hAnsi="仿宋_GB2312" w:cs="仿宋_GB2312" w:eastAsia="仿宋_GB2312"/>
                <w:sz w:val="21"/>
                <w:b/>
              </w:rPr>
              <w:t>≥</w:t>
            </w:r>
            <w:r>
              <w:rPr>
                <w:rFonts w:ascii="仿宋_GB2312" w:hAnsi="仿宋_GB2312" w:cs="仿宋_GB2312" w:eastAsia="仿宋_GB2312"/>
                <w:sz w:val="21"/>
              </w:rPr>
              <w:t>3GB；</w:t>
            </w:r>
          </w:p>
          <w:p>
            <w:pPr>
              <w:pStyle w:val="null3"/>
              <w:jc w:val="both"/>
            </w:pPr>
            <w:r>
              <w:rPr>
                <w:rFonts w:ascii="仿宋_GB2312" w:hAnsi="仿宋_GB2312" w:cs="仿宋_GB2312" w:eastAsia="仿宋_GB2312"/>
                <w:sz w:val="21"/>
              </w:rPr>
              <w:t>6.屏幕分辨率：</w:t>
            </w:r>
            <w:r>
              <w:rPr>
                <w:rFonts w:ascii="仿宋_GB2312" w:hAnsi="仿宋_GB2312" w:cs="仿宋_GB2312" w:eastAsia="仿宋_GB2312"/>
                <w:sz w:val="21"/>
              </w:rPr>
              <w:t>超高清4K</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1"/>
              </w:rPr>
              <w:t>四、运维服务</w:t>
            </w:r>
          </w:p>
          <w:p>
            <w:pPr>
              <w:pStyle w:val="null3"/>
            </w:pPr>
            <w:r>
              <w:rPr>
                <w:rFonts w:ascii="仿宋_GB2312" w:hAnsi="仿宋_GB2312" w:cs="仿宋_GB2312" w:eastAsia="仿宋_GB2312"/>
                <w:sz w:val="21"/>
              </w:rPr>
              <w:t>1.中标人提供合同期内的设备维修维护、系统升级、数据对接服务。设备网络传输、平台数据对接等工作产生的所有费用由中标人承担。</w:t>
            </w:r>
          </w:p>
          <w:p>
            <w:pPr>
              <w:pStyle w:val="null3"/>
            </w:pPr>
            <w:r>
              <w:rPr>
                <w:rFonts w:ascii="仿宋_GB2312" w:hAnsi="仿宋_GB2312" w:cs="仿宋_GB2312" w:eastAsia="仿宋_GB2312"/>
                <w:sz w:val="21"/>
              </w:rPr>
              <w:t>2.中标人提供合同期内的联网监控服务。中标人负责税控设备在线运行状态等信息，保障与各相关平台链路的畅通稳定，负责相关数据的实时比对分析，对于异常数据能够第一时间人工介入处理。</w:t>
            </w:r>
          </w:p>
          <w:p>
            <w:pPr>
              <w:pStyle w:val="null3"/>
            </w:pPr>
            <w:r>
              <w:rPr>
                <w:rFonts w:ascii="仿宋_GB2312" w:hAnsi="仿宋_GB2312" w:cs="仿宋_GB2312" w:eastAsia="仿宋_GB2312"/>
                <w:sz w:val="21"/>
              </w:rPr>
              <w:t>3.中标人应设立客服电话，7*24小时有人值守，一旦设备或监控平台发生故障或产生报警时，需要做到30分钟内响应，8小时内到达现场，复核意外情况并进行相应处置或24小时内排除故障。</w:t>
            </w:r>
          </w:p>
          <w:p>
            <w:pPr>
              <w:pStyle w:val="null3"/>
            </w:pPr>
            <w:r>
              <w:rPr>
                <w:rFonts w:ascii="仿宋_GB2312" w:hAnsi="仿宋_GB2312" w:cs="仿宋_GB2312" w:eastAsia="仿宋_GB2312"/>
                <w:sz w:val="21"/>
              </w:rPr>
              <w:t>4.技术咨询/支持服务。在遇到故障或需要技术咨询时，中标人在规定时限内，通过电话、视频、现场协助的方式进行支持服务。</w:t>
            </w:r>
          </w:p>
          <w:p>
            <w:pPr>
              <w:pStyle w:val="null3"/>
              <w:jc w:val="both"/>
            </w:pPr>
            <w:r>
              <w:rPr>
                <w:rFonts w:ascii="仿宋_GB2312" w:hAnsi="仿宋_GB2312" w:cs="仿宋_GB2312" w:eastAsia="仿宋_GB2312"/>
                <w:sz w:val="21"/>
              </w:rPr>
              <w:t>5.项目需要提供验收合格之日起</w:t>
            </w:r>
            <w:r>
              <w:rPr>
                <w:rFonts w:ascii="仿宋_GB2312" w:hAnsi="仿宋_GB2312" w:cs="仿宋_GB2312" w:eastAsia="仿宋_GB2312"/>
                <w:sz w:val="21"/>
              </w:rPr>
              <w:t>6</w:t>
            </w:r>
            <w:r>
              <w:rPr>
                <w:rFonts w:ascii="仿宋_GB2312" w:hAnsi="仿宋_GB2312" w:cs="仿宋_GB2312" w:eastAsia="仿宋_GB2312"/>
                <w:sz w:val="21"/>
              </w:rPr>
              <w:t>年的运维服务。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交付期：自合同签订之日起15日历日内交付并完成系统上线。 服务期：自验收合格之日起六年。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采购单位指定地点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乙方收到服务费后根据甲方要求进行平台部署服务，在乙方完成平台部署服务后一个月内，经双方共同验收合格后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1、本项目需要落实的政府采购政策: （1）《政府采购促进中小企业发展管理办法》的通知--财库〔2020〕46号 （2）财政部司法部关于政府采购支持监狱企业发展有关问题的通知--财库[2014]68号 （3）《财政部 发展改革委 生态环境部 市场监管总局关于调整优化节能产品 环境标志产品政府采购执行机制的通知》（财库〔2019〕9号） （4）《关于促进残疾人就业政府采购政策的通知》（财库[2017]141号） （5）《陕西省财政厅关于加快推进我省中小企业政府采购信用融资工作的通知》（陕财办采〔2020〕15 号） （6）《陕西省中小企业政府采购信用融资办法》陕财办采〔2018〕23号 （7）《关于运用政府采购政策支持乡村产业振兴的通知》（财库〔2021〕19 号） （8）《关于进一步加大政府采购支持中小企业力度的通知》（财库〔2022〕19号） （9）《陕西省财政厅关于进一步落实政府采购支持中小企业相关政策的通知》（陕财办采〔2023〕3号） （10） 若享受以上政策优惠的企业，提供相应声明函或品目范围内产品有效认证证书。如有最新颁布的政府采购政策，按最新的文件执行。2、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法定代表人授权书及被授权人身份证。（法定代表人直接参与磋商只须提交其身份证明书）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分项报价表.docx 服务内容及服务邀请应答表 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服务内容及服务邀请应答表 商务应答表 供应商认为有必要说明的问题.docx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响应产品的技术指标、参数完全符合、满足磋商文件要求，没有负偏离的计18分；每负偏离一项扣0.3分，扣完为止。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项目需求分析</w:t>
            </w:r>
          </w:p>
        </w:tc>
        <w:tc>
          <w:tcPr>
            <w:tcW w:type="dxa" w:w="2492"/>
          </w:tcPr>
          <w:p>
            <w:pPr>
              <w:pStyle w:val="null3"/>
            </w:pPr>
            <w:r>
              <w:rPr>
                <w:rFonts w:ascii="仿宋_GB2312" w:hAnsi="仿宋_GB2312" w:cs="仿宋_GB2312" w:eastAsia="仿宋_GB2312"/>
              </w:rPr>
              <w:t>供应商根据本项目实际需求情况，对本项目进行全面、准确、细致的需求分析，包括：①项目需求分析、②建设目标及原则；满分6分。每有一项缺项扣3分；每有一处内容存在缺陷扣1.5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详细评审---项目需求分析.docx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供应商须根据采购需求提供针对本项目的技术方案，包括：①总体架构设计、②数据安全保证措施；满分6分。每有一项缺项扣3分；每有一处内容存在缺陷扣1.5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须根据采购需求提供针对本项目的实施方案，包括：①生产方案；②加油站数据采集服务方案、③质量保障方案、④进度计划及保障措施、⑤供货组织方案；满分15分。每有一项缺项扣3分；每有一处内容存在缺陷扣1.5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供应商须根据采购需求提供针对本项目的安全保障方案，包括：①项目风险管理、②网络安全方案；满分6分。每有一项缺项扣3分；每有一处内容存在缺陷扣1.5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详细评审---安全保障方案.docx</w:t>
            </w:r>
          </w:p>
        </w:tc>
      </w:tr>
      <w:tr>
        <w:tc>
          <w:tcPr>
            <w:tcW w:type="dxa" w:w="831"/>
            <w:vMerge/>
          </w:tcPr>
          <w:p/>
        </w:tc>
        <w:tc>
          <w:tcPr>
            <w:tcW w:type="dxa" w:w="1661"/>
          </w:tcPr>
          <w:p>
            <w:pPr>
              <w:pStyle w:val="null3"/>
            </w:pPr>
            <w:r>
              <w:rPr>
                <w:rFonts w:ascii="仿宋_GB2312" w:hAnsi="仿宋_GB2312" w:cs="仿宋_GB2312" w:eastAsia="仿宋_GB2312"/>
              </w:rPr>
              <w:t>日常维护方案</w:t>
            </w:r>
          </w:p>
        </w:tc>
        <w:tc>
          <w:tcPr>
            <w:tcW w:type="dxa" w:w="2492"/>
          </w:tcPr>
          <w:p>
            <w:pPr>
              <w:pStyle w:val="null3"/>
            </w:pPr>
            <w:r>
              <w:rPr>
                <w:rFonts w:ascii="仿宋_GB2312" w:hAnsi="仿宋_GB2312" w:cs="仿宋_GB2312" w:eastAsia="仿宋_GB2312"/>
              </w:rPr>
              <w:t>供应商须根据采购需求提供针对本项目的日常维护方案，包括：①日常运维要求、②系统巡检方案、③故障排查及处理方案、④技术咨询/应用技术支持服务、⑤应急方案；满分15分。每有一项缺项扣3分；每有一处内容存在缺陷扣1.5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详细评审---日常维护方案.docx</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供应商有完善的管理体系，针对本项目的实施组织机构、人员安排有具体方案，包括但不限于：①管理组织架构；②人员职责与分工明确。满分6分。每有一项缺项扣3分；每有一处内容存在缺陷扣1.5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详细评审---管理体系.docx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须根据采购需求提供针对本项目的售后服务方案，包括①售后服务承诺、②售后服务体系及内容、③培训计划及方案；满分6分。每有一项缺项扣2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详细评审---售后服务方案.docx</w:t>
            </w:r>
          </w:p>
        </w:tc>
      </w:tr>
      <w:tr>
        <w:tc>
          <w:tcPr>
            <w:tcW w:type="dxa" w:w="831"/>
            <w:vMerge/>
          </w:tcPr>
          <w:p/>
        </w:tc>
        <w:tc>
          <w:tcPr>
            <w:tcW w:type="dxa" w:w="1661"/>
          </w:tcPr>
          <w:p>
            <w:pPr>
              <w:pStyle w:val="null3"/>
            </w:pPr>
            <w:r>
              <w:rPr>
                <w:rFonts w:ascii="仿宋_GB2312" w:hAnsi="仿宋_GB2312" w:cs="仿宋_GB2312" w:eastAsia="仿宋_GB2312"/>
              </w:rPr>
              <w:t>企业认证</w:t>
            </w:r>
          </w:p>
        </w:tc>
        <w:tc>
          <w:tcPr>
            <w:tcW w:type="dxa" w:w="2492"/>
          </w:tcPr>
          <w:p>
            <w:pPr>
              <w:pStyle w:val="null3"/>
            </w:pPr>
            <w:r>
              <w:rPr>
                <w:rFonts w:ascii="仿宋_GB2312" w:hAnsi="仿宋_GB2312" w:cs="仿宋_GB2312" w:eastAsia="仿宋_GB2312"/>
              </w:rPr>
              <w:t>1、投标人具有有效期内的ISO9001质量管理体系认证证书，得1分； 2、投标人具有有效期内的ISO14001环境管理体系认证证书，得1分； 3、投标人具有有效期内的ISO45001职业健康安全管理体系认证证书，得1分。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详细评审---企业认证.docx</w:t>
            </w:r>
          </w:p>
        </w:tc>
      </w:tr>
      <w:tr>
        <w:tc>
          <w:tcPr>
            <w:tcW w:type="dxa" w:w="831"/>
            <w:vMerge/>
          </w:tcPr>
          <w:p/>
        </w:tc>
        <w:tc>
          <w:tcPr>
            <w:tcW w:type="dxa" w:w="1661"/>
          </w:tcPr>
          <w:p>
            <w:pPr>
              <w:pStyle w:val="null3"/>
            </w:pPr>
            <w:r>
              <w:rPr>
                <w:rFonts w:ascii="仿宋_GB2312" w:hAnsi="仿宋_GB2312" w:cs="仿宋_GB2312" w:eastAsia="仿宋_GB2312"/>
              </w:rPr>
              <w:t>产品资质</w:t>
            </w:r>
          </w:p>
        </w:tc>
        <w:tc>
          <w:tcPr>
            <w:tcW w:type="dxa" w:w="2492"/>
          </w:tcPr>
          <w:p>
            <w:pPr>
              <w:pStyle w:val="null3"/>
            </w:pPr>
            <w:r>
              <w:rPr>
                <w:rFonts w:ascii="仿宋_GB2312" w:hAnsi="仿宋_GB2312" w:cs="仿宋_GB2312" w:eastAsia="仿宋_GB2312"/>
              </w:rPr>
              <w:t>1.投标人提供防爆认证机构出具的防爆电气设备安装、修理、维护能力认证证书，计2分。 2.液位仪设备需提供防爆认证机构出具的产品防爆认证：提供液位仪探棒防爆认证、控制台防爆认证、控制台及探棒的联合防爆认证。每提供1份计1分，满分3分。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详细评审---产品资质.docx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供应商需提供2022年10月1日至今同类项目业绩完整合同（以合同签订日期为准），提供一个得1分，满分4分。（提供合同复印件并加盖供应商公章）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价格分统一采用低价优先法计算，即满足磋商文件要求且磋商价格最低的磋商报价为评审基准价，其价格分为满分。其他供应商的价格分统一按照下列公式计算： 磋商报价得分=(评审基准价／磋商报价)×价格权值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详见附件：详细评审---项目需求分析.docx</w:t>
      </w:r>
    </w:p>
    <w:p>
      <w:pPr>
        <w:pStyle w:val="null3"/>
        <w:ind w:firstLine="960"/>
      </w:pPr>
      <w:r>
        <w:rPr>
          <w:rFonts w:ascii="仿宋_GB2312" w:hAnsi="仿宋_GB2312" w:cs="仿宋_GB2312" w:eastAsia="仿宋_GB2312"/>
        </w:rPr>
        <w:t>详见附件：详细评审---技术方案.docx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详见附件：详细评审---安全保障方案.docx</w:t>
      </w:r>
    </w:p>
    <w:p>
      <w:pPr>
        <w:pStyle w:val="null3"/>
        <w:ind w:firstLine="960"/>
      </w:pPr>
      <w:r>
        <w:rPr>
          <w:rFonts w:ascii="仿宋_GB2312" w:hAnsi="仿宋_GB2312" w:cs="仿宋_GB2312" w:eastAsia="仿宋_GB2312"/>
        </w:rPr>
        <w:t>详见附件：详细评审---日常维护方案.docx</w:t>
      </w:r>
    </w:p>
    <w:p>
      <w:pPr>
        <w:pStyle w:val="null3"/>
        <w:ind w:firstLine="960"/>
      </w:pPr>
      <w:r>
        <w:rPr>
          <w:rFonts w:ascii="仿宋_GB2312" w:hAnsi="仿宋_GB2312" w:cs="仿宋_GB2312" w:eastAsia="仿宋_GB2312"/>
        </w:rPr>
        <w:t>详见附件：详细评审---管理体系.docx</w:t>
      </w:r>
    </w:p>
    <w:p>
      <w:pPr>
        <w:pStyle w:val="null3"/>
        <w:ind w:firstLine="960"/>
      </w:pPr>
      <w:r>
        <w:rPr>
          <w:rFonts w:ascii="仿宋_GB2312" w:hAnsi="仿宋_GB2312" w:cs="仿宋_GB2312" w:eastAsia="仿宋_GB2312"/>
        </w:rPr>
        <w:t>详见附件：详细评审---售后服务方案.docx</w:t>
      </w:r>
    </w:p>
    <w:p>
      <w:pPr>
        <w:pStyle w:val="null3"/>
        <w:ind w:firstLine="960"/>
      </w:pPr>
      <w:r>
        <w:rPr>
          <w:rFonts w:ascii="仿宋_GB2312" w:hAnsi="仿宋_GB2312" w:cs="仿宋_GB2312" w:eastAsia="仿宋_GB2312"/>
        </w:rPr>
        <w:t>详见附件：详细评审---企业认证.docx</w:t>
      </w:r>
    </w:p>
    <w:p>
      <w:pPr>
        <w:pStyle w:val="null3"/>
        <w:ind w:firstLine="960"/>
      </w:pPr>
      <w:r>
        <w:rPr>
          <w:rFonts w:ascii="仿宋_GB2312" w:hAnsi="仿宋_GB2312" w:cs="仿宋_GB2312" w:eastAsia="仿宋_GB2312"/>
        </w:rPr>
        <w:t>详见附件：详细评审---产品资质.docx</w:t>
      </w:r>
    </w:p>
    <w:p>
      <w:pPr>
        <w:pStyle w:val="null3"/>
        <w:ind w:firstLine="960"/>
      </w:pPr>
      <w:r>
        <w:rPr>
          <w:rFonts w:ascii="仿宋_GB2312" w:hAnsi="仿宋_GB2312" w:cs="仿宋_GB2312" w:eastAsia="仿宋_GB2312"/>
        </w:rPr>
        <w:t>详见附件：详细评审---业绩.docx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