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版本号：XYZB2025-058.1B120251029001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政府电子政务网络建设(二次)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XYZB2025-058.1B1</w:t>
      </w:r>
      <w:r>
        <w:br/>
      </w:r>
      <w:r>
        <w:br/>
      </w:r>
      <w:r>
        <w:br/>
      </w:r>
    </w:p>
    <w:p>
      <w:pPr>
        <w:pStyle w:val="null3"/>
        <w:jc w:val="center"/>
        <w:outlineLvl w:val="2"/>
      </w:pPr>
      <w:r>
        <w:rPr>
          <w:rFonts w:ascii="仿宋_GB2312" w:hAnsi="仿宋_GB2312" w:cs="仿宋_GB2312" w:eastAsia="仿宋_GB2312"/>
          <w:sz w:val="28"/>
          <w:b/>
        </w:rPr>
        <w:t>西安市高陵区行政审批服务局</w:t>
      </w:r>
    </w:p>
    <w:p>
      <w:pPr>
        <w:pStyle w:val="null3"/>
        <w:jc w:val="center"/>
        <w:outlineLvl w:val="2"/>
      </w:pPr>
      <w:r>
        <w:rPr>
          <w:rFonts w:ascii="仿宋_GB2312" w:hAnsi="仿宋_GB2312" w:cs="仿宋_GB2312" w:eastAsia="仿宋_GB2312"/>
          <w:sz w:val="28"/>
          <w:b/>
        </w:rPr>
        <w:t>陕西信远工程造价咨询有限公司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陕西信远工程造价咨询有限公司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西安市高陵区行政审批服务局</w:t>
      </w:r>
      <w:r>
        <w:rPr>
          <w:rFonts w:ascii="仿宋_GB2312" w:hAnsi="仿宋_GB2312" w:cs="仿宋_GB2312" w:eastAsia="仿宋_GB2312"/>
        </w:rPr>
        <w:t>委托，拟对</w:t>
      </w:r>
      <w:r>
        <w:rPr>
          <w:rFonts w:ascii="仿宋_GB2312" w:hAnsi="仿宋_GB2312" w:cs="仿宋_GB2312" w:eastAsia="仿宋_GB2312"/>
        </w:rPr>
        <w:t>政府电子政务网络建设(二次)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XYZB2025-058.1B1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政府电子政务网络建设(二次)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国家相关标准构建一个高效、安全、稳定的电子政务网络环境，提升政务服务水平，满足人民群众的期待，推动高陵区治理体系和治理能力现代化，为高陵区的政务工作提供有力支持，做到提升网络通讯传输能力、增强网络安全保障能力、提供持续的技术支持与服务、促进跨部门协作与信息共享、降低运维成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经审计的财务报告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5、无重大违法记录的书面声明：提供参加政府采购活动前三年内，在经营活动中没有重大违法记录的书面声明；</w:t>
      </w:r>
    </w:p>
    <w:p>
      <w:pPr>
        <w:pStyle w:val="null3"/>
      </w:pPr>
      <w:r>
        <w:rPr>
          <w:rFonts w:ascii="仿宋_GB2312" w:hAnsi="仿宋_GB2312" w:cs="仿宋_GB2312" w:eastAsia="仿宋_GB2312"/>
        </w:rPr>
        <w:t>6、履约声明：具有履行合同所必需的设备和专业技术能力的书面声明；</w:t>
      </w:r>
    </w:p>
    <w:p>
      <w:pPr>
        <w:pStyle w:val="null3"/>
      </w:pPr>
      <w:r>
        <w:rPr>
          <w:rFonts w:ascii="仿宋_GB2312" w:hAnsi="仿宋_GB2312" w:cs="仿宋_GB2312" w:eastAsia="仿宋_GB2312"/>
        </w:rPr>
        <w:t>7、法定代表人授权书（负责人）或法定代表人身份证明书：法定代表人（负责人）参加投标的，须提供法定代表人（负责人）身份证明；法定代表人（负责人）授权他人参加投标的，须提供法定代表人（负责人）授权委托书；被授权人提供本单位证明（提交响应文件截止前三个月内任意一个月养老保险缴纳证明）。</w:t>
      </w:r>
    </w:p>
    <w:p>
      <w:pPr>
        <w:pStyle w:val="null3"/>
      </w:pPr>
      <w:r>
        <w:rPr>
          <w:rFonts w:ascii="仿宋_GB2312" w:hAnsi="仿宋_GB2312" w:cs="仿宋_GB2312" w:eastAsia="仿宋_GB2312"/>
        </w:rPr>
        <w:t>8、企业信誉：供应商不得为“信用中国”网站（www.creditchina.gov.cn）中列入失信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10、本项目不接受联合体投标：本项目不接受联合体投标（提供非联合体声明）。</w:t>
      </w:r>
    </w:p>
    <w:p>
      <w:pPr>
        <w:pStyle w:val="null3"/>
      </w:pPr>
      <w:r>
        <w:rPr>
          <w:rFonts w:ascii="仿宋_GB2312" w:hAnsi="仿宋_GB2312" w:cs="仿宋_GB2312" w:eastAsia="仿宋_GB2312"/>
        </w:rPr>
        <w:t>11、本项目不专门面向中小企业采购的采购项目：本项目不专门面向中小企业采购的采购项目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西安市高陵区昭慧路中段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029-86910058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陕西信远工程造价咨询有限公司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陕西省西安市雁塔区曲江新区雁翔路3269号旺座曲江D座15层1502室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韦晓辉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13289238810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采购包1：1,631,100.00元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执行。 2、成交单位在领取成交通知书前，须向采购代理机构一次性支付招标代理服务费。3、按2年的成交价计取招标代理服务费。4、代理服务费账户信息如下：户名：陕西信远工程造价咨询有限公司采购代理机构开户行：上海浦东发展银行股份有限公司西安曲江文创支行账号：7214 0078 8013 0000 0033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西安市高陵区行政审批服务局</w:t>
      </w:r>
      <w:r>
        <w:rPr>
          <w:rFonts w:ascii="仿宋_GB2312" w:hAnsi="仿宋_GB2312" w:cs="仿宋_GB2312" w:eastAsia="仿宋_GB2312"/>
        </w:rPr>
        <w:t>和</w:t>
      </w:r>
      <w:r>
        <w:rPr>
          <w:rFonts w:ascii="仿宋_GB2312" w:hAnsi="仿宋_GB2312" w:cs="仿宋_GB2312" w:eastAsia="仿宋_GB2312"/>
        </w:rPr>
        <w:t>陕西信远工程造价咨询有限公司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陕西信远工程造价咨询有限公司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陕西信远工程造价咨询有限公司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性能验收标准：以“技术要求”中规定的指标为基准。 文档验收标准：提交的成果文档内容完整、格式符合要求。 服务验收标准：故障响应与处理时限符合“服务要求”中的承诺。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联系人：韦晓辉</w:t>
      </w:r>
    </w:p>
    <w:p>
      <w:pPr>
        <w:pStyle w:val="null3"/>
      </w:pPr>
      <w:r>
        <w:rPr>
          <w:rFonts w:ascii="仿宋_GB2312" w:hAnsi="仿宋_GB2312" w:cs="仿宋_GB2312" w:eastAsia="仿宋_GB2312"/>
        </w:rPr>
        <w:t>联系电话：029-88230062</w:t>
      </w:r>
    </w:p>
    <w:p>
      <w:pPr>
        <w:pStyle w:val="null3"/>
      </w:pPr>
      <w:r>
        <w:rPr>
          <w:rFonts w:ascii="仿宋_GB2312" w:hAnsi="仿宋_GB2312" w:cs="仿宋_GB2312" w:eastAsia="仿宋_GB2312"/>
        </w:rPr>
        <w:t>地址：陕西省西安市雁塔区曲江新区雁翔路3269号旺座曲江D座15层1502室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按照电子政务网络整体规划要求，结合高陵区实际情况，将电子政务网络延伸至高陵区行政中心外各部门、街办、各下属单位、部分社区等，达到电子政务网络安全稳定运行。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1,631,100.00</w:t>
      </w:r>
    </w:p>
    <w:p>
      <w:pPr>
        <w:pStyle w:val="null3"/>
      </w:pPr>
      <w:r>
        <w:rPr>
          <w:rFonts w:ascii="仿宋_GB2312" w:hAnsi="仿宋_GB2312" w:cs="仿宋_GB2312" w:eastAsia="仿宋_GB2312"/>
        </w:rPr>
        <w:t>采购包最高限价（元）: 1,631,100.00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政府电子政务网络建设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1,631,100.00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标的名称：政府电子政务网络建设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按照电子政务网络整体规划要求，结合</w:t>
            </w:r>
            <w:r>
              <w:rPr>
                <w:rFonts w:ascii="仿宋_GB2312" w:hAnsi="仿宋_GB2312" w:cs="仿宋_GB2312" w:eastAsia="仿宋_GB2312"/>
                <w:sz w:val="28"/>
              </w:rPr>
              <w:t>高陵</w:t>
            </w:r>
            <w:r>
              <w:rPr>
                <w:rFonts w:ascii="仿宋_GB2312" w:hAnsi="仿宋_GB2312" w:cs="仿宋_GB2312" w:eastAsia="仿宋_GB2312"/>
                <w:sz w:val="28"/>
              </w:rPr>
              <w:t>区实际情况，将电子政务网络延伸至</w:t>
            </w:r>
            <w:r>
              <w:rPr>
                <w:rFonts w:ascii="仿宋_GB2312" w:hAnsi="仿宋_GB2312" w:cs="仿宋_GB2312" w:eastAsia="仿宋_GB2312"/>
                <w:sz w:val="28"/>
              </w:rPr>
              <w:t>高陵</w:t>
            </w:r>
            <w:r>
              <w:rPr>
                <w:rFonts w:ascii="仿宋_GB2312" w:hAnsi="仿宋_GB2312" w:cs="仿宋_GB2312" w:eastAsia="仿宋_GB2312"/>
                <w:sz w:val="28"/>
              </w:rPr>
              <w:t>区行政中心外各部门、街办、各下属单位、部分社区等，达到电子政务网络安全稳定运行</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依据国家相关标准构建一个高效、安全、稳定的电子政务网络环境，提升政务服务水平，满足人民群众的期待，推动</w:t>
            </w:r>
            <w:r>
              <w:rPr>
                <w:rFonts w:ascii="仿宋_GB2312" w:hAnsi="仿宋_GB2312" w:cs="仿宋_GB2312" w:eastAsia="仿宋_GB2312"/>
                <w:sz w:val="28"/>
              </w:rPr>
              <w:t>高陵</w:t>
            </w:r>
            <w:r>
              <w:rPr>
                <w:rFonts w:ascii="仿宋_GB2312" w:hAnsi="仿宋_GB2312" w:cs="仿宋_GB2312" w:eastAsia="仿宋_GB2312"/>
                <w:sz w:val="28"/>
              </w:rPr>
              <w:t>区治理体系和治理能力现代化，为</w:t>
            </w:r>
            <w:r>
              <w:rPr>
                <w:rFonts w:ascii="仿宋_GB2312" w:hAnsi="仿宋_GB2312" w:cs="仿宋_GB2312" w:eastAsia="仿宋_GB2312"/>
                <w:sz w:val="28"/>
              </w:rPr>
              <w:t>高陵</w:t>
            </w:r>
            <w:r>
              <w:rPr>
                <w:rFonts w:ascii="仿宋_GB2312" w:hAnsi="仿宋_GB2312" w:cs="仿宋_GB2312" w:eastAsia="仿宋_GB2312"/>
                <w:sz w:val="28"/>
              </w:rPr>
              <w:t>区的政务工作提供有力支持，做到提升网络通讯传输能力、增强网络安全保障能力、提供持续的技术支持与服务、促进跨部门协作与信息共享、降低运维成本。</w:t>
            </w:r>
          </w:p>
          <w:p>
            <w:pPr>
              <w:pStyle w:val="null3"/>
              <w:ind w:firstLine="560"/>
              <w:jc w:val="both"/>
            </w:pPr>
            <w:r>
              <w:rPr>
                <w:rFonts w:ascii="仿宋_GB2312" w:hAnsi="仿宋_GB2312" w:cs="仿宋_GB2312" w:eastAsia="仿宋_GB2312"/>
                <w:sz w:val="28"/>
              </w:rPr>
              <w:t>根据各下联节点的实际需求，结合传输网络及管道杆路等路由资源情况，采用多种方式组网结构，专线线路接入模式，将</w:t>
            </w:r>
            <w:r>
              <w:rPr>
                <w:rFonts w:ascii="仿宋_GB2312" w:hAnsi="仿宋_GB2312" w:cs="仿宋_GB2312" w:eastAsia="仿宋_GB2312"/>
                <w:sz w:val="28"/>
              </w:rPr>
              <w:t>高陵</w:t>
            </w:r>
            <w:r>
              <w:rPr>
                <w:rFonts w:ascii="仿宋_GB2312" w:hAnsi="仿宋_GB2312" w:cs="仿宋_GB2312" w:eastAsia="仿宋_GB2312"/>
                <w:sz w:val="28"/>
              </w:rPr>
              <w:t>区电子政务网延伸至各下联节点。可采用</w:t>
            </w:r>
            <w:r>
              <w:rPr>
                <w:rFonts w:ascii="仿宋_GB2312" w:hAnsi="仿宋_GB2312" w:cs="仿宋_GB2312" w:eastAsia="仿宋_GB2312"/>
                <w:sz w:val="28"/>
              </w:rPr>
              <w:t>光纤直连</w:t>
            </w:r>
            <w:r>
              <w:rPr>
                <w:rFonts w:ascii="仿宋_GB2312" w:hAnsi="仿宋_GB2312" w:cs="仿宋_GB2312" w:eastAsia="仿宋_GB2312"/>
                <w:sz w:val="28"/>
              </w:rPr>
              <w:t>接入方式，接口形式为</w:t>
            </w:r>
            <w:r>
              <w:rPr>
                <w:rFonts w:ascii="仿宋_GB2312" w:hAnsi="仿宋_GB2312" w:cs="仿宋_GB2312" w:eastAsia="仿宋_GB2312"/>
                <w:sz w:val="28"/>
              </w:rPr>
              <w:t>FE电 口、GE光 口、10GE光等，能根据甲方实际需求提供专线安全保障产品。</w:t>
            </w:r>
            <w:r>
              <w:rPr>
                <w:rFonts w:ascii="仿宋_GB2312" w:hAnsi="仿宋_GB2312" w:cs="仿宋_GB2312" w:eastAsia="仿宋_GB2312"/>
                <w:sz w:val="28"/>
              </w:rPr>
              <w:t>建议使用物理隔离的硬管道传输技术，机房节点距离超过</w:t>
            </w:r>
            <w:r>
              <w:rPr>
                <w:rFonts w:ascii="仿宋_GB2312" w:hAnsi="仿宋_GB2312" w:cs="仿宋_GB2312" w:eastAsia="仿宋_GB2312"/>
                <w:sz w:val="28"/>
              </w:rPr>
              <w:t>20km 时建议采用 OTN/MSTP或出租光纤直连传输方案，以提高网络可靠性。</w:t>
            </w:r>
          </w:p>
          <w:p>
            <w:pPr>
              <w:pStyle w:val="null3"/>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.1 带宽出口技术要求：</w:t>
            </w:r>
          </w:p>
          <w:p>
            <w:pPr>
              <w:pStyle w:val="null3"/>
              <w:ind w:firstLine="560"/>
              <w:jc w:val="both"/>
            </w:pPr>
            <w:r>
              <w:rPr>
                <w:rFonts w:ascii="仿宋_GB2312" w:hAnsi="仿宋_GB2312" w:cs="仿宋_GB2312" w:eastAsia="仿宋_GB2312"/>
                <w:sz w:val="28"/>
              </w:rPr>
              <w:t>出口位置：</w:t>
            </w:r>
            <w:r>
              <w:rPr>
                <w:rFonts w:ascii="仿宋_GB2312" w:hAnsi="仿宋_GB2312" w:cs="仿宋_GB2312" w:eastAsia="仿宋_GB2312"/>
                <w:sz w:val="28"/>
              </w:rPr>
              <w:t xml:space="preserve"> 投标人需提供位于西安市（优选高陵区或西安主城区）的高品质机房作为网络出口节点，需提供具体机房地址和机房等级</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出口带宽：租赁互联网出口带宽不小于</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G</w:t>
            </w:r>
            <w:r>
              <w:rPr>
                <w:rFonts w:ascii="仿宋_GB2312" w:hAnsi="仿宋_GB2312" w:cs="仿宋_GB2312" w:eastAsia="仿宋_GB2312"/>
                <w:sz w:val="28"/>
              </w:rPr>
              <w:t>，采用</w:t>
            </w:r>
            <w:r>
              <w:rPr>
                <w:rFonts w:ascii="仿宋_GB2312" w:hAnsi="仿宋_GB2312" w:cs="仿宋_GB2312" w:eastAsia="仿宋_GB2312"/>
                <w:sz w:val="28"/>
              </w:rPr>
              <w:t xml:space="preserve">  [</w:t>
            </w:r>
            <w:r>
              <w:rPr>
                <w:rFonts w:ascii="仿宋_GB2312" w:hAnsi="仿宋_GB2312" w:cs="仿宋_GB2312" w:eastAsia="仿宋_GB2312"/>
                <w:sz w:val="28"/>
              </w:rPr>
              <w:t>固定</w:t>
            </w:r>
            <w:r>
              <w:rPr>
                <w:rFonts w:ascii="仿宋_GB2312" w:hAnsi="仿宋_GB2312" w:cs="仿宋_GB2312" w:eastAsia="仿宋_GB2312"/>
                <w:sz w:val="28"/>
              </w:rPr>
              <w:t>IP</w:t>
            </w:r>
            <w:r>
              <w:rPr>
                <w:rFonts w:ascii="仿宋_GB2312" w:hAnsi="仿宋_GB2312" w:cs="仿宋_GB2312" w:eastAsia="仿宋_GB2312"/>
                <w:sz w:val="28"/>
              </w:rPr>
              <w:t>光纤直连</w:t>
            </w:r>
            <w:r>
              <w:rPr>
                <w:rFonts w:ascii="仿宋_GB2312" w:hAnsi="仿宋_GB2312" w:cs="仿宋_GB2312" w:eastAsia="仿宋_GB2312"/>
                <w:sz w:val="28"/>
              </w:rPr>
              <w:t>] 接入，确保国内各运营商访问体验优良。</w:t>
            </w:r>
          </w:p>
          <w:p>
            <w:pPr>
              <w:pStyle w:val="null3"/>
              <w:ind w:firstLine="560"/>
              <w:jc w:val="both"/>
            </w:pPr>
            <w:r>
              <w:rPr>
                <w:rFonts w:ascii="仿宋_GB2312" w:hAnsi="仿宋_GB2312" w:cs="仿宋_GB2312" w:eastAsia="仿宋_GB2312"/>
                <w:sz w:val="28"/>
              </w:rPr>
              <w:t>性能指标：</w:t>
            </w:r>
          </w:p>
          <w:p>
            <w:pPr>
              <w:pStyle w:val="null3"/>
              <w:ind w:firstLine="560"/>
              <w:jc w:val="both"/>
            </w:pPr>
            <w:r>
              <w:rPr>
                <w:rFonts w:ascii="仿宋_GB2312" w:hAnsi="仿宋_GB2312" w:cs="仿宋_GB2312" w:eastAsia="仿宋_GB2312"/>
                <w:sz w:val="28"/>
              </w:rPr>
              <w:t>网络时延：</w:t>
            </w:r>
            <w:r>
              <w:rPr>
                <w:rFonts w:ascii="仿宋_GB2312" w:hAnsi="仿宋_GB2312" w:cs="仿宋_GB2312" w:eastAsia="仿宋_GB2312"/>
                <w:sz w:val="28"/>
              </w:rPr>
              <w:t xml:space="preserve"> 至国内主要城市（北京、上海、广州）的ICMP平均时延 ≤ 40ms。</w:t>
            </w:r>
          </w:p>
          <w:p>
            <w:pPr>
              <w:pStyle w:val="null3"/>
              <w:ind w:firstLine="560"/>
              <w:jc w:val="both"/>
            </w:pPr>
            <w:r>
              <w:rPr>
                <w:rFonts w:ascii="仿宋_GB2312" w:hAnsi="仿宋_GB2312" w:cs="仿宋_GB2312" w:eastAsia="仿宋_GB2312"/>
                <w:sz w:val="28"/>
              </w:rPr>
              <w:t>网络抖动：</w:t>
            </w:r>
            <w:r>
              <w:rPr>
                <w:rFonts w:ascii="仿宋_GB2312" w:hAnsi="仿宋_GB2312" w:cs="仿宋_GB2312" w:eastAsia="仿宋_GB2312"/>
                <w:sz w:val="28"/>
              </w:rPr>
              <w:t xml:space="preserve"> ≤ 5ms。</w:t>
            </w:r>
          </w:p>
          <w:p>
            <w:pPr>
              <w:pStyle w:val="null3"/>
              <w:ind w:firstLine="560"/>
              <w:jc w:val="both"/>
            </w:pPr>
            <w:r>
              <w:rPr>
                <w:rFonts w:ascii="仿宋_GB2312" w:hAnsi="仿宋_GB2312" w:cs="仿宋_GB2312" w:eastAsia="仿宋_GB2312"/>
                <w:sz w:val="28"/>
              </w:rPr>
              <w:t>包丢失率：</w:t>
            </w:r>
            <w:r>
              <w:rPr>
                <w:rFonts w:ascii="仿宋_GB2312" w:hAnsi="仿宋_GB2312" w:cs="仿宋_GB2312" w:eastAsia="仿宋_GB2312"/>
                <w:sz w:val="28"/>
              </w:rPr>
              <w:t xml:space="preserve"> ≤ 0.</w:t>
            </w:r>
            <w:r>
              <w:rPr>
                <w:rFonts w:ascii="仿宋_GB2312" w:hAnsi="仿宋_GB2312" w:cs="仿宋_GB2312" w:eastAsia="仿宋_GB2312"/>
                <w:sz w:val="28"/>
              </w:rPr>
              <w:t>5</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可用性：</w:t>
            </w:r>
            <w:r>
              <w:rPr>
                <w:rFonts w:ascii="仿宋_GB2312" w:hAnsi="仿宋_GB2312" w:cs="仿宋_GB2312" w:eastAsia="仿宋_GB2312"/>
                <w:sz w:val="28"/>
              </w:rPr>
              <w:t xml:space="preserve"> ≥ 99.9%。</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.2 下联线路技术要求：</w:t>
            </w:r>
          </w:p>
          <w:p>
            <w:pPr>
              <w:pStyle w:val="null3"/>
              <w:ind w:firstLine="560"/>
              <w:jc w:val="both"/>
            </w:pPr>
            <w:r>
              <w:rPr>
                <w:rFonts w:ascii="仿宋_GB2312" w:hAnsi="仿宋_GB2312" w:cs="仿宋_GB2312" w:eastAsia="仿宋_GB2312"/>
                <w:sz w:val="28"/>
              </w:rPr>
              <w:t>线路类型：</w:t>
            </w:r>
            <w:r>
              <w:rPr>
                <w:rFonts w:ascii="仿宋_GB2312" w:hAnsi="仿宋_GB2312" w:cs="仿宋_GB2312" w:eastAsia="仿宋_GB2312"/>
                <w:sz w:val="16"/>
              </w:rPr>
              <w:t xml:space="preserve"> </w:t>
            </w:r>
            <w:r>
              <w:rPr>
                <w:rFonts w:ascii="仿宋_GB2312" w:hAnsi="仿宋_GB2312" w:cs="仿宋_GB2312" w:eastAsia="仿宋_GB2312"/>
                <w:sz w:val="27"/>
              </w:rPr>
              <w:t>采用 [OTN/MSTP或出租光纤</w:t>
            </w:r>
            <w:r>
              <w:rPr>
                <w:rFonts w:ascii="仿宋_GB2312" w:hAnsi="仿宋_GB2312" w:cs="仿宋_GB2312" w:eastAsia="仿宋_GB2312"/>
                <w:sz w:val="27"/>
              </w:rPr>
              <w:t>直连]，</w:t>
            </w:r>
            <w:r>
              <w:rPr>
                <w:rFonts w:ascii="仿宋_GB2312" w:hAnsi="仿宋_GB2312" w:cs="仿宋_GB2312" w:eastAsia="仿宋_GB2312"/>
                <w:sz w:val="27"/>
              </w:rPr>
              <w:t>严</w:t>
            </w:r>
            <w:r>
              <w:rPr>
                <w:rFonts w:ascii="仿宋_GB2312" w:hAnsi="仿宋_GB2312" w:cs="仿宋_GB2312" w:eastAsia="仿宋_GB2312"/>
                <w:sz w:val="28"/>
              </w:rPr>
              <w:t>禁使用基于NAT转换的共享型宽带。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覆盖范围：</w:t>
            </w:r>
            <w:r>
              <w:rPr>
                <w:rFonts w:ascii="仿宋_GB2312" w:hAnsi="仿宋_GB2312" w:cs="仿宋_GB2312" w:eastAsia="仿宋_GB2312"/>
                <w:sz w:val="28"/>
              </w:rPr>
              <w:t xml:space="preserve"> 线路须覆盖高陵区所有指定的117个接入点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带宽要求：根据单位业务量，提供</w:t>
            </w:r>
            <w:r>
              <w:rPr>
                <w:rFonts w:ascii="仿宋_GB2312" w:hAnsi="仿宋_GB2312" w:cs="仿宋_GB2312" w:eastAsia="仿宋_GB2312"/>
                <w:sz w:val="28"/>
              </w:rPr>
              <w:t>统一</w:t>
            </w:r>
            <w:r>
              <w:rPr>
                <w:rFonts w:ascii="仿宋_GB2312" w:hAnsi="仿宋_GB2312" w:cs="仿宋_GB2312" w:eastAsia="仿宋_GB2312"/>
                <w:sz w:val="28"/>
              </w:rPr>
              <w:t>的</w:t>
            </w:r>
            <w:r>
              <w:rPr>
                <w:rFonts w:ascii="仿宋_GB2312" w:hAnsi="仿宋_GB2312" w:cs="仿宋_GB2312" w:eastAsia="仿宋_GB2312"/>
                <w:sz w:val="28"/>
              </w:rPr>
              <w:t>线路</w:t>
            </w:r>
            <w:r>
              <w:rPr>
                <w:rFonts w:ascii="仿宋_GB2312" w:hAnsi="仿宋_GB2312" w:cs="仿宋_GB2312" w:eastAsia="仿宋_GB2312"/>
                <w:sz w:val="28"/>
              </w:rPr>
              <w:t>带宽</w:t>
            </w:r>
            <w:r>
              <w:rPr>
                <w:rFonts w:ascii="仿宋_GB2312" w:hAnsi="仿宋_GB2312" w:cs="仿宋_GB2312" w:eastAsia="仿宋_GB2312"/>
                <w:sz w:val="28"/>
              </w:rPr>
              <w:t>速率</w:t>
            </w:r>
            <w:r>
              <w:rPr>
                <w:rFonts w:ascii="仿宋_GB2312" w:hAnsi="仿宋_GB2312" w:cs="仿宋_GB2312" w:eastAsia="仿宋_GB2312"/>
                <w:sz w:val="28"/>
              </w:rPr>
              <w:t>，</w:t>
            </w:r>
            <w:r>
              <w:rPr>
                <w:rFonts w:ascii="仿宋_GB2312" w:hAnsi="仿宋_GB2312" w:cs="仿宋_GB2312" w:eastAsia="仿宋_GB2312"/>
                <w:sz w:val="28"/>
              </w:rPr>
              <w:t>速率</w:t>
            </w:r>
            <w:r>
              <w:rPr>
                <w:rFonts w:ascii="仿宋_GB2312" w:hAnsi="仿宋_GB2312" w:cs="仿宋_GB2312" w:eastAsia="仿宋_GB2312"/>
                <w:sz w:val="28"/>
              </w:rPr>
              <w:t>不低于</w:t>
            </w:r>
            <w:r>
              <w:rPr>
                <w:rFonts w:ascii="仿宋_GB2312" w:hAnsi="仿宋_GB2312" w:cs="仿宋_GB2312" w:eastAsia="仿宋_GB2312"/>
                <w:sz w:val="28"/>
              </w:rPr>
              <w:t xml:space="preserve"> [</w:t>
            </w:r>
            <w:r>
              <w:rPr>
                <w:rFonts w:ascii="仿宋_GB2312" w:hAnsi="仿宋_GB2312" w:cs="仿宋_GB2312" w:eastAsia="仿宋_GB2312"/>
                <w:sz w:val="28"/>
              </w:rPr>
              <w:t>500</w:t>
            </w:r>
            <w:r>
              <w:rPr>
                <w:rFonts w:ascii="仿宋_GB2312" w:hAnsi="仿宋_GB2312" w:cs="仿宋_GB2312" w:eastAsia="仿宋_GB2312"/>
                <w:sz w:val="28"/>
              </w:rPr>
              <w:t>M]</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性能要求：</w:t>
            </w:r>
          </w:p>
          <w:p>
            <w:pPr>
              <w:pStyle w:val="null3"/>
              <w:ind w:firstLine="560"/>
              <w:jc w:val="both"/>
            </w:pPr>
            <w:r>
              <w:rPr>
                <w:rFonts w:ascii="仿宋_GB2312" w:hAnsi="仿宋_GB2312" w:cs="仿宋_GB2312" w:eastAsia="仿宋_GB2312"/>
                <w:sz w:val="28"/>
              </w:rPr>
              <w:t>端到端时延：</w:t>
            </w:r>
            <w:r>
              <w:rPr>
                <w:rFonts w:ascii="仿宋_GB2312" w:hAnsi="仿宋_GB2312" w:cs="仿宋_GB2312" w:eastAsia="仿宋_GB2312"/>
                <w:sz w:val="28"/>
              </w:rPr>
              <w:t xml:space="preserve"> 从各接入点至区中心节点的传输时延 ≤ 10ms。</w:t>
            </w:r>
          </w:p>
          <w:p>
            <w:pPr>
              <w:pStyle w:val="null3"/>
              <w:ind w:firstLine="560"/>
              <w:jc w:val="both"/>
            </w:pPr>
            <w:r>
              <w:rPr>
                <w:rFonts w:ascii="仿宋_GB2312" w:hAnsi="仿宋_GB2312" w:cs="仿宋_GB2312" w:eastAsia="仿宋_GB2312"/>
                <w:sz w:val="28"/>
              </w:rPr>
              <w:t>可用性：</w:t>
            </w:r>
            <w:r>
              <w:rPr>
                <w:rFonts w:ascii="仿宋_GB2312" w:hAnsi="仿宋_GB2312" w:cs="仿宋_GB2312" w:eastAsia="仿宋_GB2312"/>
                <w:sz w:val="28"/>
              </w:rPr>
              <w:t xml:space="preserve"> 单条线路可用性 ≥ 99.9%。</w:t>
            </w:r>
          </w:p>
          <w:p>
            <w:pPr>
              <w:pStyle w:val="null3"/>
              <w:ind w:firstLine="560"/>
              <w:jc w:val="both"/>
            </w:pPr>
            <w:r>
              <w:rPr>
                <w:rFonts w:ascii="仿宋_GB2312" w:hAnsi="仿宋_GB2312" w:cs="仿宋_GB2312" w:eastAsia="仿宋_GB2312"/>
                <w:sz w:val="28"/>
              </w:rPr>
              <w:t>接入方式：</w:t>
            </w:r>
            <w:r>
              <w:rPr>
                <w:rFonts w:ascii="仿宋_GB2312" w:hAnsi="仿宋_GB2312" w:cs="仿宋_GB2312" w:eastAsia="仿宋_GB2312"/>
                <w:sz w:val="28"/>
              </w:rPr>
              <w:t xml:space="preserve"> 需提供统一的 [以太网电口或光口] 接入。</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.3 网络安全要求：</w:t>
            </w:r>
          </w:p>
          <w:p>
            <w:pPr>
              <w:pStyle w:val="null3"/>
              <w:ind w:firstLine="560"/>
              <w:jc w:val="both"/>
            </w:pPr>
            <w:r>
              <w:rPr>
                <w:rFonts w:ascii="仿宋_GB2312" w:hAnsi="仿宋_GB2312" w:cs="仿宋_GB2312" w:eastAsia="仿宋_GB2312"/>
                <w:sz w:val="28"/>
              </w:rPr>
              <w:t>投标人</w:t>
            </w:r>
            <w:r>
              <w:rPr>
                <w:rFonts w:ascii="仿宋_GB2312" w:hAnsi="仿宋_GB2312" w:cs="仿宋_GB2312" w:eastAsia="仿宋_GB2312"/>
                <w:sz w:val="28"/>
              </w:rPr>
              <w:t>核心机房可提供防护网络攻击的相关能力，</w:t>
            </w:r>
            <w:r>
              <w:rPr>
                <w:rFonts w:ascii="仿宋_GB2312" w:hAnsi="仿宋_GB2312" w:cs="仿宋_GB2312" w:eastAsia="仿宋_GB2312"/>
                <w:sz w:val="28"/>
              </w:rPr>
              <w:t>线路应实现物理隔离或通过可靠的</w:t>
            </w:r>
            <w:r>
              <w:rPr>
                <w:rFonts w:ascii="仿宋_GB2312" w:hAnsi="仿宋_GB2312" w:cs="仿宋_GB2312" w:eastAsia="仿宋_GB2312"/>
                <w:sz w:val="28"/>
              </w:rPr>
              <w:t>QoS技术保证政务业务的优先传输。投标人需承诺不监听、不截留、不泄露任何政务数据。</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.4 设备与接口要求：</w:t>
            </w:r>
          </w:p>
          <w:p>
            <w:pPr>
              <w:pStyle w:val="null3"/>
              <w:ind w:firstLine="560"/>
              <w:jc w:val="both"/>
            </w:pPr>
            <w:r>
              <w:rPr>
                <w:rFonts w:ascii="仿宋_GB2312" w:hAnsi="仿宋_GB2312" w:cs="仿宋_GB2312" w:eastAsia="仿宋_GB2312"/>
                <w:sz w:val="28"/>
              </w:rPr>
              <w:t>投标人负责提供并安装</w:t>
            </w:r>
            <w:r>
              <w:rPr>
                <w:rFonts w:ascii="仿宋_GB2312" w:hAnsi="仿宋_GB2312" w:cs="仿宋_GB2312" w:eastAsia="仿宋_GB2312"/>
                <w:sz w:val="28"/>
              </w:rPr>
              <w:t>信息中心机房</w:t>
            </w:r>
            <w:r>
              <w:rPr>
                <w:rFonts w:ascii="仿宋_GB2312" w:hAnsi="仿宋_GB2312" w:cs="仿宋_GB2312" w:eastAsia="仿宋_GB2312"/>
                <w:sz w:val="28"/>
              </w:rPr>
              <w:t>的</w:t>
            </w:r>
            <w:r>
              <w:rPr>
                <w:rFonts w:ascii="仿宋_GB2312" w:hAnsi="仿宋_GB2312" w:cs="仿宋_GB2312" w:eastAsia="仿宋_GB2312"/>
                <w:sz w:val="28"/>
              </w:rPr>
              <w:t>汇聚路由或交换设备</w:t>
            </w:r>
            <w:r>
              <w:rPr>
                <w:rFonts w:ascii="仿宋_GB2312" w:hAnsi="仿宋_GB2312" w:cs="仿宋_GB2312" w:eastAsia="仿宋_GB2312"/>
                <w:sz w:val="28"/>
              </w:rPr>
              <w:t>，</w:t>
            </w:r>
            <w:r>
              <w:rPr>
                <w:rFonts w:ascii="仿宋_GB2312" w:hAnsi="仿宋_GB2312" w:cs="仿宋_GB2312" w:eastAsia="仿宋_GB2312"/>
                <w:sz w:val="28"/>
              </w:rPr>
              <w:t>保</w:t>
            </w:r>
            <w:r>
              <w:rPr>
                <w:rFonts w:ascii="仿宋_GB2312" w:hAnsi="仿宋_GB2312" w:cs="仿宋_GB2312" w:eastAsia="仿宋_GB2312"/>
                <w:sz w:val="28"/>
              </w:rPr>
              <w:t>障下联出口带宽与招标内容一致。</w:t>
            </w:r>
            <w:r>
              <w:rPr>
                <w:rFonts w:ascii="仿宋_GB2312" w:hAnsi="仿宋_GB2312" w:cs="仿宋_GB2312" w:eastAsia="仿宋_GB2312"/>
                <w:sz w:val="28"/>
              </w:rPr>
              <w:t>设备需为知名品牌企业级产品，</w:t>
            </w:r>
            <w:r>
              <w:rPr>
                <w:rFonts w:ascii="仿宋_GB2312" w:hAnsi="仿宋_GB2312" w:cs="仿宋_GB2312" w:eastAsia="仿宋_GB2312"/>
                <w:sz w:val="28"/>
              </w:rPr>
              <w:t>性能稳定，</w:t>
            </w:r>
            <w:r>
              <w:rPr>
                <w:rFonts w:ascii="仿宋_GB2312" w:hAnsi="仿宋_GB2312" w:cs="仿宋_GB2312" w:eastAsia="仿宋_GB2312"/>
                <w:sz w:val="28"/>
              </w:rPr>
              <w:t>安全可靠满足国产化需求。</w:t>
            </w:r>
          </w:p>
          <w:p>
            <w:pPr>
              <w:pStyle w:val="null3"/>
              <w:jc w:val="both"/>
            </w:pPr>
            <w:r>
              <w:rPr>
                <w:rFonts w:ascii="仿宋_GB2312" w:hAnsi="仿宋_GB2312" w:cs="仿宋_GB2312" w:eastAsia="仿宋_GB2312"/>
                <w:sz w:val="28"/>
                <w:b/>
              </w:rPr>
              <w:t>四、服务要求（如对人员配置、专业设备、服务标准等）</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.1 运维服务体系：</w:t>
            </w:r>
          </w:p>
          <w:p>
            <w:pPr>
              <w:pStyle w:val="null3"/>
              <w:ind w:firstLine="560"/>
              <w:jc w:val="both"/>
            </w:pPr>
            <w:r>
              <w:rPr>
                <w:rFonts w:ascii="仿宋_GB2312" w:hAnsi="仿宋_GB2312" w:cs="仿宋_GB2312" w:eastAsia="仿宋_GB2312"/>
                <w:sz w:val="28"/>
              </w:rPr>
              <w:t>7x24小时</w:t>
            </w:r>
            <w:r>
              <w:rPr>
                <w:rFonts w:ascii="仿宋_GB2312" w:hAnsi="仿宋_GB2312" w:cs="仿宋_GB2312" w:eastAsia="仿宋_GB2312"/>
                <w:sz w:val="28"/>
              </w:rPr>
              <w:t>维修服务</w:t>
            </w:r>
            <w:r>
              <w:rPr>
                <w:rFonts w:ascii="仿宋_GB2312" w:hAnsi="仿宋_GB2312" w:cs="仿宋_GB2312" w:eastAsia="仿宋_GB2312"/>
                <w:sz w:val="28"/>
              </w:rPr>
              <w:t>：</w:t>
            </w:r>
            <w:r>
              <w:rPr>
                <w:rFonts w:ascii="仿宋_GB2312" w:hAnsi="仿宋_GB2312" w:cs="仿宋_GB2312" w:eastAsia="仿宋_GB2312"/>
                <w:sz w:val="28"/>
              </w:rPr>
              <w:t xml:space="preserve"> 提供全天候网络</w:t>
            </w:r>
            <w:r>
              <w:rPr>
                <w:rFonts w:ascii="仿宋_GB2312" w:hAnsi="仿宋_GB2312" w:cs="仿宋_GB2312" w:eastAsia="仿宋_GB2312"/>
                <w:sz w:val="28"/>
              </w:rPr>
              <w:t>维修</w:t>
            </w:r>
            <w:r>
              <w:rPr>
                <w:rFonts w:ascii="仿宋_GB2312" w:hAnsi="仿宋_GB2312" w:cs="仿宋_GB2312" w:eastAsia="仿宋_GB2312"/>
                <w:sz w:val="28"/>
              </w:rPr>
              <w:t>服务，</w:t>
            </w:r>
            <w:r>
              <w:rPr>
                <w:rFonts w:ascii="仿宋_GB2312" w:hAnsi="仿宋_GB2312" w:cs="仿宋_GB2312" w:eastAsia="仿宋_GB2312"/>
                <w:sz w:val="28"/>
              </w:rPr>
              <w:t>及时</w:t>
            </w:r>
            <w:r>
              <w:rPr>
                <w:rFonts w:ascii="仿宋_GB2312" w:hAnsi="仿宋_GB2312" w:cs="仿宋_GB2312" w:eastAsia="仿宋_GB2312"/>
                <w:sz w:val="28"/>
              </w:rPr>
              <w:t>处理故障。</w:t>
            </w:r>
          </w:p>
          <w:p>
            <w:pPr>
              <w:pStyle w:val="null3"/>
              <w:ind w:firstLine="560"/>
              <w:jc w:val="both"/>
            </w:pPr>
            <w:r>
              <w:rPr>
                <w:rFonts w:ascii="仿宋_GB2312" w:hAnsi="仿宋_GB2312" w:cs="仿宋_GB2312" w:eastAsia="仿宋_GB2312"/>
                <w:sz w:val="28"/>
              </w:rPr>
              <w:t>本地化服务团队：</w:t>
            </w:r>
            <w:r>
              <w:rPr>
                <w:rFonts w:ascii="仿宋_GB2312" w:hAnsi="仿宋_GB2312" w:cs="仿宋_GB2312" w:eastAsia="仿宋_GB2312"/>
                <w:sz w:val="28"/>
              </w:rPr>
              <w:t xml:space="preserve"> 在高陵区或西安市内设有常驻技术服务团队，能提供快速的现场支持。</w:t>
            </w:r>
          </w:p>
          <w:p>
            <w:pPr>
              <w:pStyle w:val="null3"/>
              <w:ind w:firstLine="560"/>
              <w:jc w:val="both"/>
            </w:pPr>
            <w:r>
              <w:rPr>
                <w:rFonts w:ascii="仿宋_GB2312" w:hAnsi="仿宋_GB2312" w:cs="仿宋_GB2312" w:eastAsia="仿宋_GB2312"/>
                <w:sz w:val="28"/>
              </w:rPr>
              <w:t>联系机制：</w:t>
            </w:r>
            <w:r>
              <w:rPr>
                <w:rFonts w:ascii="仿宋_GB2312" w:hAnsi="仿宋_GB2312" w:cs="仿宋_GB2312" w:eastAsia="仿宋_GB2312"/>
                <w:sz w:val="28"/>
              </w:rPr>
              <w:t xml:space="preserve"> 提供7x24小时客服热线、指定项目经理和技术工程师。</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.2 故障响应与处理：</w:t>
            </w:r>
          </w:p>
          <w:p>
            <w:pPr>
              <w:pStyle w:val="null3"/>
              <w:ind w:firstLine="560"/>
              <w:jc w:val="both"/>
            </w:pPr>
            <w:r>
              <w:rPr>
                <w:rFonts w:ascii="仿宋_GB2312" w:hAnsi="仿宋_GB2312" w:cs="仿宋_GB2312" w:eastAsia="仿宋_GB2312"/>
                <w:sz w:val="28"/>
              </w:rPr>
              <w:t>故障响应：</w:t>
            </w:r>
            <w:r>
              <w:rPr>
                <w:rFonts w:ascii="仿宋_GB2312" w:hAnsi="仿宋_GB2312" w:cs="仿宋_GB2312" w:eastAsia="仿宋_GB2312"/>
                <w:sz w:val="28"/>
              </w:rPr>
              <w:t xml:space="preserve"> 7x24小时受理故障申告，10分钟内响应。</w:t>
            </w:r>
          </w:p>
          <w:p>
            <w:pPr>
              <w:pStyle w:val="null3"/>
              <w:ind w:firstLine="560"/>
              <w:jc w:val="both"/>
            </w:pPr>
            <w:r>
              <w:rPr>
                <w:rFonts w:ascii="仿宋_GB2312" w:hAnsi="仿宋_GB2312" w:cs="仿宋_GB2312" w:eastAsia="仿宋_GB2312"/>
                <w:sz w:val="28"/>
              </w:rPr>
              <w:t>故障处理时限：</w:t>
            </w:r>
          </w:p>
          <w:p>
            <w:pPr>
              <w:pStyle w:val="null3"/>
              <w:ind w:firstLine="560"/>
              <w:jc w:val="both"/>
            </w:pPr>
            <w:r>
              <w:rPr>
                <w:rFonts w:ascii="仿宋_GB2312" w:hAnsi="仿宋_GB2312" w:cs="仿宋_GB2312" w:eastAsia="仿宋_GB2312"/>
                <w:sz w:val="28"/>
              </w:rPr>
              <w:t>重大故障（业务全阻）：</w:t>
            </w:r>
            <w:r>
              <w:rPr>
                <w:rFonts w:ascii="仿宋_GB2312" w:hAnsi="仿宋_GB2312" w:cs="仿宋_GB2312" w:eastAsia="仿宋_GB2312"/>
                <w:sz w:val="28"/>
              </w:rPr>
              <w:t>[2] 小时内修复。</w:t>
            </w:r>
          </w:p>
          <w:p>
            <w:pPr>
              <w:pStyle w:val="null3"/>
              <w:ind w:firstLine="560"/>
              <w:jc w:val="both"/>
            </w:pPr>
            <w:r>
              <w:rPr>
                <w:rFonts w:ascii="仿宋_GB2312" w:hAnsi="仿宋_GB2312" w:cs="仿宋_GB2312" w:eastAsia="仿宋_GB2312"/>
                <w:sz w:val="28"/>
              </w:rPr>
              <w:t>严重故障（业务性能严重下降）：</w:t>
            </w:r>
            <w:r>
              <w:rPr>
                <w:rFonts w:ascii="仿宋_GB2312" w:hAnsi="仿宋_GB2312" w:cs="仿宋_GB2312" w:eastAsia="仿宋_GB2312"/>
                <w:sz w:val="28"/>
              </w:rPr>
              <w:t>[4] 小时内修复。</w:t>
            </w:r>
          </w:p>
          <w:p>
            <w:pPr>
              <w:pStyle w:val="null3"/>
              <w:ind w:firstLine="560"/>
              <w:jc w:val="both"/>
            </w:pPr>
            <w:r>
              <w:rPr>
                <w:rFonts w:ascii="仿宋_GB2312" w:hAnsi="仿宋_GB2312" w:cs="仿宋_GB2312" w:eastAsia="仿宋_GB2312"/>
                <w:sz w:val="28"/>
              </w:rPr>
              <w:t>一般故障：</w:t>
            </w:r>
            <w:r>
              <w:rPr>
                <w:rFonts w:ascii="仿宋_GB2312" w:hAnsi="仿宋_GB2312" w:cs="仿宋_GB2312" w:eastAsia="仿宋_GB2312"/>
                <w:sz w:val="28"/>
              </w:rPr>
              <w:t>[8] 小时内修复。</w:t>
            </w:r>
          </w:p>
          <w:p>
            <w:pPr>
              <w:pStyle w:val="null3"/>
              <w:ind w:firstLine="560"/>
              <w:jc w:val="both"/>
            </w:pPr>
            <w:r>
              <w:rPr>
                <w:rFonts w:ascii="仿宋_GB2312" w:hAnsi="仿宋_GB2312" w:cs="仿宋_GB2312" w:eastAsia="仿宋_GB2312"/>
                <w:sz w:val="28"/>
              </w:rPr>
              <w:t>（注：可根据实际情况分级定义，并约定如超时未解决，按合同条款进行违约金扣罚）。</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.3 服务报告与会议：</w:t>
            </w:r>
          </w:p>
          <w:p>
            <w:pPr>
              <w:pStyle w:val="null3"/>
              <w:ind w:firstLine="560"/>
              <w:jc w:val="both"/>
            </w:pPr>
            <w:r>
              <w:rPr>
                <w:rFonts w:ascii="仿宋_GB2312" w:hAnsi="仿宋_GB2312" w:cs="仿宋_GB2312" w:eastAsia="仿宋_GB2312"/>
                <w:sz w:val="28"/>
              </w:rPr>
              <w:t>定期报告：</w:t>
            </w:r>
            <w:r>
              <w:rPr>
                <w:rFonts w:ascii="仿宋_GB2312" w:hAnsi="仿宋_GB2312" w:cs="仿宋_GB2312" w:eastAsia="仿宋_GB2312"/>
                <w:sz w:val="28"/>
              </w:rPr>
              <w:t xml:space="preserve"> 每月第5个工作日前提供上月《网络运行服务质量报告》，包括带宽利用率、性能指标、故障统计、事件分析等。</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.4 应急与迁改服务：</w:t>
            </w:r>
          </w:p>
          <w:p>
            <w:pPr>
              <w:pStyle w:val="null3"/>
              <w:ind w:firstLine="560"/>
              <w:jc w:val="both"/>
            </w:pPr>
            <w:r>
              <w:rPr>
                <w:rFonts w:ascii="仿宋_GB2312" w:hAnsi="仿宋_GB2312" w:cs="仿宋_GB2312" w:eastAsia="仿宋_GB2312"/>
                <w:sz w:val="28"/>
              </w:rPr>
              <w:t>应急预案：</w:t>
            </w:r>
            <w:r>
              <w:rPr>
                <w:rFonts w:ascii="仿宋_GB2312" w:hAnsi="仿宋_GB2312" w:cs="仿宋_GB2312" w:eastAsia="仿宋_GB2312"/>
                <w:sz w:val="28"/>
              </w:rPr>
              <w:t xml:space="preserve"> 提供详细的网络应急保障预案，重大活动或会议期间需提供专人值守保障。</w:t>
            </w:r>
          </w:p>
          <w:p>
            <w:pPr>
              <w:pStyle w:val="null3"/>
              <w:ind w:firstLine="560"/>
              <w:jc w:val="both"/>
            </w:pPr>
            <w:r>
              <w:rPr>
                <w:rFonts w:ascii="仿宋_GB2312" w:hAnsi="仿宋_GB2312" w:cs="仿宋_GB2312" w:eastAsia="仿宋_GB2312"/>
                <w:sz w:val="28"/>
              </w:rPr>
              <w:t>迁改支持：</w:t>
            </w:r>
            <w:r>
              <w:rPr>
                <w:rFonts w:ascii="仿宋_GB2312" w:hAnsi="仿宋_GB2312" w:cs="仿宋_GB2312" w:eastAsia="仿宋_GB2312"/>
                <w:sz w:val="28"/>
              </w:rPr>
              <w:t xml:space="preserve"> 因采购人办公地点变更等原因需进行线路迁改时，中标人应积极配合，并以优惠价格提供服务。</w:t>
            </w:r>
          </w:p>
          <w:p>
            <w:pPr>
              <w:pStyle w:val="null3"/>
              <w:jc w:val="both"/>
            </w:pPr>
            <w:r>
              <w:rPr>
                <w:rFonts w:ascii="仿宋_GB2312" w:hAnsi="仿宋_GB2312" w:cs="仿宋_GB2312" w:eastAsia="仿宋_GB2312"/>
                <w:sz w:val="28"/>
              </w:rPr>
              <w:t>进度要求</w:t>
            </w:r>
          </w:p>
          <w:p>
            <w:pPr>
              <w:pStyle w:val="null3"/>
              <w:ind w:firstLine="560"/>
              <w:jc w:val="both"/>
            </w:pPr>
            <w:r>
              <w:rPr>
                <w:rFonts w:ascii="仿宋_GB2312" w:hAnsi="仿宋_GB2312" w:cs="仿宋_GB2312" w:eastAsia="仿宋_GB2312"/>
                <w:sz w:val="28"/>
              </w:rPr>
              <w:t>投标人在中标后</w:t>
            </w:r>
            <w:r>
              <w:rPr>
                <w:rFonts w:ascii="仿宋_GB2312" w:hAnsi="仿宋_GB2312" w:cs="仿宋_GB2312" w:eastAsia="仿宋_GB2312"/>
                <w:sz w:val="28"/>
              </w:rPr>
              <w:t>10个工作日内应完成所有线路的竣工使用。</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成果交付要求</w:t>
            </w:r>
          </w:p>
          <w:p>
            <w:pPr>
              <w:pStyle w:val="null3"/>
              <w:ind w:left="555"/>
              <w:jc w:val="both"/>
            </w:pPr>
            <w:r>
              <w:rPr>
                <w:rFonts w:ascii="仿宋_GB2312" w:hAnsi="仿宋_GB2312" w:cs="仿宋_GB2312" w:eastAsia="仿宋_GB2312"/>
                <w:sz w:val="28"/>
              </w:rPr>
              <w:t>中标人应提交以下成果，所有电子文档应内容完整、可编辑：</w:t>
            </w:r>
            <w:r>
              <w:br/>
            </w:r>
            <w:r>
              <w:rPr>
                <w:rFonts w:ascii="仿宋_GB2312" w:hAnsi="仿宋_GB2312" w:cs="仿宋_GB2312" w:eastAsia="仿宋_GB2312"/>
                <w:sz w:val="28"/>
              </w:rPr>
              <w:t>5.1</w:t>
            </w:r>
            <w:r>
              <w:rPr>
                <w:rFonts w:ascii="仿宋_GB2312" w:hAnsi="仿宋_GB2312" w:cs="仿宋_GB2312" w:eastAsia="仿宋_GB2312"/>
                <w:sz w:val="28"/>
              </w:rPr>
              <w:t xml:space="preserve"> </w:t>
            </w:r>
            <w:r>
              <w:rPr>
                <w:rFonts w:ascii="仿宋_GB2312" w:hAnsi="仿宋_GB2312" w:cs="仿宋_GB2312" w:eastAsia="仿宋_GB2312"/>
                <w:sz w:val="28"/>
              </w:rPr>
              <w:t>技术文档：</w:t>
            </w:r>
            <w:r>
              <w:br/>
            </w:r>
            <w:r>
              <w:rPr>
                <w:rFonts w:ascii="仿宋_GB2312" w:hAnsi="仿宋_GB2312" w:cs="仿宋_GB2312" w:eastAsia="仿宋_GB2312"/>
                <w:sz w:val="28"/>
              </w:rPr>
              <w:t>① 完整的《网络拓扑图》（电子版，格式为VISIO或PDF）。</w:t>
            </w:r>
            <w:r>
              <w:br/>
            </w:r>
            <w:r>
              <w:rPr>
                <w:rFonts w:ascii="仿宋_GB2312" w:hAnsi="仿宋_GB2312" w:cs="仿宋_GB2312" w:eastAsia="仿宋_GB2312"/>
                <w:sz w:val="28"/>
              </w:rPr>
              <w:t>② 《设备配置文档》（电子版，格式为WORD或Excel）。</w:t>
            </w:r>
            <w:r>
              <w:br/>
            </w:r>
            <w:r>
              <w:rPr>
                <w:rFonts w:ascii="仿宋_GB2312" w:hAnsi="仿宋_GB2312" w:cs="仿宋_GB2312" w:eastAsia="仿宋_GB2312"/>
                <w:sz w:val="28"/>
              </w:rPr>
              <w:t xml:space="preserve">③ </w:t>
            </w:r>
            <w:r>
              <w:rPr>
                <w:rFonts w:ascii="仿宋_GB2312" w:hAnsi="仿宋_GB2312" w:cs="仿宋_GB2312" w:eastAsia="仿宋_GB2312"/>
                <w:sz w:val="28"/>
              </w:rPr>
              <w:t>《网络测试报告》</w:t>
            </w:r>
            <w:r>
              <w:rPr>
                <w:rFonts w:ascii="仿宋_GB2312" w:hAnsi="仿宋_GB2312" w:cs="仿宋_GB2312" w:eastAsia="仿宋_GB2312"/>
                <w:sz w:val="28"/>
              </w:rPr>
              <w:t>。</w:t>
            </w:r>
            <w:r>
              <w:br/>
            </w:r>
            <w:r>
              <w:rPr>
                <w:rFonts w:ascii="仿宋_GB2312" w:hAnsi="仿宋_GB2312" w:cs="仿宋_GB2312" w:eastAsia="仿宋_GB2312"/>
                <w:sz w:val="28"/>
              </w:rPr>
              <w:t>5.2 定期</w:t>
            </w:r>
            <w:r>
              <w:rPr>
                <w:rFonts w:ascii="仿宋_GB2312" w:hAnsi="仿宋_GB2312" w:cs="仿宋_GB2312" w:eastAsia="仿宋_GB2312"/>
                <w:sz w:val="28"/>
              </w:rPr>
              <w:t>报告：</w:t>
            </w:r>
            <w:r>
              <w:br/>
            </w:r>
            <w:r>
              <w:rPr>
                <w:rFonts w:ascii="仿宋_GB2312" w:hAnsi="仿宋_GB2312" w:cs="仿宋_GB2312" w:eastAsia="仿宋_GB2312"/>
                <w:sz w:val="28"/>
              </w:rPr>
              <w:t>按</w:t>
            </w:r>
            <w:r>
              <w:rPr>
                <w:rFonts w:ascii="仿宋_GB2312" w:hAnsi="仿宋_GB2312" w:cs="仿宋_GB2312" w:eastAsia="仿宋_GB2312"/>
                <w:sz w:val="28"/>
              </w:rPr>
              <w:t>“服务要求”中约定的月度、年度《网络运行服务质量报告》。</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性能验收标准：以</w:t>
            </w:r>
            <w:r>
              <w:rPr>
                <w:rFonts w:ascii="仿宋_GB2312" w:hAnsi="仿宋_GB2312" w:cs="仿宋_GB2312" w:eastAsia="仿宋_GB2312"/>
                <w:sz w:val="28"/>
              </w:rPr>
              <w:t>“技术要求”中规定的指标为基准</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文档验收标准：提交的成果文档内容完整、格式符合要求。</w:t>
            </w:r>
          </w:p>
          <w:p>
            <w:pPr>
              <w:pStyle w:val="null3"/>
              <w:ind w:firstLine="560"/>
              <w:jc w:val="both"/>
            </w:pPr>
            <w:r>
              <w:rPr>
                <w:rFonts w:ascii="仿宋_GB2312" w:hAnsi="仿宋_GB2312" w:cs="仿宋_GB2312" w:eastAsia="仿宋_GB2312"/>
                <w:sz w:val="28"/>
              </w:rPr>
              <w:t>服务验收标准：故障响应与处理时限符合</w:t>
            </w:r>
            <w:r>
              <w:rPr>
                <w:rFonts w:ascii="仿宋_GB2312" w:hAnsi="仿宋_GB2312" w:cs="仿宋_GB2312" w:eastAsia="仿宋_GB2312"/>
                <w:sz w:val="28"/>
              </w:rPr>
              <w:t>“服务要求”中的承诺。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b/>
              </w:rPr>
              <w:t>五、</w:t>
            </w:r>
            <w:r>
              <w:rPr>
                <w:rFonts w:ascii="仿宋_GB2312" w:hAnsi="仿宋_GB2312" w:cs="仿宋_GB2312" w:eastAsia="仿宋_GB2312"/>
                <w:sz w:val="28"/>
                <w:b/>
              </w:rPr>
              <w:t>商</w:t>
            </w:r>
            <w:r>
              <w:rPr>
                <w:rFonts w:ascii="仿宋_GB2312" w:hAnsi="仿宋_GB2312" w:cs="仿宋_GB2312" w:eastAsia="仿宋_GB2312"/>
                <w:sz w:val="28"/>
                <w:b/>
              </w:rPr>
              <w:t>务要求</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服务期限</w:t>
            </w:r>
            <w:r>
              <w:rPr>
                <w:rFonts w:ascii="仿宋_GB2312" w:hAnsi="仿宋_GB2312" w:cs="仿宋_GB2312" w:eastAsia="仿宋_GB2312"/>
                <w:sz w:val="28"/>
              </w:rPr>
              <w:t>：自合同签订之日起一年，本项目采取一次招标</w:t>
            </w:r>
            <w:r>
              <w:rPr>
                <w:rFonts w:ascii="仿宋_GB2312" w:hAnsi="仿宋_GB2312" w:cs="仿宋_GB2312" w:eastAsia="仿宋_GB2312"/>
                <w:sz w:val="28"/>
              </w:rPr>
              <w:t>二</w:t>
            </w:r>
            <w:r>
              <w:rPr>
                <w:rFonts w:ascii="仿宋_GB2312" w:hAnsi="仿宋_GB2312" w:cs="仿宋_GB2312" w:eastAsia="仿宋_GB2312"/>
                <w:sz w:val="28"/>
              </w:rPr>
              <w:t>年沿用、实行一年一考核一验收一签合同</w:t>
            </w:r>
            <w:r>
              <w:rPr>
                <w:rFonts w:ascii="仿宋_GB2312" w:hAnsi="仿宋_GB2312" w:cs="仿宋_GB2312" w:eastAsia="仿宋_GB2312"/>
                <w:sz w:val="28"/>
              </w:rPr>
              <w:t>(所提供的服务质量经甲方绩效考评满意后，在采购内容不变、采购预算有保障、服务价格不变或降低的情况下,则双方可续签下年合同)</w:t>
            </w:r>
          </w:p>
          <w:p>
            <w:pPr>
              <w:pStyle w:val="null3"/>
              <w:ind w:firstLine="28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合同签订后，乙方项目实施完毕后并经甲方验收合格后，甲方支付乙方合同总价的</w:t>
            </w:r>
            <w:r>
              <w:rPr>
                <w:rFonts w:ascii="仿宋_GB2312" w:hAnsi="仿宋_GB2312" w:cs="仿宋_GB2312" w:eastAsia="仿宋_GB2312"/>
                <w:sz w:val="28"/>
              </w:rPr>
              <w:t>100%。</w:t>
            </w:r>
          </w:p>
          <w:p>
            <w:pPr>
              <w:pStyle w:val="null3"/>
              <w:ind w:firstLine="560"/>
              <w:jc w:val="both"/>
            </w:pPr>
            <w:r>
              <w:rPr>
                <w:rFonts w:ascii="仿宋_GB2312" w:hAnsi="仿宋_GB2312" w:cs="仿宋_GB2312" w:eastAsia="仿宋_GB2312"/>
                <w:sz w:val="28"/>
                <w:b/>
              </w:rPr>
              <w:t>六、违约责任</w:t>
            </w:r>
          </w:p>
          <w:p>
            <w:pPr>
              <w:pStyle w:val="null3"/>
              <w:ind w:firstLine="560"/>
            </w:pPr>
            <w:r>
              <w:rPr>
                <w:rFonts w:ascii="仿宋_GB2312" w:hAnsi="仿宋_GB2312" w:cs="仿宋_GB2312" w:eastAsia="仿宋_GB2312"/>
                <w:sz w:val="28"/>
              </w:rPr>
              <w:t>（一）合同中未约定的，按《民法典》按《民法典》中的相关条款执行。</w:t>
            </w:r>
          </w:p>
          <w:p>
            <w:pPr>
              <w:pStyle w:val="null3"/>
              <w:ind w:firstLine="560"/>
            </w:pPr>
            <w:r>
              <w:rPr>
                <w:rFonts w:ascii="仿宋_GB2312" w:hAnsi="仿宋_GB2312" w:cs="仿宋_GB2312" w:eastAsia="仿宋_GB2312"/>
                <w:sz w:val="28"/>
              </w:rPr>
              <w:t>（二）如因乙方未全面履行合同义务或者发生违约，甲方有权终止合同，依法向乙方进行经济索赔，并报请政府采购监督管理机关进行相应的行政处罚。甲方违约的，应当赔偿给乙方造成的直接经济损失。</w:t>
            </w:r>
          </w:p>
          <w:p>
            <w:pPr>
              <w:pStyle w:val="null3"/>
              <w:ind w:firstLine="560"/>
            </w:pPr>
            <w:r>
              <w:rPr>
                <w:rFonts w:ascii="仿宋_GB2312" w:hAnsi="仿宋_GB2312" w:cs="仿宋_GB2312" w:eastAsia="仿宋_GB2312"/>
                <w:sz w:val="28"/>
              </w:rPr>
              <w:t>（三）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w:t>
            </w:r>
            <w:r>
              <w:rPr>
                <w:rFonts w:ascii="仿宋_GB2312" w:hAnsi="仿宋_GB2312" w:cs="仿宋_GB2312" w:eastAsia="仿宋_GB2312"/>
                <w:sz w:val="28"/>
              </w:rPr>
              <w:t>5‰支付采购人误期赔偿金，直至供服务结束为止，所有因延期而产生的费用由乙方承担。</w:t>
            </w:r>
          </w:p>
          <w:p>
            <w:pPr>
              <w:pStyle w:val="null3"/>
              <w:ind w:firstLine="560"/>
            </w:pPr>
            <w:r>
              <w:rPr>
                <w:rFonts w:ascii="仿宋_GB2312" w:hAnsi="仿宋_GB2312" w:cs="仿宋_GB2312" w:eastAsia="仿宋_GB2312"/>
                <w:sz w:val="28"/>
              </w:rPr>
              <w:t>（四）质量违约</w:t>
            </w:r>
            <w:r>
              <w:rPr>
                <w:rFonts w:ascii="仿宋_GB2312" w:hAnsi="仿宋_GB2312" w:cs="仿宋_GB2312" w:eastAsia="仿宋_GB2312"/>
                <w:sz w:val="28"/>
              </w:rPr>
              <w:t>：提供的服务不符合合同约定的质量标准的，乙方应无条件整改直至合格。若整改后仍不合格，甲方有权扣除相应部分合同款项，并可视情况解除合同。</w:t>
            </w:r>
          </w:p>
          <w:p>
            <w:pPr>
              <w:pStyle w:val="null3"/>
              <w:ind w:firstLine="560"/>
              <w:jc w:val="both"/>
            </w:pPr>
            <w:r>
              <w:rPr>
                <w:rFonts w:ascii="仿宋_GB2312" w:hAnsi="仿宋_GB2312" w:cs="仿宋_GB2312" w:eastAsia="仿宋_GB2312"/>
                <w:sz w:val="28"/>
              </w:rPr>
              <w:t>（五）</w:t>
            </w:r>
            <w:r>
              <w:rPr>
                <w:rFonts w:ascii="仿宋_GB2312" w:hAnsi="仿宋_GB2312" w:cs="仿宋_GB2312" w:eastAsia="仿宋_GB2312"/>
                <w:sz w:val="28"/>
              </w:rPr>
              <w:t>违约：因</w:t>
            </w:r>
            <w:r>
              <w:rPr>
                <w:rFonts w:ascii="仿宋_GB2312" w:hAnsi="仿宋_GB2312" w:cs="仿宋_GB2312" w:eastAsia="仿宋_GB2312"/>
                <w:sz w:val="28"/>
              </w:rPr>
              <w:t>中标人</w:t>
            </w:r>
            <w:r>
              <w:rPr>
                <w:rFonts w:ascii="仿宋_GB2312" w:hAnsi="仿宋_GB2312" w:cs="仿宋_GB2312" w:eastAsia="仿宋_GB2312"/>
                <w:sz w:val="28"/>
              </w:rPr>
              <w:t>原因导致工期延误逾期超过</w:t>
            </w:r>
            <w:r>
              <w:rPr>
                <w:rFonts w:ascii="仿宋_GB2312" w:hAnsi="仿宋_GB2312" w:cs="仿宋_GB2312" w:eastAsia="仿宋_GB2312"/>
                <w:sz w:val="28"/>
              </w:rPr>
              <w:t xml:space="preserve"> 15 日的，甲方有权单方解除合同。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根据本次服务要求配置.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供应商应按采购需求配置履行服务所需的设施设备，以便提高服务质量及效率。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二年沿用、实行一年一考核一验收一签合同(所提供的服务质量经甲方绩效考评满意后，在采购内容不变、采购预算有保障、服务价格不变或降低的情况下,则双方可续签下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执行磋商文件和合同规定。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合同签订后，乙方项目实施完毕后并经甲方验收合格后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（一）合同中未约定的，按《民法典》按《民法典》中的相关条款执行。 （二）如因乙方未全面履行合同义务或者发生违约，甲方有权终止合同，依法向乙方进行经济索赔，并报请政府采购监督管理机关进行相应的行政处罚。甲方违约的，应当赔偿给乙方造成的直接经济损失。 （三）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供服务结束为止，所有因延期而产生的费用由乙方承担。 （四）质量违约：提供的服务不符合合同约定的质量标准的，乙方应无条件整改直至合格。若整改后仍不合格，甲方有权扣除相应部分合同款项，并可视情况解除合同。 （五）工期违约：因中标人原因导致工期延误逾期超过 15 日的，甲方有权单方解除合同。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服务费、设备使用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2.对捏造事实诬告陷害他人、-第21页-诽谤他人的法律适用：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且出具的审计报告应当经过注册会计师行业统一监管平台备案赋码（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法定代表人授权书（负责人）或法定代表人身份证明书</w:t>
            </w:r>
          </w:p>
        </w:tc>
        <w:tc>
          <w:tcPr>
            <w:tcW w:type="dxa" w:w="3322"/>
          </w:tcPr>
          <w:p>
            <w:pPr>
              <w:pStyle w:val="null3"/>
            </w:pPr>
            <w:r>
              <w:rPr>
                <w:rFonts w:ascii="仿宋_GB2312" w:hAnsi="仿宋_GB2312" w:cs="仿宋_GB2312" w:eastAsia="仿宋_GB2312"/>
              </w:rPr>
              <w:t>法定代表人（负责人）参加投标的，须提供法定代表人（负责人）身份证明；法定代表人（负责人）授权他人参加投标的，须提供法定代表人（负责人）授权委托书；被授权人提供本单位证明（提交响应文件截止前三个月内任意一个月养老保险缴纳证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 被执行人和重大税收违 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本项目不专门面向中小企业采购的采购项目</w:t>
            </w:r>
          </w:p>
        </w:tc>
        <w:tc>
          <w:tcPr>
            <w:tcW w:type="dxa" w:w="3322"/>
          </w:tcPr>
          <w:p>
            <w:pPr>
              <w:pStyle w:val="null3"/>
            </w:pPr>
            <w:r>
              <w:rPr>
                <w:rFonts w:ascii="仿宋_GB2312" w:hAnsi="仿宋_GB2312" w:cs="仿宋_GB2312" w:eastAsia="仿宋_GB2312"/>
              </w:rPr>
              <w:t>本项目不专门面向中小企业采购的采购项目</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法定代表人（负责人）或其授权代表人的签字齐全并加盖公章。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供应商承诺书.docx 响应文件封面 12-服务方案.docx 残疾人福利性单位声明函 11-相关资格证明材料.docx 标的清单 响应函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w:t>
            </w:r>
          </w:p>
        </w:tc>
        <w:tc>
          <w:tcPr>
            <w:tcW w:type="dxa" w:w="2492"/>
          </w:tcPr>
          <w:p>
            <w:pPr>
              <w:pStyle w:val="null3"/>
            </w:pPr>
            <w:r>
              <w:rPr>
                <w:rFonts w:ascii="仿宋_GB2312" w:hAnsi="仿宋_GB2312" w:cs="仿宋_GB2312" w:eastAsia="仿宋_GB2312"/>
              </w:rPr>
              <w:t>应基于对本项目背景、现状、目标以及服务技术需求进行需求理解，需理解透彻、描述详细、符合区政府当前的现状和服务需求。需求理解完整，描述详细合理，完全符合当前安全现状和服务需求的，得10分；整体理解较为合理，较符合当前安全现状和服务需求的，得8分；整体理解一般，基本符合当前安全现状和服务需求的，得6分；需求理解不足，描述粗略，得4分；需求理解较差，不符合当前安全现状和服务需求的，得2分；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服务总体方案</w:t>
            </w:r>
          </w:p>
        </w:tc>
        <w:tc>
          <w:tcPr>
            <w:tcW w:type="dxa" w:w="2492"/>
          </w:tcPr>
          <w:p>
            <w:pPr>
              <w:pStyle w:val="null3"/>
            </w:pPr>
            <w:r>
              <w:rPr>
                <w:rFonts w:ascii="仿宋_GB2312" w:hAnsi="仿宋_GB2312" w:cs="仿宋_GB2312" w:eastAsia="仿宋_GB2312"/>
              </w:rPr>
              <w:t>一、评审内容： 针对本项目提出具体的服务总体方案，包含：①技术措施②综合运维保障能力③实施进度、测试计划。 二、评审标准： 以上内容切合本项目实际情况及实施要求，内容与要点相符、每个要点均有展开详细的阐述且能够适用于本项目的计12分。 评审内容任意一项缺项扣4分，扣完为止；评审内容任意一项有内容明显错误缺陷的扣1.5分；评审内容任意一项内容有缺少关键点缺陷的扣2.5分;评审内容任意一项内容有实质性内容缺陷的扣3.5分。 未提供方案或只有标题没有实质性内容的不得分。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实施组织方案</w:t>
            </w:r>
          </w:p>
        </w:tc>
        <w:tc>
          <w:tcPr>
            <w:tcW w:type="dxa" w:w="2492"/>
          </w:tcPr>
          <w:p>
            <w:pPr>
              <w:pStyle w:val="null3"/>
            </w:pPr>
            <w:r>
              <w:rPr>
                <w:rFonts w:ascii="仿宋_GB2312" w:hAnsi="仿宋_GB2312" w:cs="仿宋_GB2312" w:eastAsia="仿宋_GB2312"/>
              </w:rPr>
              <w:t>一、评审内容： 针对本项目提出具体的实施组织方案， 包含：①人员组织结构②进度保证措施③项目培训方案 二、评审标准： 以上内容切合本项目实际情况及实施要求，内容与要点相符、每个要点均有展开详细的阐述且能够适用于本项目的计12分。 评审内容任意一项缺项扣4分，扣完为止；评审内容任意一项有内容明显错误缺陷的扣1.5分；评审内容任意一项内容有缺少关键点缺陷的扣2.5分;评审内容任意一项内容有实质性内容缺陷的扣3.5分。 未提供方案或只有标题没有实质性内容的不得分。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针对本项目提出具体的服务质量保证措施，包含：①质量控制目标②服务质量保证措施③客户反馈机制 。 二、评审标准： 以上内容切合本项目实际情况及实施要求，内容与要点相符、每个要点均有展开详细的阐述且能够适用于本项目的计12分。 评审内容任意一项缺项扣4分，扣完为止；评审内容任意一项有内容明显错误缺陷的扣1.5分；评审内容任意一项内容有缺少关键点缺陷的扣2.5分;评审内容任意一项内容有实质性内容缺陷的扣3.5分。 未提供方案或只有标题没有实质性内容的不得分。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一、评审内容： ①故障识别和报告机制② 障分析和定位③故障恢复（含具体的故障恢复响应时间）④沟通反馈机制。 二、评审标准： 以上内容切合本项目实际情况及实施要求，内容与要点相符、每个要点均有展开详细的阐述且能够适用于本项目的计12分。 评审内容任意一项缺项扣3分，扣完为止；评审内容任意一项有内容明显错误缺陷的扣1.0分；评审内容任意一项内容有缺少关键点缺陷的扣2.0分;评审内容任意一项内容有实质性内容缺陷的扣2.5分。 未提供方案或只有标题没有实质性内容的不得分。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针对本项目提出具体的应急预案，包含：①应急响应管理机制②应急保障措施③风险应急处置 二、评审标准： 以上内容切合本项目实际情况及实施要求，内容与要点相符、每个要点均有展开详细的阐述且能够适用于本项目的计12分。 评审内容任意一项缺项扣4分，扣完为止；评审内容任意一项有内容明显错误缺陷的扣1.5分；评审内容任意一项内容有缺少关键点缺陷的扣2.5分;评审内容任意一项内容有实质性内容缺陷的扣3.5分。 未提供方案或只有标题没有实质性内容的不得分。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针对本项目提出具体的售后服务方案，包含：①售后服务整体安排计划② 售后服务团队人员安排计划（含具体人员安排、售后技术咨询服务等）③运维体系的建设④承诺中标后提供本地化服务。 二、评审标准： 以上内容切合本项目实际情况及实施要求，内容与要点相符、每个要点均有展开详细的阐述且能够适用于本项目的计12分。 评审内容任意一项缺项扣3分，扣完为止；评审内容任意一项有内容明显错误缺陷的扣1.0分；评审内容任意一项内容有缺少关键点缺陷的扣2.0分;评审内容任意一项内容有实质性内容缺陷的扣2.5分。 未提供方案或只有标题没有实质性内容的不得分。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 针对本项目在合同履约期间，不得泄露实施过程中一切信息资料的保密措施。 二、评审标准 整体方案内容完善、 全面合理、详细完整、层次清楚、 具有针对性和可实施性，得4分。整体方案内容不全面、不详细完整、层次不清楚、 具有针对性和可实施性不强，得2分，未提供不得分。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要求提供2022年1月1日以后的类似项目业绩合同扫描盖章件4份，需提供合同扫描（复印件）为依据；每提供一份计1分，最高得4分，不提供不得分；（注：合同扫描盖章件至少具备首页、内容页及签字盖章页）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