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2CE317">
      <w:pPr>
        <w:wordWrap w:val="0"/>
        <w:jc w:val="right"/>
        <w:rPr>
          <w:rFonts w:hint="eastAsia" w:eastAsia="宋体"/>
          <w:b/>
          <w:bCs/>
          <w:color w:val="auto"/>
          <w:sz w:val="28"/>
          <w:szCs w:val="28"/>
          <w:highlight w:val="none"/>
          <w:lang w:eastAsia="zh-CN"/>
        </w:rPr>
      </w:pPr>
      <w:r>
        <w:rPr>
          <w:rFonts w:hint="eastAsia"/>
          <w:b/>
          <w:bCs/>
          <w:color w:val="auto"/>
          <w:sz w:val="28"/>
          <w:szCs w:val="28"/>
          <w:highlight w:val="none"/>
          <w:lang w:val="en-US" w:eastAsia="zh-CN"/>
        </w:rPr>
        <w:t xml:space="preserve"> </w:t>
      </w:r>
    </w:p>
    <w:p w14:paraId="1B72CD73">
      <w:pPr>
        <w:jc w:val="right"/>
        <w:rPr>
          <w:rFonts w:hint="eastAsia"/>
          <w:b/>
          <w:bCs/>
          <w:color w:val="auto"/>
          <w:sz w:val="28"/>
          <w:szCs w:val="28"/>
          <w:highlight w:val="none"/>
        </w:rPr>
      </w:pPr>
    </w:p>
    <w:p w14:paraId="718B7375">
      <w:pPr>
        <w:jc w:val="center"/>
        <w:rPr>
          <w:rFonts w:hint="eastAsia"/>
          <w:color w:val="auto"/>
          <w:sz w:val="72"/>
          <w:szCs w:val="72"/>
          <w:highlight w:val="none"/>
        </w:rPr>
      </w:pPr>
      <w:r>
        <w:rPr>
          <w:rFonts w:hint="eastAsia"/>
          <w:color w:val="auto"/>
          <w:sz w:val="72"/>
          <w:szCs w:val="72"/>
          <w:highlight w:val="none"/>
          <w:lang w:val="en-US" w:eastAsia="zh-CN"/>
        </w:rPr>
        <w:t>高陵区城西社区项目</w:t>
      </w:r>
    </w:p>
    <w:p w14:paraId="056C1A5D">
      <w:pPr>
        <w:jc w:val="both"/>
        <w:rPr>
          <w:rFonts w:hint="eastAsia"/>
          <w:color w:val="auto"/>
          <w:sz w:val="44"/>
          <w:szCs w:val="44"/>
          <w:highlight w:val="none"/>
        </w:rPr>
      </w:pPr>
    </w:p>
    <w:p w14:paraId="2FF74DB1">
      <w:pPr>
        <w:jc w:val="both"/>
        <w:rPr>
          <w:rFonts w:hint="eastAsia"/>
          <w:color w:val="auto"/>
          <w:sz w:val="44"/>
          <w:szCs w:val="44"/>
          <w:highlight w:val="none"/>
        </w:rPr>
      </w:pPr>
    </w:p>
    <w:p w14:paraId="219CC543">
      <w:pPr>
        <w:jc w:val="both"/>
        <w:rPr>
          <w:rFonts w:hint="eastAsia"/>
          <w:color w:val="auto"/>
          <w:sz w:val="44"/>
          <w:szCs w:val="44"/>
          <w:highlight w:val="none"/>
        </w:rPr>
      </w:pPr>
    </w:p>
    <w:p w14:paraId="74D3F6B0">
      <w:pPr>
        <w:jc w:val="both"/>
        <w:rPr>
          <w:rFonts w:hint="eastAsia"/>
          <w:color w:val="auto"/>
          <w:sz w:val="44"/>
          <w:szCs w:val="44"/>
          <w:highlight w:val="none"/>
        </w:rPr>
      </w:pPr>
    </w:p>
    <w:p w14:paraId="3E76B708">
      <w:pPr>
        <w:jc w:val="both"/>
        <w:rPr>
          <w:rFonts w:hint="eastAsia"/>
          <w:color w:val="auto"/>
          <w:sz w:val="44"/>
          <w:szCs w:val="44"/>
          <w:highlight w:val="none"/>
        </w:rPr>
      </w:pPr>
    </w:p>
    <w:p w14:paraId="1DB05C49">
      <w:pPr>
        <w:jc w:val="center"/>
        <w:rPr>
          <w:rFonts w:hint="eastAsia"/>
          <w:color w:val="auto"/>
          <w:sz w:val="52"/>
          <w:szCs w:val="52"/>
          <w:highlight w:val="none"/>
        </w:rPr>
      </w:pPr>
      <w:r>
        <w:rPr>
          <w:rFonts w:hint="eastAsia"/>
          <w:color w:val="auto"/>
          <w:sz w:val="52"/>
          <w:szCs w:val="52"/>
          <w:highlight w:val="none"/>
        </w:rPr>
        <w:t>建筑消防系统设施检测</w:t>
      </w:r>
    </w:p>
    <w:p w14:paraId="5B17A103">
      <w:pPr>
        <w:jc w:val="center"/>
        <w:rPr>
          <w:rFonts w:hint="eastAsia"/>
          <w:color w:val="auto"/>
          <w:sz w:val="52"/>
          <w:szCs w:val="52"/>
          <w:highlight w:val="none"/>
          <w:lang w:val="en-US" w:eastAsia="zh-CN"/>
        </w:rPr>
      </w:pPr>
      <w:r>
        <w:rPr>
          <w:rFonts w:hint="eastAsia"/>
          <w:color w:val="auto"/>
          <w:sz w:val="52"/>
          <w:szCs w:val="52"/>
          <w:highlight w:val="none"/>
          <w:lang w:val="en-US" w:eastAsia="zh-CN"/>
        </w:rPr>
        <w:t>消防安全评估</w:t>
      </w:r>
    </w:p>
    <w:p w14:paraId="1EA22E10">
      <w:pPr>
        <w:jc w:val="center"/>
        <w:rPr>
          <w:rFonts w:hint="eastAsia"/>
          <w:color w:val="auto"/>
          <w:sz w:val="52"/>
          <w:szCs w:val="52"/>
          <w:highlight w:val="none"/>
          <w:lang w:val="en-US" w:eastAsia="zh-CN"/>
        </w:rPr>
      </w:pPr>
    </w:p>
    <w:p w14:paraId="240E6F55">
      <w:pPr>
        <w:jc w:val="center"/>
        <w:rPr>
          <w:rFonts w:hint="eastAsia"/>
          <w:color w:val="auto"/>
          <w:sz w:val="52"/>
          <w:szCs w:val="52"/>
          <w:highlight w:val="none"/>
          <w:lang w:val="en-US" w:eastAsia="zh-CN"/>
        </w:rPr>
      </w:pPr>
      <w:r>
        <w:rPr>
          <w:rFonts w:hint="eastAsia"/>
          <w:color w:val="auto"/>
          <w:sz w:val="52"/>
          <w:szCs w:val="52"/>
          <w:highlight w:val="none"/>
          <w:lang w:val="en-US" w:eastAsia="zh-CN"/>
        </w:rPr>
        <w:t>协</w:t>
      </w:r>
    </w:p>
    <w:p w14:paraId="2F5238E8">
      <w:pPr>
        <w:jc w:val="center"/>
        <w:rPr>
          <w:rFonts w:hint="eastAsia"/>
          <w:color w:val="auto"/>
          <w:sz w:val="52"/>
          <w:szCs w:val="52"/>
          <w:highlight w:val="none"/>
          <w:lang w:val="en-US" w:eastAsia="zh-CN"/>
        </w:rPr>
      </w:pPr>
    </w:p>
    <w:p w14:paraId="0676A166">
      <w:pPr>
        <w:jc w:val="center"/>
        <w:rPr>
          <w:rFonts w:hint="eastAsia"/>
          <w:color w:val="auto"/>
          <w:sz w:val="52"/>
          <w:szCs w:val="52"/>
          <w:highlight w:val="none"/>
          <w:lang w:val="en-US" w:eastAsia="zh-CN"/>
        </w:rPr>
      </w:pPr>
      <w:r>
        <w:rPr>
          <w:rFonts w:hint="eastAsia"/>
          <w:color w:val="auto"/>
          <w:sz w:val="52"/>
          <w:szCs w:val="52"/>
          <w:highlight w:val="none"/>
          <w:lang w:val="en-US" w:eastAsia="zh-CN"/>
        </w:rPr>
        <w:t>议</w:t>
      </w:r>
      <w:bookmarkStart w:id="1" w:name="_GoBack"/>
      <w:bookmarkEnd w:id="1"/>
    </w:p>
    <w:p w14:paraId="3E7863E9">
      <w:pPr>
        <w:jc w:val="center"/>
        <w:rPr>
          <w:rFonts w:hint="eastAsia"/>
          <w:color w:val="auto"/>
          <w:sz w:val="52"/>
          <w:szCs w:val="52"/>
          <w:highlight w:val="none"/>
          <w:lang w:val="en-US" w:eastAsia="zh-CN"/>
        </w:rPr>
      </w:pPr>
    </w:p>
    <w:p w14:paraId="0BC956A8">
      <w:pPr>
        <w:jc w:val="center"/>
        <w:rPr>
          <w:rFonts w:hint="default"/>
          <w:color w:val="auto"/>
          <w:sz w:val="52"/>
          <w:szCs w:val="52"/>
          <w:highlight w:val="none"/>
          <w:lang w:val="en-US" w:eastAsia="zh-CN"/>
        </w:rPr>
      </w:pPr>
      <w:r>
        <w:rPr>
          <w:rFonts w:hint="eastAsia"/>
          <w:color w:val="auto"/>
          <w:sz w:val="52"/>
          <w:szCs w:val="52"/>
          <w:highlight w:val="none"/>
          <w:lang w:val="en-US" w:eastAsia="zh-CN"/>
        </w:rPr>
        <w:t>书</w:t>
      </w:r>
    </w:p>
    <w:p w14:paraId="7FC9E686">
      <w:pPr>
        <w:jc w:val="both"/>
        <w:rPr>
          <w:rFonts w:hint="eastAsia" w:ascii="宋体" w:hAnsi="宋体" w:eastAsia="宋体" w:cs="Times New Roman"/>
          <w:b/>
          <w:color w:val="auto"/>
          <w:kern w:val="2"/>
          <w:sz w:val="52"/>
          <w:szCs w:val="52"/>
          <w:highlight w:val="none"/>
          <w:lang w:val="en-US" w:eastAsia="zh-CN" w:bidi="ar-SA"/>
        </w:rPr>
      </w:pPr>
    </w:p>
    <w:p w14:paraId="3DB4CD6A">
      <w:pPr>
        <w:rPr>
          <w:rFonts w:hint="eastAsia"/>
          <w:color w:val="auto"/>
          <w:highlight w:val="none"/>
        </w:rPr>
      </w:pPr>
    </w:p>
    <w:p w14:paraId="662EB2A1">
      <w:pPr>
        <w:rPr>
          <w:rFonts w:hint="eastAsia"/>
          <w:color w:val="auto"/>
          <w:highlight w:val="none"/>
        </w:rPr>
      </w:pPr>
    </w:p>
    <w:p w14:paraId="45848305">
      <w:pPr>
        <w:spacing w:line="360" w:lineRule="auto"/>
        <w:jc w:val="center"/>
        <w:rPr>
          <w:rFonts w:hint="eastAsia"/>
          <w:b/>
          <w:color w:val="auto"/>
          <w:sz w:val="28"/>
          <w:szCs w:val="28"/>
          <w:highlight w:val="none"/>
        </w:rPr>
      </w:pPr>
    </w:p>
    <w:p w14:paraId="3852E76D">
      <w:pPr>
        <w:spacing w:line="360" w:lineRule="auto"/>
        <w:jc w:val="center"/>
        <w:rPr>
          <w:rFonts w:hint="default" w:eastAsia="宋体"/>
          <w:b/>
          <w:color w:val="auto"/>
          <w:sz w:val="28"/>
          <w:szCs w:val="28"/>
          <w:highlight w:val="none"/>
          <w:lang w:val="en-US" w:eastAsia="zh-CN"/>
        </w:rPr>
      </w:pPr>
      <w:r>
        <w:rPr>
          <w:rFonts w:hint="eastAsia"/>
          <w:b/>
          <w:color w:val="auto"/>
          <w:sz w:val="28"/>
          <w:szCs w:val="28"/>
          <w:highlight w:val="none"/>
        </w:rPr>
        <w:t>建筑消防系统设施检测</w:t>
      </w:r>
      <w:r>
        <w:rPr>
          <w:rFonts w:hint="eastAsia"/>
          <w:b/>
          <w:color w:val="auto"/>
          <w:sz w:val="28"/>
          <w:szCs w:val="28"/>
          <w:highlight w:val="none"/>
          <w:lang w:eastAsia="zh-CN"/>
        </w:rPr>
        <w:t>、</w:t>
      </w:r>
      <w:r>
        <w:rPr>
          <w:rFonts w:hint="eastAsia"/>
          <w:b/>
          <w:color w:val="auto"/>
          <w:sz w:val="28"/>
          <w:szCs w:val="28"/>
          <w:highlight w:val="none"/>
          <w:lang w:val="en-US" w:eastAsia="zh-CN"/>
        </w:rPr>
        <w:t>消防安全评估协议书</w:t>
      </w:r>
    </w:p>
    <w:p w14:paraId="755DE1A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Times New Roman"/>
          <w:color w:val="auto"/>
          <w:sz w:val="24"/>
          <w:highlight w:val="none"/>
          <w:lang w:val="en-US" w:eastAsia="zh-CN"/>
        </w:rPr>
      </w:pPr>
    </w:p>
    <w:p w14:paraId="65B8604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甲方名称：</w:t>
      </w:r>
    </w:p>
    <w:p w14:paraId="6152799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地    址：</w:t>
      </w:r>
    </w:p>
    <w:p w14:paraId="386866C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联 系 人：</w:t>
      </w:r>
    </w:p>
    <w:p w14:paraId="5DC8254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联系方式：</w:t>
      </w:r>
    </w:p>
    <w:p w14:paraId="313789E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乙方名称：</w:t>
      </w:r>
    </w:p>
    <w:p w14:paraId="589D851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地    址：</w:t>
      </w:r>
    </w:p>
    <w:p w14:paraId="2955051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联 系 人：</w:t>
      </w:r>
    </w:p>
    <w:p w14:paraId="6110FDD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联系方式：</w:t>
      </w:r>
    </w:p>
    <w:p w14:paraId="379B9C2B">
      <w:pPr>
        <w:spacing w:line="336" w:lineRule="auto"/>
        <w:rPr>
          <w:rFonts w:hint="default"/>
          <w:color w:val="auto"/>
          <w:szCs w:val="21"/>
          <w:highlight w:val="none"/>
          <w:lang w:val="en-US" w:eastAsia="zh-CN"/>
        </w:rPr>
      </w:pPr>
    </w:p>
    <w:p w14:paraId="7E8F8DF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color w:val="auto"/>
          <w:sz w:val="24"/>
          <w:highlight w:val="none"/>
        </w:rPr>
      </w:pPr>
      <w:r>
        <w:rPr>
          <w:rFonts w:hint="eastAsia"/>
          <w:color w:val="auto"/>
          <w:sz w:val="24"/>
          <w:highlight w:val="none"/>
        </w:rPr>
        <w:t>按照《中华人民共和国民法典》《中华人民共和国消防法》及省市有关文件的规定要求</w:t>
      </w:r>
      <w:r>
        <w:rPr>
          <w:rFonts w:hint="eastAsia"/>
          <w:color w:val="auto"/>
          <w:sz w:val="24"/>
          <w:highlight w:val="none"/>
          <w:lang w:eastAsia="zh-CN"/>
        </w:rPr>
        <w:t>，</w:t>
      </w:r>
      <w:r>
        <w:rPr>
          <w:rFonts w:hint="eastAsia"/>
          <w:color w:val="auto"/>
          <w:sz w:val="24"/>
          <w:highlight w:val="none"/>
        </w:rPr>
        <w:t>为贯彻落实消防法规，现委托乙方对甲方</w:t>
      </w:r>
      <w:r>
        <w:rPr>
          <w:rFonts w:hint="eastAsia"/>
          <w:color w:val="auto"/>
          <w:sz w:val="24"/>
          <w:highlight w:val="none"/>
          <w:u w:val="single"/>
          <w:lang w:val="en-US" w:eastAsia="zh-CN"/>
        </w:rPr>
        <w:t>高陵区城西社区项目</w:t>
      </w:r>
      <w:r>
        <w:rPr>
          <w:rFonts w:hint="eastAsia"/>
          <w:color w:val="auto"/>
          <w:sz w:val="24"/>
          <w:highlight w:val="none"/>
          <w:lang w:val="en-US" w:eastAsia="zh-CN"/>
        </w:rPr>
        <w:t>进行</w:t>
      </w:r>
      <w:r>
        <w:rPr>
          <w:rFonts w:hint="eastAsia"/>
          <w:color w:val="auto"/>
          <w:sz w:val="24"/>
          <w:highlight w:val="none"/>
        </w:rPr>
        <w:t>消防设施进行检测</w:t>
      </w:r>
      <w:r>
        <w:rPr>
          <w:rFonts w:hint="eastAsia"/>
          <w:color w:val="auto"/>
          <w:sz w:val="24"/>
          <w:highlight w:val="none"/>
          <w:lang w:eastAsia="zh-CN"/>
        </w:rPr>
        <w:t>、</w:t>
      </w:r>
      <w:r>
        <w:rPr>
          <w:rFonts w:hint="eastAsia"/>
          <w:color w:val="auto"/>
          <w:sz w:val="24"/>
          <w:highlight w:val="none"/>
          <w:lang w:val="en-US" w:eastAsia="zh-CN"/>
        </w:rPr>
        <w:t>消防安全评估</w:t>
      </w:r>
      <w:r>
        <w:rPr>
          <w:rFonts w:hint="eastAsia"/>
          <w:color w:val="auto"/>
          <w:sz w:val="24"/>
          <w:highlight w:val="none"/>
        </w:rPr>
        <w:t>。为明确双方责任，经双方协商一致，特签订本</w:t>
      </w:r>
      <w:r>
        <w:rPr>
          <w:rFonts w:hint="eastAsia"/>
          <w:color w:val="auto"/>
          <w:sz w:val="24"/>
          <w:highlight w:val="none"/>
          <w:lang w:val="en-US" w:eastAsia="zh-CN"/>
        </w:rPr>
        <w:t>协议</w:t>
      </w:r>
      <w:r>
        <w:rPr>
          <w:rFonts w:hint="eastAsia"/>
          <w:color w:val="auto"/>
          <w:sz w:val="24"/>
          <w:highlight w:val="none"/>
        </w:rPr>
        <w:t>。</w:t>
      </w:r>
    </w:p>
    <w:p w14:paraId="1FC19B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b/>
          <w:bCs/>
          <w:color w:val="auto"/>
          <w:sz w:val="24"/>
          <w:highlight w:val="none"/>
        </w:rPr>
      </w:pPr>
      <w:r>
        <w:rPr>
          <w:rFonts w:hint="eastAsia"/>
          <w:b/>
          <w:bCs/>
          <w:color w:val="auto"/>
          <w:sz w:val="24"/>
          <w:highlight w:val="none"/>
          <w:lang w:val="en-US" w:eastAsia="zh-CN"/>
        </w:rPr>
        <w:t>一、</w:t>
      </w:r>
      <w:r>
        <w:rPr>
          <w:rFonts w:hint="eastAsia"/>
          <w:b/>
          <w:bCs/>
          <w:color w:val="auto"/>
          <w:sz w:val="24"/>
          <w:highlight w:val="none"/>
        </w:rPr>
        <w:t>项目名称及地点</w:t>
      </w:r>
    </w:p>
    <w:p w14:paraId="5A34BA6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color w:val="auto"/>
          <w:sz w:val="24"/>
          <w:highlight w:val="none"/>
          <w:u w:val="single"/>
          <w:lang w:val="en-US" w:eastAsia="zh-CN"/>
        </w:rPr>
      </w:pPr>
      <w:r>
        <w:rPr>
          <w:rFonts w:hint="eastAsia"/>
          <w:color w:val="auto"/>
          <w:sz w:val="24"/>
          <w:highlight w:val="none"/>
          <w:lang w:val="en-US" w:eastAsia="zh-CN"/>
        </w:rPr>
        <w:t>1、</w:t>
      </w:r>
      <w:r>
        <w:rPr>
          <w:rFonts w:hint="eastAsia"/>
          <w:color w:val="auto"/>
          <w:sz w:val="24"/>
          <w:highlight w:val="none"/>
        </w:rPr>
        <w:t>项目名称：</w:t>
      </w:r>
      <w:r>
        <w:rPr>
          <w:rFonts w:hint="eastAsia"/>
          <w:color w:val="auto"/>
          <w:sz w:val="24"/>
          <w:highlight w:val="none"/>
          <w:u w:val="single"/>
          <w:lang w:val="en-US" w:eastAsia="zh-CN"/>
        </w:rPr>
        <w:t>高陵区城西社区项目</w:t>
      </w:r>
    </w:p>
    <w:p w14:paraId="5C5553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color w:val="auto"/>
          <w:highlight w:val="none"/>
          <w:lang w:val="en-US" w:eastAsia="zh-CN"/>
        </w:rPr>
      </w:pPr>
      <w:r>
        <w:rPr>
          <w:rFonts w:hint="eastAsia"/>
          <w:color w:val="auto"/>
          <w:sz w:val="24"/>
          <w:highlight w:val="none"/>
          <w:lang w:val="en-US" w:eastAsia="zh-CN"/>
        </w:rPr>
        <w:t>2、</w:t>
      </w:r>
      <w:r>
        <w:rPr>
          <w:rFonts w:hint="eastAsia"/>
          <w:color w:val="auto"/>
          <w:sz w:val="24"/>
          <w:highlight w:val="none"/>
        </w:rPr>
        <w:t>项目地点：</w:t>
      </w:r>
      <w:r>
        <w:rPr>
          <w:rFonts w:hint="eastAsia"/>
          <w:color w:val="auto"/>
          <w:sz w:val="24"/>
          <w:highlight w:val="none"/>
          <w:u w:val="single"/>
          <w:lang w:val="en-US" w:eastAsia="zh-CN"/>
        </w:rPr>
        <w:t>陕西省西安市高陵区</w:t>
      </w:r>
    </w:p>
    <w:p w14:paraId="12CA8E2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color w:val="auto"/>
          <w:sz w:val="24"/>
          <w:highlight w:val="none"/>
          <w:u w:val="none"/>
          <w:lang w:val="en-US" w:eastAsia="zh-CN"/>
        </w:rPr>
      </w:pPr>
      <w:r>
        <w:rPr>
          <w:rFonts w:hint="eastAsia"/>
          <w:color w:val="auto"/>
          <w:sz w:val="24"/>
          <w:highlight w:val="none"/>
          <w:u w:val="none"/>
          <w:lang w:val="en-US" w:eastAsia="zh-CN"/>
        </w:rPr>
        <w:t>3、建筑面积及项目类别：（如下表）</w:t>
      </w:r>
    </w:p>
    <w:tbl>
      <w:tblPr>
        <w:tblStyle w:val="4"/>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10"/>
        <w:gridCol w:w="2116"/>
        <w:gridCol w:w="2208"/>
        <w:gridCol w:w="1920"/>
        <w:gridCol w:w="1684"/>
      </w:tblGrid>
      <w:tr w14:paraId="1A27D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810" w:type="dxa"/>
            <w:tcBorders>
              <w:top w:val="single" w:color="auto" w:sz="4" w:space="0"/>
              <w:left w:val="single" w:color="auto" w:sz="4" w:space="0"/>
              <w:bottom w:val="single" w:color="auto" w:sz="4" w:space="0"/>
              <w:right w:val="single" w:color="auto" w:sz="4" w:space="0"/>
            </w:tcBorders>
            <w:noWrap/>
            <w:vAlign w:val="center"/>
          </w:tcPr>
          <w:p w14:paraId="4FCDDBF8">
            <w:pPr>
              <w:keepNext w:val="0"/>
              <w:keepLines w:val="0"/>
              <w:widowControl/>
              <w:suppressLineNumbers w:val="0"/>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116" w:type="dxa"/>
            <w:tcBorders>
              <w:top w:val="single" w:color="auto" w:sz="4" w:space="0"/>
              <w:left w:val="single" w:color="auto" w:sz="4" w:space="0"/>
              <w:bottom w:val="single" w:color="auto" w:sz="4" w:space="0"/>
              <w:right w:val="single" w:color="auto" w:sz="4" w:space="0"/>
            </w:tcBorders>
            <w:noWrap/>
            <w:vAlign w:val="center"/>
          </w:tcPr>
          <w:p w14:paraId="078C426B">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项目名称</w:t>
            </w:r>
          </w:p>
        </w:tc>
        <w:tc>
          <w:tcPr>
            <w:tcW w:w="2208" w:type="dxa"/>
            <w:tcBorders>
              <w:top w:val="single" w:color="auto" w:sz="4" w:space="0"/>
              <w:left w:val="single" w:color="auto" w:sz="4" w:space="0"/>
              <w:bottom w:val="single" w:color="auto" w:sz="4" w:space="0"/>
              <w:right w:val="single" w:color="auto" w:sz="4" w:space="0"/>
            </w:tcBorders>
            <w:noWrap/>
            <w:vAlign w:val="center"/>
          </w:tcPr>
          <w:p w14:paraId="587ACAC8">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建筑名称</w:t>
            </w:r>
          </w:p>
        </w:tc>
        <w:tc>
          <w:tcPr>
            <w:tcW w:w="1920" w:type="dxa"/>
            <w:tcBorders>
              <w:top w:val="single" w:color="auto" w:sz="4" w:space="0"/>
              <w:left w:val="single" w:color="auto" w:sz="4" w:space="0"/>
              <w:bottom w:val="single" w:color="auto" w:sz="4" w:space="0"/>
              <w:right w:val="single" w:color="auto" w:sz="4" w:space="0"/>
            </w:tcBorders>
            <w:noWrap/>
            <w:vAlign w:val="center"/>
          </w:tcPr>
          <w:p w14:paraId="3C04022A">
            <w:pPr>
              <w:keepNext w:val="0"/>
              <w:keepLines w:val="0"/>
              <w:widowControl/>
              <w:suppressLineNumbers w:val="0"/>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项目类别</w:t>
            </w:r>
          </w:p>
        </w:tc>
        <w:tc>
          <w:tcPr>
            <w:tcW w:w="1684" w:type="dxa"/>
            <w:tcBorders>
              <w:top w:val="single" w:color="auto" w:sz="4" w:space="0"/>
              <w:left w:val="single" w:color="auto" w:sz="4" w:space="0"/>
              <w:bottom w:val="single" w:color="auto" w:sz="4" w:space="0"/>
              <w:right w:val="single" w:color="auto" w:sz="4" w:space="0"/>
            </w:tcBorders>
            <w:noWrap/>
            <w:vAlign w:val="center"/>
          </w:tcPr>
          <w:p w14:paraId="2F64613A">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建筑面积（㎡）</w:t>
            </w:r>
          </w:p>
        </w:tc>
      </w:tr>
      <w:tr w14:paraId="234D2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6" w:hRule="atLeast"/>
          <w:jc w:val="center"/>
        </w:trPr>
        <w:tc>
          <w:tcPr>
            <w:tcW w:w="810" w:type="dxa"/>
            <w:tcBorders>
              <w:top w:val="single" w:color="auto" w:sz="4" w:space="0"/>
              <w:left w:val="single" w:color="auto" w:sz="4" w:space="0"/>
              <w:bottom w:val="single" w:color="auto" w:sz="4" w:space="0"/>
              <w:right w:val="single" w:color="auto" w:sz="4" w:space="0"/>
            </w:tcBorders>
            <w:noWrap/>
            <w:vAlign w:val="center"/>
          </w:tcPr>
          <w:p w14:paraId="7D14B981">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1</w:t>
            </w:r>
          </w:p>
        </w:tc>
        <w:tc>
          <w:tcPr>
            <w:tcW w:w="2116" w:type="dxa"/>
            <w:tcBorders>
              <w:top w:val="single" w:color="auto" w:sz="4" w:space="0"/>
              <w:left w:val="single" w:color="auto" w:sz="4" w:space="0"/>
              <w:bottom w:val="single" w:color="auto" w:sz="4" w:space="0"/>
              <w:right w:val="single" w:color="auto" w:sz="4" w:space="0"/>
            </w:tcBorders>
            <w:noWrap/>
            <w:vAlign w:val="center"/>
          </w:tcPr>
          <w:p w14:paraId="500CBE14">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default" w:ascii="宋体" w:hAnsi="宋体" w:eastAsia="宋体" w:cs="宋体"/>
                <w:b/>
                <w:bCs/>
                <w:i w:val="0"/>
                <w:iCs w:val="0"/>
                <w:color w:val="auto"/>
                <w:kern w:val="0"/>
                <w:sz w:val="24"/>
                <w:szCs w:val="24"/>
                <w:highlight w:val="none"/>
                <w:u w:val="none"/>
                <w:lang w:val="en-US" w:eastAsia="zh-CN" w:bidi="ar"/>
              </w:rPr>
              <w:t>高陵区城西社区项目</w:t>
            </w:r>
            <w:r>
              <w:rPr>
                <w:rFonts w:hint="eastAsia" w:ascii="宋体" w:hAnsi="宋体" w:eastAsia="宋体" w:cs="宋体"/>
                <w:b/>
                <w:bCs/>
                <w:i w:val="0"/>
                <w:iCs w:val="0"/>
                <w:color w:val="auto"/>
                <w:kern w:val="0"/>
                <w:sz w:val="24"/>
                <w:szCs w:val="24"/>
                <w:highlight w:val="none"/>
                <w:u w:val="none"/>
                <w:lang w:val="en-US" w:eastAsia="zh-CN" w:bidi="ar"/>
              </w:rPr>
              <w:t>一期</w:t>
            </w:r>
          </w:p>
        </w:tc>
        <w:tc>
          <w:tcPr>
            <w:tcW w:w="2208" w:type="dxa"/>
            <w:tcBorders>
              <w:top w:val="single" w:color="auto" w:sz="4" w:space="0"/>
              <w:left w:val="single" w:color="auto" w:sz="4" w:space="0"/>
              <w:right w:val="single" w:color="auto" w:sz="4" w:space="0"/>
            </w:tcBorders>
            <w:noWrap/>
            <w:vAlign w:val="center"/>
          </w:tcPr>
          <w:p w14:paraId="70AE9382">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default" w:ascii="宋体" w:hAnsi="宋体" w:eastAsia="宋体" w:cs="宋体"/>
                <w:b/>
                <w:bCs/>
                <w:i w:val="0"/>
                <w:iCs w:val="0"/>
                <w:color w:val="auto"/>
                <w:kern w:val="0"/>
                <w:sz w:val="24"/>
                <w:szCs w:val="24"/>
                <w:highlight w:val="none"/>
                <w:u w:val="none"/>
                <w:lang w:val="en-US" w:eastAsia="zh-CN" w:bidi="ar"/>
              </w:rPr>
              <w:t>8</w:t>
            </w:r>
            <w:r>
              <w:rPr>
                <w:rFonts w:hint="eastAsia" w:ascii="宋体" w:hAnsi="宋体" w:eastAsia="宋体" w:cs="宋体"/>
                <w:b/>
                <w:bCs/>
                <w:i w:val="0"/>
                <w:iCs w:val="0"/>
                <w:color w:val="auto"/>
                <w:kern w:val="0"/>
                <w:sz w:val="24"/>
                <w:szCs w:val="24"/>
                <w:highlight w:val="none"/>
                <w:u w:val="none"/>
                <w:lang w:val="en-US" w:eastAsia="zh-CN" w:bidi="ar"/>
              </w:rPr>
              <w:t>、</w:t>
            </w:r>
            <w:r>
              <w:rPr>
                <w:rFonts w:hint="default" w:ascii="宋体" w:hAnsi="宋体" w:eastAsia="宋体" w:cs="宋体"/>
                <w:b/>
                <w:bCs/>
                <w:i w:val="0"/>
                <w:iCs w:val="0"/>
                <w:color w:val="auto"/>
                <w:kern w:val="0"/>
                <w:sz w:val="24"/>
                <w:szCs w:val="24"/>
                <w:highlight w:val="none"/>
                <w:u w:val="none"/>
                <w:lang w:val="en-US" w:eastAsia="zh-CN" w:bidi="ar"/>
              </w:rPr>
              <w:t>9</w:t>
            </w:r>
            <w:r>
              <w:rPr>
                <w:rFonts w:hint="eastAsia" w:ascii="宋体" w:hAnsi="宋体" w:eastAsia="宋体" w:cs="宋体"/>
                <w:b/>
                <w:bCs/>
                <w:i w:val="0"/>
                <w:iCs w:val="0"/>
                <w:color w:val="auto"/>
                <w:kern w:val="0"/>
                <w:sz w:val="24"/>
                <w:szCs w:val="24"/>
                <w:highlight w:val="none"/>
                <w:u w:val="none"/>
                <w:lang w:val="en-US" w:eastAsia="zh-CN" w:bidi="ar"/>
              </w:rPr>
              <w:t>、</w:t>
            </w:r>
            <w:r>
              <w:rPr>
                <w:rFonts w:hint="default" w:ascii="宋体" w:hAnsi="宋体" w:eastAsia="宋体" w:cs="宋体"/>
                <w:b/>
                <w:bCs/>
                <w:i w:val="0"/>
                <w:iCs w:val="0"/>
                <w:color w:val="auto"/>
                <w:kern w:val="0"/>
                <w:sz w:val="24"/>
                <w:szCs w:val="24"/>
                <w:highlight w:val="none"/>
                <w:u w:val="none"/>
                <w:lang w:val="en-US" w:eastAsia="zh-CN" w:bidi="ar"/>
              </w:rPr>
              <w:t>11</w:t>
            </w:r>
            <w:r>
              <w:rPr>
                <w:rFonts w:hint="eastAsia" w:ascii="宋体" w:hAnsi="宋体" w:eastAsia="宋体" w:cs="宋体"/>
                <w:b/>
                <w:bCs/>
                <w:i w:val="0"/>
                <w:iCs w:val="0"/>
                <w:color w:val="auto"/>
                <w:kern w:val="0"/>
                <w:sz w:val="24"/>
                <w:szCs w:val="24"/>
                <w:highlight w:val="none"/>
                <w:u w:val="none"/>
                <w:lang w:val="en-US" w:eastAsia="zh-CN" w:bidi="ar"/>
              </w:rPr>
              <w:t>、</w:t>
            </w:r>
            <w:r>
              <w:rPr>
                <w:rFonts w:hint="default" w:ascii="宋体" w:hAnsi="宋体" w:eastAsia="宋体" w:cs="宋体"/>
                <w:b/>
                <w:bCs/>
                <w:i w:val="0"/>
                <w:iCs w:val="0"/>
                <w:color w:val="auto"/>
                <w:kern w:val="0"/>
                <w:sz w:val="24"/>
                <w:szCs w:val="24"/>
                <w:highlight w:val="none"/>
                <w:u w:val="none"/>
                <w:lang w:val="en-US" w:eastAsia="zh-CN" w:bidi="ar"/>
              </w:rPr>
              <w:t>12</w:t>
            </w:r>
            <w:r>
              <w:rPr>
                <w:rFonts w:hint="eastAsia" w:ascii="宋体" w:hAnsi="宋体" w:eastAsia="宋体" w:cs="宋体"/>
                <w:b/>
                <w:bCs/>
                <w:i w:val="0"/>
                <w:iCs w:val="0"/>
                <w:color w:val="auto"/>
                <w:kern w:val="0"/>
                <w:sz w:val="24"/>
                <w:szCs w:val="24"/>
                <w:highlight w:val="none"/>
                <w:u w:val="none"/>
                <w:lang w:val="en-US" w:eastAsia="zh-CN" w:bidi="ar"/>
              </w:rPr>
              <w:t>、</w:t>
            </w:r>
            <w:r>
              <w:rPr>
                <w:rFonts w:hint="default" w:ascii="宋体" w:hAnsi="宋体" w:eastAsia="宋体" w:cs="宋体"/>
                <w:b/>
                <w:bCs/>
                <w:i w:val="0"/>
                <w:iCs w:val="0"/>
                <w:color w:val="auto"/>
                <w:kern w:val="0"/>
                <w:sz w:val="24"/>
                <w:szCs w:val="24"/>
                <w:highlight w:val="none"/>
                <w:u w:val="none"/>
                <w:lang w:val="en-US" w:eastAsia="zh-CN" w:bidi="ar"/>
              </w:rPr>
              <w:t>14</w:t>
            </w:r>
            <w:r>
              <w:rPr>
                <w:rFonts w:hint="eastAsia" w:ascii="宋体" w:hAnsi="宋体" w:eastAsia="宋体" w:cs="宋体"/>
                <w:b/>
                <w:bCs/>
                <w:i w:val="0"/>
                <w:iCs w:val="0"/>
                <w:color w:val="auto"/>
                <w:kern w:val="0"/>
                <w:sz w:val="24"/>
                <w:szCs w:val="24"/>
                <w:highlight w:val="none"/>
                <w:u w:val="none"/>
                <w:lang w:val="en-US" w:eastAsia="zh-CN" w:bidi="ar"/>
              </w:rPr>
              <w:t>、</w:t>
            </w:r>
            <w:r>
              <w:rPr>
                <w:rFonts w:hint="default" w:ascii="宋体" w:hAnsi="宋体" w:eastAsia="宋体" w:cs="宋体"/>
                <w:b/>
                <w:bCs/>
                <w:i w:val="0"/>
                <w:iCs w:val="0"/>
                <w:color w:val="auto"/>
                <w:kern w:val="0"/>
                <w:sz w:val="24"/>
                <w:szCs w:val="24"/>
                <w:highlight w:val="none"/>
                <w:u w:val="none"/>
                <w:lang w:val="en-US" w:eastAsia="zh-CN" w:bidi="ar"/>
              </w:rPr>
              <w:t>15</w:t>
            </w:r>
            <w:r>
              <w:rPr>
                <w:rFonts w:hint="eastAsia" w:ascii="宋体" w:hAnsi="宋体" w:eastAsia="宋体" w:cs="宋体"/>
                <w:b/>
                <w:bCs/>
                <w:i w:val="0"/>
                <w:iCs w:val="0"/>
                <w:color w:val="auto"/>
                <w:kern w:val="0"/>
                <w:sz w:val="24"/>
                <w:szCs w:val="24"/>
                <w:highlight w:val="none"/>
                <w:u w:val="none"/>
                <w:lang w:val="en-US" w:eastAsia="zh-CN" w:bidi="ar"/>
              </w:rPr>
              <w:t>、</w:t>
            </w:r>
            <w:r>
              <w:rPr>
                <w:rFonts w:hint="default" w:ascii="宋体" w:hAnsi="宋体" w:eastAsia="宋体" w:cs="宋体"/>
                <w:b/>
                <w:bCs/>
                <w:i w:val="0"/>
                <w:iCs w:val="0"/>
                <w:color w:val="auto"/>
                <w:kern w:val="0"/>
                <w:sz w:val="24"/>
                <w:szCs w:val="24"/>
                <w:highlight w:val="none"/>
                <w:u w:val="none"/>
                <w:lang w:val="en-US" w:eastAsia="zh-CN" w:bidi="ar"/>
              </w:rPr>
              <w:t>16</w:t>
            </w:r>
            <w:r>
              <w:rPr>
                <w:rFonts w:hint="eastAsia" w:ascii="宋体" w:hAnsi="宋体" w:eastAsia="宋体" w:cs="宋体"/>
                <w:b/>
                <w:bCs/>
                <w:i w:val="0"/>
                <w:iCs w:val="0"/>
                <w:color w:val="auto"/>
                <w:kern w:val="0"/>
                <w:sz w:val="24"/>
                <w:szCs w:val="24"/>
                <w:highlight w:val="none"/>
                <w:u w:val="none"/>
                <w:lang w:val="en-US" w:eastAsia="zh-CN" w:bidi="ar"/>
              </w:rPr>
              <w:t>、</w:t>
            </w:r>
            <w:r>
              <w:rPr>
                <w:rFonts w:hint="default" w:ascii="宋体" w:hAnsi="宋体" w:eastAsia="宋体" w:cs="宋体"/>
                <w:b/>
                <w:bCs/>
                <w:i w:val="0"/>
                <w:iCs w:val="0"/>
                <w:color w:val="auto"/>
                <w:kern w:val="0"/>
                <w:sz w:val="24"/>
                <w:szCs w:val="24"/>
                <w:highlight w:val="none"/>
                <w:u w:val="none"/>
                <w:lang w:val="en-US" w:eastAsia="zh-CN" w:bidi="ar"/>
              </w:rPr>
              <w:t>7</w:t>
            </w:r>
            <w:r>
              <w:rPr>
                <w:rFonts w:hint="eastAsia" w:ascii="宋体" w:hAnsi="宋体" w:eastAsia="宋体" w:cs="宋体"/>
                <w:b/>
                <w:bCs/>
                <w:i w:val="0"/>
                <w:iCs w:val="0"/>
                <w:color w:val="auto"/>
                <w:kern w:val="0"/>
                <w:sz w:val="24"/>
                <w:szCs w:val="24"/>
                <w:highlight w:val="none"/>
                <w:u w:val="none"/>
                <w:lang w:val="en-US" w:eastAsia="zh-CN" w:bidi="ar"/>
              </w:rPr>
              <w:t>号楼</w:t>
            </w:r>
          </w:p>
        </w:tc>
        <w:tc>
          <w:tcPr>
            <w:tcW w:w="1920" w:type="dxa"/>
            <w:tcBorders>
              <w:top w:val="single" w:color="auto" w:sz="4" w:space="0"/>
              <w:left w:val="single" w:color="auto" w:sz="4" w:space="0"/>
              <w:right w:val="single" w:color="auto" w:sz="4" w:space="0"/>
            </w:tcBorders>
            <w:noWrap/>
            <w:vAlign w:val="center"/>
          </w:tcPr>
          <w:p w14:paraId="0BA80623">
            <w:pPr>
              <w:keepNext w:val="0"/>
              <w:keepLines w:val="0"/>
              <w:widowControl/>
              <w:suppressLineNumbers w:val="0"/>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bookmarkStart w:id="0" w:name="OLE_LINK1"/>
            <w:r>
              <w:rPr>
                <w:rFonts w:hint="eastAsia" w:ascii="宋体" w:hAnsi="宋体" w:eastAsia="宋体" w:cs="宋体"/>
                <w:b/>
                <w:bCs/>
                <w:i w:val="0"/>
                <w:iCs w:val="0"/>
                <w:color w:val="auto"/>
                <w:kern w:val="0"/>
                <w:sz w:val="24"/>
                <w:szCs w:val="24"/>
                <w:highlight w:val="none"/>
                <w:u w:val="none"/>
                <w:lang w:val="en-US" w:eastAsia="zh-CN" w:bidi="ar"/>
              </w:rPr>
              <w:t>消防设施检测、</w:t>
            </w:r>
          </w:p>
          <w:p w14:paraId="34C19CD0">
            <w:pPr>
              <w:keepNext w:val="0"/>
              <w:keepLines w:val="0"/>
              <w:widowControl/>
              <w:suppressLineNumbers w:val="0"/>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消防安全评估</w:t>
            </w:r>
            <w:bookmarkEnd w:id="0"/>
          </w:p>
        </w:tc>
        <w:tc>
          <w:tcPr>
            <w:tcW w:w="1684" w:type="dxa"/>
            <w:tcBorders>
              <w:top w:val="single" w:color="auto" w:sz="4" w:space="0"/>
              <w:left w:val="single" w:color="auto" w:sz="4" w:space="0"/>
              <w:bottom w:val="single" w:color="auto" w:sz="4" w:space="0"/>
              <w:right w:val="single" w:color="auto" w:sz="4" w:space="0"/>
            </w:tcBorders>
            <w:noWrap/>
            <w:vAlign w:val="center"/>
          </w:tcPr>
          <w:p w14:paraId="10AEBF22">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93237.32</w:t>
            </w:r>
          </w:p>
        </w:tc>
      </w:tr>
      <w:tr w14:paraId="58668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2" w:hRule="atLeast"/>
          <w:jc w:val="center"/>
        </w:trPr>
        <w:tc>
          <w:tcPr>
            <w:tcW w:w="810" w:type="dxa"/>
            <w:tcBorders>
              <w:top w:val="single" w:color="auto" w:sz="4" w:space="0"/>
              <w:left w:val="single" w:color="auto" w:sz="4" w:space="0"/>
              <w:bottom w:val="single" w:color="auto" w:sz="4" w:space="0"/>
              <w:right w:val="single" w:color="auto" w:sz="4" w:space="0"/>
            </w:tcBorders>
            <w:noWrap/>
            <w:vAlign w:val="center"/>
          </w:tcPr>
          <w:p w14:paraId="248BF229">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2</w:t>
            </w:r>
          </w:p>
        </w:tc>
        <w:tc>
          <w:tcPr>
            <w:tcW w:w="2116" w:type="dxa"/>
            <w:tcBorders>
              <w:left w:val="single" w:color="auto" w:sz="4" w:space="0"/>
              <w:bottom w:val="single" w:color="auto" w:sz="4" w:space="0"/>
              <w:right w:val="single" w:color="auto" w:sz="4" w:space="0"/>
            </w:tcBorders>
            <w:noWrap/>
            <w:vAlign w:val="center"/>
          </w:tcPr>
          <w:p w14:paraId="3395F4FD">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default" w:ascii="宋体" w:hAnsi="宋体" w:eastAsia="宋体" w:cs="宋体"/>
                <w:b/>
                <w:bCs/>
                <w:i w:val="0"/>
                <w:iCs w:val="0"/>
                <w:color w:val="auto"/>
                <w:kern w:val="0"/>
                <w:sz w:val="24"/>
                <w:szCs w:val="24"/>
                <w:highlight w:val="none"/>
                <w:u w:val="none"/>
                <w:lang w:val="en-US" w:eastAsia="zh-CN" w:bidi="ar"/>
              </w:rPr>
              <w:t>高陵区城西社区项目</w:t>
            </w:r>
            <w:r>
              <w:rPr>
                <w:rFonts w:hint="eastAsia" w:ascii="宋体" w:hAnsi="宋体" w:eastAsia="宋体" w:cs="宋体"/>
                <w:b/>
                <w:bCs/>
                <w:i w:val="0"/>
                <w:iCs w:val="0"/>
                <w:color w:val="auto"/>
                <w:kern w:val="0"/>
                <w:sz w:val="24"/>
                <w:szCs w:val="24"/>
                <w:highlight w:val="none"/>
                <w:u w:val="none"/>
                <w:lang w:val="en-US" w:eastAsia="zh-CN" w:bidi="ar"/>
              </w:rPr>
              <w:t>二期</w:t>
            </w:r>
          </w:p>
        </w:tc>
        <w:tc>
          <w:tcPr>
            <w:tcW w:w="2208" w:type="dxa"/>
            <w:tcBorders>
              <w:top w:val="single" w:color="auto" w:sz="4" w:space="0"/>
              <w:left w:val="single" w:color="auto" w:sz="4" w:space="0"/>
              <w:bottom w:val="single" w:color="auto" w:sz="4" w:space="0"/>
              <w:right w:val="single" w:color="auto" w:sz="4" w:space="0"/>
            </w:tcBorders>
            <w:noWrap/>
            <w:vAlign w:val="center"/>
          </w:tcPr>
          <w:p w14:paraId="4D4515B1">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13、18号楼及地下车库</w:t>
            </w:r>
          </w:p>
        </w:tc>
        <w:tc>
          <w:tcPr>
            <w:tcW w:w="1920" w:type="dxa"/>
            <w:tcBorders>
              <w:top w:val="single" w:color="auto" w:sz="4" w:space="0"/>
              <w:left w:val="single" w:color="auto" w:sz="4" w:space="0"/>
              <w:bottom w:val="single" w:color="auto" w:sz="4" w:space="0"/>
              <w:right w:val="single" w:color="auto" w:sz="4" w:space="0"/>
            </w:tcBorders>
            <w:noWrap/>
            <w:vAlign w:val="center"/>
          </w:tcPr>
          <w:p w14:paraId="6EAE68A8">
            <w:pPr>
              <w:keepNext w:val="0"/>
              <w:keepLines w:val="0"/>
              <w:widowControl/>
              <w:suppressLineNumbers w:val="0"/>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消防设施检测、</w:t>
            </w:r>
          </w:p>
          <w:p w14:paraId="6E31D5C6">
            <w:pPr>
              <w:keepNext w:val="0"/>
              <w:keepLines w:val="0"/>
              <w:widowControl/>
              <w:suppressLineNumbers w:val="0"/>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消防安全评估</w:t>
            </w:r>
          </w:p>
        </w:tc>
        <w:tc>
          <w:tcPr>
            <w:tcW w:w="1684" w:type="dxa"/>
            <w:tcBorders>
              <w:top w:val="single" w:color="auto" w:sz="4" w:space="0"/>
              <w:left w:val="single" w:color="auto" w:sz="4" w:space="0"/>
              <w:bottom w:val="single" w:color="auto" w:sz="4" w:space="0"/>
              <w:right w:val="single" w:color="auto" w:sz="4" w:space="0"/>
            </w:tcBorders>
            <w:noWrap/>
            <w:vAlign w:val="center"/>
          </w:tcPr>
          <w:p w14:paraId="5293C991">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36059.52</w:t>
            </w:r>
          </w:p>
        </w:tc>
      </w:tr>
    </w:tbl>
    <w:p w14:paraId="144BB5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color w:val="auto"/>
          <w:sz w:val="24"/>
          <w:highlight w:val="none"/>
          <w:u w:val="none"/>
          <w:lang w:val="en-US" w:eastAsia="zh-CN"/>
        </w:rPr>
      </w:pPr>
    </w:p>
    <w:p w14:paraId="4DA13A6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b/>
          <w:bCs/>
          <w:color w:val="auto"/>
          <w:sz w:val="24"/>
          <w:highlight w:val="none"/>
        </w:rPr>
      </w:pPr>
      <w:r>
        <w:rPr>
          <w:rFonts w:hint="eastAsia"/>
          <w:b/>
          <w:bCs/>
          <w:color w:val="auto"/>
          <w:sz w:val="24"/>
          <w:highlight w:val="none"/>
          <w:lang w:val="en-US" w:eastAsia="zh-CN"/>
        </w:rPr>
        <w:t>二、</w:t>
      </w:r>
      <w:r>
        <w:rPr>
          <w:rFonts w:hint="eastAsia"/>
          <w:b/>
          <w:bCs/>
          <w:color w:val="auto"/>
          <w:sz w:val="24"/>
          <w:highlight w:val="none"/>
        </w:rPr>
        <w:t>检测</w:t>
      </w:r>
      <w:r>
        <w:rPr>
          <w:rFonts w:hint="eastAsia"/>
          <w:b/>
          <w:bCs/>
          <w:color w:val="auto"/>
          <w:sz w:val="24"/>
          <w:highlight w:val="none"/>
          <w:lang w:val="en-US" w:eastAsia="zh-CN"/>
        </w:rPr>
        <w:t>评估</w:t>
      </w:r>
      <w:r>
        <w:rPr>
          <w:rFonts w:hint="eastAsia"/>
          <w:b/>
          <w:bCs/>
          <w:color w:val="auto"/>
          <w:sz w:val="24"/>
          <w:highlight w:val="none"/>
        </w:rPr>
        <w:t>的项目及内容</w:t>
      </w:r>
    </w:p>
    <w:p w14:paraId="49778B2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highlight w:val="none"/>
        </w:rPr>
      </w:pPr>
      <w:r>
        <w:rPr>
          <w:rFonts w:hint="eastAsia"/>
          <w:color w:val="auto"/>
          <w:sz w:val="24"/>
          <w:highlight w:val="none"/>
        </w:rPr>
        <w:t>乙方接受甲方委托，对下述项目及内容进行检测</w:t>
      </w:r>
      <w:r>
        <w:rPr>
          <w:rFonts w:hint="eastAsia"/>
          <w:color w:val="auto"/>
          <w:sz w:val="24"/>
          <w:highlight w:val="none"/>
          <w:lang w:val="en-US" w:eastAsia="zh-CN"/>
        </w:rPr>
        <w:t>评估</w:t>
      </w:r>
      <w:r>
        <w:rPr>
          <w:rFonts w:hint="eastAsia"/>
          <w:color w:val="auto"/>
          <w:sz w:val="24"/>
          <w:highlight w:val="none"/>
        </w:rPr>
        <w:t>，出具反映所检项目当前状况的检测</w:t>
      </w:r>
      <w:r>
        <w:rPr>
          <w:rFonts w:hint="eastAsia"/>
          <w:color w:val="auto"/>
          <w:sz w:val="24"/>
          <w:highlight w:val="none"/>
          <w:lang w:val="en-US" w:eastAsia="zh-CN"/>
        </w:rPr>
        <w:t>评估</w:t>
      </w:r>
      <w:r>
        <w:rPr>
          <w:rFonts w:hint="eastAsia"/>
          <w:color w:val="auto"/>
          <w:sz w:val="24"/>
          <w:highlight w:val="none"/>
        </w:rPr>
        <w:t>报告：</w:t>
      </w:r>
    </w:p>
    <w:p w14:paraId="50F53BF0">
      <w:pPr>
        <w:pStyle w:val="2"/>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Times New Roman"/>
          <w:b w:val="0"/>
          <w:color w:val="auto"/>
          <w:kern w:val="2"/>
          <w:sz w:val="24"/>
          <w:szCs w:val="22"/>
          <w:highlight w:val="none"/>
          <w:lang w:val="en-US" w:eastAsia="zh-CN" w:bidi="ar-SA"/>
        </w:rPr>
      </w:pPr>
      <w:r>
        <w:rPr>
          <w:rFonts w:hint="eastAsia" w:ascii="Calibri" w:hAnsi="Calibri" w:eastAsia="宋体" w:cs="Times New Roman"/>
          <w:b w:val="0"/>
          <w:bCs w:val="0"/>
          <w:color w:val="auto"/>
          <w:kern w:val="2"/>
          <w:sz w:val="24"/>
          <w:szCs w:val="22"/>
          <w:highlight w:val="none"/>
          <w:lang w:val="en-US" w:eastAsia="zh-CN" w:bidi="ar-SA"/>
        </w:rPr>
        <w:t>消防</w:t>
      </w:r>
      <w:r>
        <w:rPr>
          <w:rFonts w:hint="eastAsia" w:cs="Times New Roman"/>
          <w:b w:val="0"/>
          <w:bCs w:val="0"/>
          <w:color w:val="auto"/>
          <w:kern w:val="2"/>
          <w:sz w:val="24"/>
          <w:szCs w:val="22"/>
          <w:highlight w:val="none"/>
          <w:lang w:val="en-US" w:eastAsia="zh-CN" w:bidi="ar-SA"/>
        </w:rPr>
        <w:t>设施</w:t>
      </w:r>
      <w:r>
        <w:rPr>
          <w:rFonts w:hint="eastAsia" w:ascii="Calibri" w:hAnsi="Calibri" w:eastAsia="宋体" w:cs="Times New Roman"/>
          <w:b w:val="0"/>
          <w:bCs w:val="0"/>
          <w:color w:val="auto"/>
          <w:kern w:val="2"/>
          <w:sz w:val="24"/>
          <w:szCs w:val="22"/>
          <w:highlight w:val="none"/>
          <w:lang w:val="en-US" w:eastAsia="zh-CN" w:bidi="ar-SA"/>
        </w:rPr>
        <w:t>检测</w:t>
      </w:r>
      <w:r>
        <w:rPr>
          <w:rFonts w:hint="eastAsia" w:ascii="Calibri" w:hAnsi="Calibri" w:eastAsia="宋体" w:cs="Times New Roman"/>
          <w:b/>
          <w:bCs/>
          <w:color w:val="auto"/>
          <w:kern w:val="2"/>
          <w:sz w:val="24"/>
          <w:szCs w:val="22"/>
          <w:highlight w:val="none"/>
          <w:lang w:val="en-US" w:eastAsia="zh-CN" w:bidi="ar-SA"/>
        </w:rPr>
        <w:t>：</w:t>
      </w:r>
      <w:r>
        <w:rPr>
          <w:rFonts w:hint="eastAsia" w:ascii="Calibri" w:hAnsi="Calibri" w:eastAsia="宋体" w:cs="Times New Roman"/>
          <w:b w:val="0"/>
          <w:color w:val="auto"/>
          <w:kern w:val="2"/>
          <w:sz w:val="24"/>
          <w:szCs w:val="22"/>
          <w:highlight w:val="none"/>
          <w:lang w:val="en-US" w:eastAsia="zh-CN" w:bidi="ar-SA"/>
        </w:rPr>
        <w:sym w:font="Wingdings" w:char="00A8"/>
      </w:r>
      <w:r>
        <w:rPr>
          <w:rFonts w:hint="eastAsia" w:ascii="Calibri" w:hAnsi="Calibri" w:eastAsia="宋体" w:cs="Times New Roman"/>
          <w:b w:val="0"/>
          <w:color w:val="auto"/>
          <w:kern w:val="2"/>
          <w:sz w:val="24"/>
          <w:szCs w:val="22"/>
          <w:highlight w:val="none"/>
          <w:lang w:val="en-US" w:eastAsia="zh-CN" w:bidi="ar-SA"/>
        </w:rPr>
        <w:t>火灾自动报警及联动控制系统、</w:t>
      </w:r>
      <w:r>
        <w:rPr>
          <w:rFonts w:hint="eastAsia" w:ascii="Calibri" w:hAnsi="Calibri" w:eastAsia="宋体" w:cs="Times New Roman"/>
          <w:b w:val="0"/>
          <w:color w:val="auto"/>
          <w:kern w:val="2"/>
          <w:sz w:val="24"/>
          <w:szCs w:val="22"/>
          <w:highlight w:val="none"/>
          <w:lang w:val="en-US" w:eastAsia="zh-CN" w:bidi="ar-SA"/>
        </w:rPr>
        <w:sym w:font="Wingdings" w:char="00A8"/>
      </w:r>
      <w:r>
        <w:rPr>
          <w:rFonts w:hint="eastAsia" w:ascii="Calibri" w:hAnsi="Calibri" w:eastAsia="宋体" w:cs="Times New Roman"/>
          <w:b w:val="0"/>
          <w:color w:val="auto"/>
          <w:kern w:val="2"/>
          <w:sz w:val="24"/>
          <w:szCs w:val="22"/>
          <w:highlight w:val="none"/>
          <w:lang w:val="en-US" w:eastAsia="zh-CN" w:bidi="ar-SA"/>
        </w:rPr>
        <w:t>消防给水系统、</w:t>
      </w:r>
      <w:r>
        <w:rPr>
          <w:rFonts w:hint="eastAsia" w:ascii="Calibri" w:hAnsi="Calibri" w:eastAsia="宋体" w:cs="Times New Roman"/>
          <w:b w:val="0"/>
          <w:color w:val="auto"/>
          <w:kern w:val="2"/>
          <w:sz w:val="24"/>
          <w:szCs w:val="22"/>
          <w:highlight w:val="none"/>
          <w:lang w:val="en-US" w:eastAsia="zh-CN" w:bidi="ar-SA"/>
        </w:rPr>
        <w:sym w:font="Wingdings" w:char="00A8"/>
      </w:r>
      <w:r>
        <w:rPr>
          <w:rFonts w:hint="eastAsia" w:ascii="Calibri" w:hAnsi="Calibri" w:eastAsia="宋体" w:cs="Times New Roman"/>
          <w:b w:val="0"/>
          <w:color w:val="auto"/>
          <w:kern w:val="2"/>
          <w:sz w:val="24"/>
          <w:szCs w:val="22"/>
          <w:highlight w:val="none"/>
          <w:lang w:val="en-US" w:eastAsia="zh-CN" w:bidi="ar-SA"/>
        </w:rPr>
        <w:t>消火栓系统、</w:t>
      </w:r>
      <w:r>
        <w:rPr>
          <w:rFonts w:hint="eastAsia" w:ascii="Calibri" w:hAnsi="Calibri" w:eastAsia="宋体" w:cs="Times New Roman"/>
          <w:b w:val="0"/>
          <w:color w:val="auto"/>
          <w:kern w:val="2"/>
          <w:sz w:val="24"/>
          <w:szCs w:val="22"/>
          <w:highlight w:val="none"/>
          <w:lang w:val="en-US" w:eastAsia="zh-CN" w:bidi="ar-SA"/>
        </w:rPr>
        <w:sym w:font="Wingdings" w:char="00A8"/>
      </w:r>
      <w:r>
        <w:rPr>
          <w:rFonts w:hint="eastAsia" w:ascii="Calibri" w:hAnsi="Calibri" w:eastAsia="宋体" w:cs="Times New Roman"/>
          <w:b w:val="0"/>
          <w:color w:val="auto"/>
          <w:kern w:val="2"/>
          <w:sz w:val="24"/>
          <w:szCs w:val="22"/>
          <w:highlight w:val="none"/>
          <w:lang w:val="en-US" w:eastAsia="zh-CN" w:bidi="ar-SA"/>
        </w:rPr>
        <w:t>自动喷水灭火系统、</w:t>
      </w:r>
      <w:r>
        <w:rPr>
          <w:rFonts w:hint="eastAsia" w:ascii="Calibri" w:hAnsi="Calibri" w:eastAsia="宋体" w:cs="Times New Roman"/>
          <w:b w:val="0"/>
          <w:color w:val="auto"/>
          <w:kern w:val="2"/>
          <w:sz w:val="24"/>
          <w:szCs w:val="22"/>
          <w:highlight w:val="none"/>
          <w:lang w:val="en-US" w:eastAsia="zh-CN" w:bidi="ar-SA"/>
        </w:rPr>
        <w:sym w:font="Wingdings" w:char="00A8"/>
      </w:r>
      <w:r>
        <w:rPr>
          <w:rFonts w:hint="eastAsia" w:ascii="Calibri" w:hAnsi="Calibri" w:eastAsia="宋体" w:cs="Times New Roman"/>
          <w:b w:val="0"/>
          <w:color w:val="auto"/>
          <w:kern w:val="2"/>
          <w:sz w:val="24"/>
          <w:szCs w:val="22"/>
          <w:highlight w:val="none"/>
          <w:lang w:val="en-US" w:eastAsia="zh-CN" w:bidi="ar-SA"/>
        </w:rPr>
        <w:t>防排烟及消防隔离系统、</w:t>
      </w:r>
      <w:r>
        <w:rPr>
          <w:rFonts w:hint="eastAsia" w:ascii="Calibri" w:hAnsi="Calibri" w:eastAsia="宋体" w:cs="Times New Roman"/>
          <w:b w:val="0"/>
          <w:color w:val="auto"/>
          <w:kern w:val="2"/>
          <w:sz w:val="24"/>
          <w:szCs w:val="22"/>
          <w:highlight w:val="none"/>
          <w:lang w:val="en-US" w:eastAsia="zh-CN" w:bidi="ar-SA"/>
        </w:rPr>
        <w:sym w:font="Wingdings" w:char="00A8"/>
      </w:r>
      <w:r>
        <w:rPr>
          <w:rFonts w:hint="eastAsia" w:ascii="Calibri" w:hAnsi="Calibri" w:eastAsia="宋体" w:cs="Times New Roman"/>
          <w:b w:val="0"/>
          <w:color w:val="auto"/>
          <w:kern w:val="2"/>
          <w:sz w:val="24"/>
          <w:szCs w:val="22"/>
          <w:highlight w:val="none"/>
          <w:lang w:val="en-US" w:eastAsia="zh-CN" w:bidi="ar-SA"/>
        </w:rPr>
        <w:t>应急照明及疏散指示系统、</w:t>
      </w:r>
      <w:r>
        <w:rPr>
          <w:rFonts w:hint="eastAsia" w:ascii="Calibri" w:hAnsi="Calibri" w:eastAsia="宋体" w:cs="Times New Roman"/>
          <w:b w:val="0"/>
          <w:color w:val="auto"/>
          <w:kern w:val="2"/>
          <w:sz w:val="24"/>
          <w:szCs w:val="22"/>
          <w:highlight w:val="none"/>
          <w:lang w:val="en-US" w:eastAsia="zh-CN" w:bidi="ar-SA"/>
        </w:rPr>
        <w:sym w:font="Wingdings" w:char="00A8"/>
      </w:r>
      <w:r>
        <w:rPr>
          <w:rFonts w:hint="eastAsia" w:ascii="Calibri" w:hAnsi="Calibri" w:eastAsia="宋体" w:cs="Times New Roman"/>
          <w:b w:val="0"/>
          <w:color w:val="auto"/>
          <w:kern w:val="2"/>
          <w:sz w:val="24"/>
          <w:szCs w:val="22"/>
          <w:highlight w:val="none"/>
          <w:lang w:val="en-US" w:eastAsia="zh-CN" w:bidi="ar-SA"/>
        </w:rPr>
        <w:t>防火门系统、</w:t>
      </w:r>
      <w:r>
        <w:rPr>
          <w:rFonts w:hint="eastAsia" w:ascii="Calibri" w:hAnsi="Calibri" w:eastAsia="宋体" w:cs="Times New Roman"/>
          <w:b w:val="0"/>
          <w:color w:val="auto"/>
          <w:kern w:val="2"/>
          <w:sz w:val="24"/>
          <w:szCs w:val="22"/>
          <w:highlight w:val="none"/>
          <w:lang w:val="en-US" w:eastAsia="zh-CN" w:bidi="ar-SA"/>
        </w:rPr>
        <w:sym w:font="Wingdings" w:char="00A8"/>
      </w:r>
      <w:r>
        <w:rPr>
          <w:rFonts w:hint="eastAsia" w:ascii="Calibri" w:hAnsi="Calibri" w:eastAsia="宋体" w:cs="Times New Roman"/>
          <w:b w:val="0"/>
          <w:color w:val="auto"/>
          <w:kern w:val="2"/>
          <w:sz w:val="24"/>
          <w:szCs w:val="22"/>
          <w:highlight w:val="none"/>
          <w:lang w:val="en-US" w:eastAsia="zh-CN" w:bidi="ar-SA"/>
        </w:rPr>
        <w:t>气体灭火系统、</w:t>
      </w:r>
      <w:r>
        <w:rPr>
          <w:rFonts w:hint="eastAsia" w:ascii="Calibri" w:hAnsi="Calibri" w:eastAsia="宋体" w:cs="Times New Roman"/>
          <w:b w:val="0"/>
          <w:color w:val="auto"/>
          <w:kern w:val="2"/>
          <w:sz w:val="24"/>
          <w:szCs w:val="22"/>
          <w:highlight w:val="none"/>
          <w:lang w:val="en-US" w:eastAsia="zh-CN" w:bidi="ar-SA"/>
        </w:rPr>
        <w:sym w:font="Wingdings" w:char="00A8"/>
      </w:r>
      <w:r>
        <w:rPr>
          <w:rFonts w:hint="eastAsia" w:ascii="Calibri" w:hAnsi="Calibri" w:eastAsia="宋体" w:cs="Times New Roman"/>
          <w:b w:val="0"/>
          <w:color w:val="auto"/>
          <w:kern w:val="2"/>
          <w:sz w:val="24"/>
          <w:szCs w:val="22"/>
          <w:highlight w:val="none"/>
          <w:lang w:val="en-US" w:eastAsia="zh-CN" w:bidi="ar-SA"/>
        </w:rPr>
        <w:t>其他消防设</w:t>
      </w:r>
      <w:r>
        <w:rPr>
          <w:rFonts w:hint="eastAsia" w:ascii="Calibri" w:hAnsi="Calibri" w:eastAsia="宋体" w:cs="Times New Roman"/>
          <w:b w:val="0"/>
          <w:color w:val="auto"/>
          <w:kern w:val="2"/>
          <w:sz w:val="24"/>
          <w:szCs w:val="22"/>
          <w:highlight w:val="none"/>
          <w:u w:val="none"/>
          <w:lang w:val="en-US" w:eastAsia="zh-CN" w:bidi="ar-SA"/>
        </w:rPr>
        <w:t>施</w:t>
      </w:r>
      <w:r>
        <w:rPr>
          <w:rFonts w:hint="eastAsia" w:ascii="Calibri" w:hAnsi="Calibri" w:eastAsia="宋体" w:cs="Times New Roman"/>
          <w:b w:val="0"/>
          <w:color w:val="auto"/>
          <w:kern w:val="2"/>
          <w:sz w:val="24"/>
          <w:szCs w:val="22"/>
          <w:highlight w:val="none"/>
          <w:u w:val="single"/>
          <w:lang w:val="en-US" w:eastAsia="zh-CN" w:bidi="ar-SA"/>
        </w:rPr>
        <w:t>灭火器</w:t>
      </w:r>
      <w:r>
        <w:rPr>
          <w:rFonts w:hint="eastAsia" w:ascii="Calibri" w:hAnsi="Calibri" w:eastAsia="宋体" w:cs="Times New Roman"/>
          <w:b w:val="0"/>
          <w:color w:val="auto"/>
          <w:kern w:val="2"/>
          <w:sz w:val="24"/>
          <w:szCs w:val="22"/>
          <w:highlight w:val="none"/>
          <w:lang w:val="en-US" w:eastAsia="zh-CN" w:bidi="ar-SA"/>
        </w:rPr>
        <w:t>等。</w:t>
      </w:r>
    </w:p>
    <w:p w14:paraId="2122AF6C">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color w:val="auto"/>
          <w:highlight w:val="none"/>
          <w:lang w:val="en-US" w:eastAsia="zh-CN"/>
        </w:rPr>
      </w:pPr>
      <w:r>
        <w:rPr>
          <w:rFonts w:hint="eastAsia" w:ascii="Calibri" w:hAnsi="Calibri" w:eastAsia="宋体" w:cs="Times New Roman"/>
          <w:b w:val="0"/>
          <w:bCs w:val="0"/>
          <w:color w:val="auto"/>
          <w:kern w:val="2"/>
          <w:sz w:val="24"/>
          <w:szCs w:val="22"/>
          <w:highlight w:val="none"/>
          <w:lang w:val="en-US" w:eastAsia="zh-CN" w:bidi="ar-SA"/>
        </w:rPr>
        <w:t>2、</w:t>
      </w:r>
      <w:r>
        <w:rPr>
          <w:rFonts w:hint="eastAsia" w:cs="Times New Roman"/>
          <w:b w:val="0"/>
          <w:bCs w:val="0"/>
          <w:color w:val="auto"/>
          <w:kern w:val="2"/>
          <w:sz w:val="24"/>
          <w:szCs w:val="22"/>
          <w:highlight w:val="none"/>
          <w:lang w:val="en-US" w:eastAsia="zh-CN" w:bidi="ar-SA"/>
        </w:rPr>
        <w:t>消防安全评估</w:t>
      </w:r>
      <w:r>
        <w:rPr>
          <w:rFonts w:hint="eastAsia" w:cs="Times New Roman"/>
          <w:b/>
          <w:bCs/>
          <w:color w:val="auto"/>
          <w:kern w:val="2"/>
          <w:sz w:val="24"/>
          <w:szCs w:val="22"/>
          <w:highlight w:val="none"/>
          <w:lang w:val="en-US" w:eastAsia="zh-CN" w:bidi="ar-SA"/>
        </w:rPr>
        <w:t>：</w:t>
      </w:r>
      <w:r>
        <w:rPr>
          <w:rFonts w:hint="eastAsia" w:ascii="Calibri" w:hAnsi="Calibri" w:eastAsia="宋体" w:cs="Times New Roman"/>
          <w:b w:val="0"/>
          <w:color w:val="auto"/>
          <w:kern w:val="2"/>
          <w:sz w:val="24"/>
          <w:szCs w:val="22"/>
          <w:highlight w:val="none"/>
          <w:lang w:val="en-US" w:eastAsia="zh-CN" w:bidi="ar-SA"/>
        </w:rPr>
        <w:t>根据现场实际情况对建筑物消防安全进行评估。</w:t>
      </w:r>
    </w:p>
    <w:p w14:paraId="053659E5">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color w:val="auto"/>
          <w:sz w:val="24"/>
          <w:highlight w:val="none"/>
        </w:rPr>
      </w:pPr>
      <w:r>
        <w:rPr>
          <w:rFonts w:hint="eastAsia"/>
          <w:b/>
          <w:bCs/>
          <w:color w:val="auto"/>
          <w:sz w:val="24"/>
          <w:highlight w:val="none"/>
          <w:lang w:val="en-US" w:eastAsia="zh-CN"/>
        </w:rPr>
        <w:t>三、</w:t>
      </w:r>
      <w:r>
        <w:rPr>
          <w:rFonts w:hint="eastAsia"/>
          <w:b/>
          <w:bCs/>
          <w:color w:val="auto"/>
          <w:sz w:val="24"/>
          <w:highlight w:val="none"/>
        </w:rPr>
        <w:t>甲方的权利和义务：</w:t>
      </w:r>
    </w:p>
    <w:p w14:paraId="0ABAD0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auto"/>
          <w:sz w:val="24"/>
          <w:highlight w:val="none"/>
        </w:rPr>
      </w:pPr>
      <w:r>
        <w:rPr>
          <w:rFonts w:hint="eastAsia"/>
          <w:color w:val="auto"/>
          <w:sz w:val="24"/>
          <w:highlight w:val="none"/>
          <w:lang w:val="en-US" w:eastAsia="zh-CN"/>
        </w:rPr>
        <w:t>1、</w:t>
      </w:r>
      <w:r>
        <w:rPr>
          <w:rFonts w:hint="eastAsia"/>
          <w:color w:val="auto"/>
          <w:sz w:val="24"/>
          <w:highlight w:val="none"/>
        </w:rPr>
        <w:t>确保所委托项目的建筑设施调试完毕，运行正常。</w:t>
      </w:r>
    </w:p>
    <w:p w14:paraId="2E763F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highlight w:val="none"/>
        </w:rPr>
      </w:pPr>
      <w:r>
        <w:rPr>
          <w:rFonts w:hint="eastAsia"/>
          <w:color w:val="auto"/>
          <w:sz w:val="24"/>
          <w:highlight w:val="none"/>
          <w:lang w:val="en-US" w:eastAsia="zh-CN"/>
        </w:rPr>
        <w:t>2、</w:t>
      </w:r>
      <w:r>
        <w:rPr>
          <w:rFonts w:hint="eastAsia"/>
          <w:color w:val="auto"/>
          <w:sz w:val="24"/>
          <w:highlight w:val="none"/>
        </w:rPr>
        <w:t>监督乙方检测人员按照国家有关消防法规，技术规范及标准实施正常的检查测试。</w:t>
      </w:r>
    </w:p>
    <w:p w14:paraId="7A7CD3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auto"/>
          <w:sz w:val="24"/>
          <w:highlight w:val="none"/>
        </w:rPr>
      </w:pPr>
      <w:r>
        <w:rPr>
          <w:color w:val="auto"/>
          <w:sz w:val="24"/>
          <w:highlight w:val="none"/>
        </w:rPr>
        <w:t>3</w:t>
      </w:r>
      <w:r>
        <w:rPr>
          <w:rFonts w:hint="eastAsia"/>
          <w:color w:val="auto"/>
          <w:sz w:val="24"/>
          <w:highlight w:val="none"/>
          <w:lang w:eastAsia="zh-CN"/>
        </w:rPr>
        <w:t>、</w:t>
      </w:r>
      <w:r>
        <w:rPr>
          <w:rFonts w:hint="eastAsia"/>
          <w:color w:val="auto"/>
          <w:sz w:val="24"/>
          <w:highlight w:val="none"/>
        </w:rPr>
        <w:t>向乙方提供必要的竣工图纸及技术资料。</w:t>
      </w:r>
    </w:p>
    <w:p w14:paraId="41B5C8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auto"/>
          <w:sz w:val="24"/>
          <w:highlight w:val="none"/>
        </w:rPr>
      </w:pPr>
      <w:r>
        <w:rPr>
          <w:rFonts w:hint="eastAsia"/>
          <w:color w:val="auto"/>
          <w:sz w:val="24"/>
          <w:highlight w:val="none"/>
          <w:lang w:val="en-US" w:eastAsia="zh-CN"/>
        </w:rPr>
        <w:t>4、</w:t>
      </w:r>
      <w:r>
        <w:rPr>
          <w:rFonts w:hint="eastAsia"/>
          <w:color w:val="auto"/>
          <w:sz w:val="24"/>
          <w:highlight w:val="none"/>
        </w:rPr>
        <w:t>检测期间，负责提供场地、电源、水源及一些必要的工具，确保现场具备检测条件。</w:t>
      </w:r>
    </w:p>
    <w:p w14:paraId="1B6E7A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highlight w:val="none"/>
        </w:rPr>
      </w:pPr>
      <w:r>
        <w:rPr>
          <w:rFonts w:hint="eastAsia"/>
          <w:color w:val="auto"/>
          <w:sz w:val="24"/>
          <w:highlight w:val="none"/>
          <w:lang w:val="en-US" w:eastAsia="zh-CN"/>
        </w:rPr>
        <w:t>5、</w:t>
      </w:r>
      <w:r>
        <w:rPr>
          <w:rFonts w:hint="eastAsia"/>
          <w:color w:val="auto"/>
          <w:sz w:val="24"/>
          <w:highlight w:val="none"/>
        </w:rPr>
        <w:t>甲方协助乙方做好安全防范措施，协助乙方办理有关安全方面的手续（如出入证等），检测现场或设备有防尘、防静电等特殊要求时，甲方应明确告知乙方。</w:t>
      </w:r>
    </w:p>
    <w:p w14:paraId="62A41C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highlight w:val="none"/>
        </w:rPr>
      </w:pPr>
      <w:r>
        <w:rPr>
          <w:rFonts w:hint="eastAsia"/>
          <w:color w:val="auto"/>
          <w:sz w:val="24"/>
          <w:highlight w:val="none"/>
          <w:lang w:val="en-US" w:eastAsia="zh-CN"/>
        </w:rPr>
        <w:t>6、</w:t>
      </w:r>
      <w:r>
        <w:rPr>
          <w:rFonts w:hint="eastAsia"/>
          <w:color w:val="auto"/>
          <w:sz w:val="24"/>
          <w:highlight w:val="none"/>
        </w:rPr>
        <w:t>组织施工单位的安装、调试人员及工程技术、厂家人员配合检测工作。</w:t>
      </w:r>
    </w:p>
    <w:p w14:paraId="140A94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highlight w:val="none"/>
        </w:rPr>
      </w:pPr>
      <w:r>
        <w:rPr>
          <w:rFonts w:hint="eastAsia"/>
          <w:color w:val="auto"/>
          <w:sz w:val="24"/>
          <w:highlight w:val="none"/>
          <w:lang w:val="en-US" w:eastAsia="zh-CN"/>
        </w:rPr>
        <w:t>7、</w:t>
      </w:r>
      <w:r>
        <w:rPr>
          <w:rFonts w:hint="eastAsia"/>
          <w:color w:val="auto"/>
          <w:sz w:val="24"/>
          <w:highlight w:val="none"/>
        </w:rPr>
        <w:t>当乙方违反检测操作规程或规定时，甲方有权停止乙方的检测活动。</w:t>
      </w:r>
    </w:p>
    <w:p w14:paraId="646E2A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highlight w:val="none"/>
        </w:rPr>
      </w:pPr>
      <w:r>
        <w:rPr>
          <w:rFonts w:hint="eastAsia"/>
          <w:color w:val="auto"/>
          <w:sz w:val="24"/>
          <w:highlight w:val="none"/>
          <w:lang w:val="en-US" w:eastAsia="zh-CN"/>
        </w:rPr>
        <w:t>8、甲方</w:t>
      </w:r>
      <w:r>
        <w:rPr>
          <w:rFonts w:hint="eastAsia"/>
          <w:color w:val="auto"/>
          <w:sz w:val="24"/>
          <w:highlight w:val="none"/>
        </w:rPr>
        <w:t>在收到乙方“检测问题反馈单”后，于</w:t>
      </w:r>
      <w:r>
        <w:rPr>
          <w:rFonts w:hint="eastAsia"/>
          <w:color w:val="auto"/>
          <w:sz w:val="24"/>
          <w:highlight w:val="none"/>
          <w:u w:val="single"/>
          <w:lang w:val="en-US" w:eastAsia="zh-CN"/>
        </w:rPr>
        <w:t xml:space="preserve"> 3 </w:t>
      </w:r>
      <w:r>
        <w:rPr>
          <w:rFonts w:hint="eastAsia"/>
          <w:color w:val="auto"/>
          <w:sz w:val="24"/>
          <w:highlight w:val="none"/>
        </w:rPr>
        <w:t>个工作日内将整改结果和要求复检时间以书面形式通知乙方进行复检。因甲方原因造成乙方检测超过两次的，应向乙方支付复检费用，每次复检费用标准按</w:t>
      </w:r>
      <w:r>
        <w:rPr>
          <w:rFonts w:hint="eastAsia"/>
          <w:color w:val="auto"/>
          <w:sz w:val="24"/>
          <w:highlight w:val="none"/>
          <w:lang w:eastAsia="zh-CN"/>
        </w:rPr>
        <w:t>协议</w:t>
      </w:r>
      <w:r>
        <w:rPr>
          <w:rFonts w:hint="eastAsia"/>
          <w:color w:val="auto"/>
          <w:sz w:val="24"/>
          <w:highlight w:val="none"/>
        </w:rPr>
        <w:t>约定检测费用的【30%】计算。</w:t>
      </w:r>
    </w:p>
    <w:p w14:paraId="10AC20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highlight w:val="none"/>
        </w:rPr>
      </w:pPr>
      <w:r>
        <w:rPr>
          <w:rFonts w:hint="eastAsia"/>
          <w:color w:val="auto"/>
          <w:sz w:val="24"/>
          <w:highlight w:val="none"/>
          <w:lang w:val="en-US" w:eastAsia="zh-CN"/>
        </w:rPr>
        <w:t>9、</w:t>
      </w:r>
      <w:r>
        <w:rPr>
          <w:rFonts w:hint="eastAsia"/>
          <w:color w:val="auto"/>
          <w:sz w:val="24"/>
          <w:highlight w:val="none"/>
        </w:rPr>
        <w:t>乙方在甲方的配合下，完成</w:t>
      </w:r>
      <w:r>
        <w:rPr>
          <w:rFonts w:hint="eastAsia"/>
          <w:color w:val="auto"/>
          <w:sz w:val="24"/>
          <w:highlight w:val="none"/>
          <w:lang w:eastAsia="zh-CN"/>
        </w:rPr>
        <w:t>协议</w:t>
      </w:r>
      <w:r>
        <w:rPr>
          <w:rFonts w:hint="eastAsia"/>
          <w:color w:val="auto"/>
          <w:sz w:val="24"/>
          <w:highlight w:val="none"/>
        </w:rPr>
        <w:t>约定的检测</w:t>
      </w:r>
      <w:r>
        <w:rPr>
          <w:rFonts w:hint="eastAsia"/>
          <w:color w:val="auto"/>
          <w:sz w:val="24"/>
          <w:highlight w:val="none"/>
          <w:lang w:val="en-US" w:eastAsia="zh-CN"/>
        </w:rPr>
        <w:t>评估</w:t>
      </w:r>
      <w:r>
        <w:rPr>
          <w:rFonts w:hint="eastAsia"/>
          <w:color w:val="auto"/>
          <w:sz w:val="24"/>
          <w:highlight w:val="none"/>
        </w:rPr>
        <w:t>任务后，甲方人员在原始记录上签字。</w:t>
      </w:r>
    </w:p>
    <w:p w14:paraId="549BCB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olor w:val="auto"/>
          <w:sz w:val="24"/>
          <w:highlight w:val="none"/>
          <w:lang w:eastAsia="zh-CN"/>
        </w:rPr>
      </w:pPr>
      <w:r>
        <w:rPr>
          <w:rFonts w:hint="eastAsia"/>
          <w:color w:val="auto"/>
          <w:sz w:val="24"/>
          <w:highlight w:val="none"/>
          <w:lang w:val="en-US" w:eastAsia="zh-CN"/>
        </w:rPr>
        <w:t>10、</w:t>
      </w:r>
      <w:r>
        <w:rPr>
          <w:rFonts w:hint="eastAsia"/>
          <w:color w:val="auto"/>
          <w:sz w:val="24"/>
          <w:highlight w:val="none"/>
        </w:rPr>
        <w:t>有权获取检测</w:t>
      </w:r>
      <w:r>
        <w:rPr>
          <w:rFonts w:hint="eastAsia"/>
          <w:color w:val="auto"/>
          <w:sz w:val="24"/>
          <w:highlight w:val="none"/>
          <w:lang w:val="en-US" w:eastAsia="zh-CN"/>
        </w:rPr>
        <w:t>评估</w:t>
      </w:r>
      <w:r>
        <w:rPr>
          <w:rFonts w:hint="eastAsia"/>
          <w:color w:val="auto"/>
          <w:sz w:val="24"/>
          <w:highlight w:val="none"/>
        </w:rPr>
        <w:t>后的符合实际情况的消防设施检测</w:t>
      </w:r>
      <w:r>
        <w:rPr>
          <w:rFonts w:hint="eastAsia"/>
          <w:color w:val="auto"/>
          <w:sz w:val="24"/>
          <w:highlight w:val="none"/>
          <w:lang w:val="en-US" w:eastAsia="zh-CN"/>
        </w:rPr>
        <w:t>评估</w:t>
      </w:r>
      <w:r>
        <w:rPr>
          <w:rFonts w:hint="eastAsia"/>
          <w:color w:val="auto"/>
          <w:sz w:val="24"/>
          <w:highlight w:val="none"/>
        </w:rPr>
        <w:t>报告，在收到乙方出具的报告无异议后，应在回执上签字确认。</w:t>
      </w:r>
    </w:p>
    <w:p w14:paraId="5B5CCFD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color w:val="auto"/>
          <w:sz w:val="24"/>
          <w:highlight w:val="none"/>
        </w:rPr>
      </w:pPr>
      <w:r>
        <w:rPr>
          <w:rFonts w:hint="eastAsia"/>
          <w:b/>
          <w:bCs/>
          <w:color w:val="auto"/>
          <w:sz w:val="24"/>
          <w:highlight w:val="none"/>
          <w:lang w:val="en-US" w:eastAsia="zh-CN"/>
        </w:rPr>
        <w:t>四、</w:t>
      </w:r>
      <w:r>
        <w:rPr>
          <w:rFonts w:hint="eastAsia"/>
          <w:b/>
          <w:bCs/>
          <w:color w:val="auto"/>
          <w:sz w:val="24"/>
          <w:highlight w:val="none"/>
        </w:rPr>
        <w:t>乙方的权利和义务：</w:t>
      </w:r>
    </w:p>
    <w:p w14:paraId="5FEB50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highlight w:val="none"/>
        </w:rPr>
      </w:pPr>
      <w:r>
        <w:rPr>
          <w:rFonts w:hint="eastAsia"/>
          <w:color w:val="auto"/>
          <w:sz w:val="24"/>
          <w:highlight w:val="none"/>
          <w:lang w:val="en-US" w:eastAsia="zh-CN"/>
        </w:rPr>
        <w:t>1、</w:t>
      </w:r>
      <w:r>
        <w:rPr>
          <w:rFonts w:hint="eastAsia"/>
          <w:color w:val="auto"/>
          <w:sz w:val="24"/>
          <w:highlight w:val="none"/>
        </w:rPr>
        <w:t>遵守安全操作规程的规定，遵守甲方有关安全要求。</w:t>
      </w:r>
    </w:p>
    <w:p w14:paraId="336182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highlight w:val="none"/>
        </w:rPr>
      </w:pPr>
      <w:r>
        <w:rPr>
          <w:rFonts w:hint="eastAsia"/>
          <w:color w:val="auto"/>
          <w:sz w:val="24"/>
          <w:highlight w:val="none"/>
          <w:lang w:val="en-US" w:eastAsia="zh-CN"/>
        </w:rPr>
        <w:t>2、</w:t>
      </w:r>
      <w:r>
        <w:rPr>
          <w:rFonts w:hint="eastAsia"/>
          <w:color w:val="auto"/>
          <w:sz w:val="24"/>
          <w:highlight w:val="none"/>
        </w:rPr>
        <w:t>依据现行有效标准、规程等对甲方委托的检测项目实施检测，保证检测数据和结论的科学性、公正性、准确性。</w:t>
      </w:r>
    </w:p>
    <w:p w14:paraId="1144FF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highlight w:val="none"/>
        </w:rPr>
      </w:pPr>
      <w:r>
        <w:rPr>
          <w:rFonts w:hint="eastAsia"/>
          <w:color w:val="auto"/>
          <w:sz w:val="24"/>
          <w:highlight w:val="none"/>
          <w:lang w:val="en-US" w:eastAsia="zh-CN"/>
        </w:rPr>
        <w:t>3、</w:t>
      </w:r>
      <w:r>
        <w:rPr>
          <w:rFonts w:hint="eastAsia"/>
          <w:color w:val="auto"/>
          <w:sz w:val="24"/>
          <w:highlight w:val="none"/>
        </w:rPr>
        <w:t>对于甲方提供的图纸和技术资料，乙方有保密义务，除上级消防主管部门外不得向他人泄露。</w:t>
      </w:r>
    </w:p>
    <w:p w14:paraId="74261C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highlight w:val="none"/>
        </w:rPr>
      </w:pPr>
      <w:r>
        <w:rPr>
          <w:rFonts w:hint="eastAsia"/>
          <w:color w:val="auto"/>
          <w:sz w:val="24"/>
          <w:highlight w:val="none"/>
          <w:lang w:val="en-US" w:eastAsia="zh-CN"/>
        </w:rPr>
        <w:t>4、</w:t>
      </w:r>
      <w:r>
        <w:rPr>
          <w:rFonts w:hint="eastAsia"/>
          <w:color w:val="auto"/>
          <w:sz w:val="24"/>
          <w:highlight w:val="none"/>
        </w:rPr>
        <w:t>如乙方正常操作受检的建筑消防设施，出现设备故障等问题造成损失，乙方不承担责任。</w:t>
      </w:r>
    </w:p>
    <w:p w14:paraId="75A5AFF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highlight w:val="none"/>
        </w:rPr>
      </w:pPr>
      <w:r>
        <w:rPr>
          <w:rFonts w:hint="eastAsia"/>
          <w:color w:val="auto"/>
          <w:sz w:val="24"/>
          <w:highlight w:val="none"/>
          <w:lang w:val="en-US" w:eastAsia="zh-CN"/>
        </w:rPr>
        <w:t>5、</w:t>
      </w:r>
      <w:r>
        <w:rPr>
          <w:rFonts w:hint="eastAsia"/>
          <w:color w:val="auto"/>
          <w:sz w:val="24"/>
          <w:highlight w:val="none"/>
        </w:rPr>
        <w:t>在完成现场检测工作后的</w:t>
      </w:r>
      <w:r>
        <w:rPr>
          <w:rFonts w:hint="eastAsia"/>
          <w:color w:val="auto"/>
          <w:sz w:val="24"/>
          <w:highlight w:val="none"/>
          <w:u w:val="single"/>
          <w:lang w:val="en-US" w:eastAsia="zh-CN"/>
        </w:rPr>
        <w:t xml:space="preserve"> 10 </w:t>
      </w:r>
      <w:r>
        <w:rPr>
          <w:rFonts w:hint="eastAsia"/>
          <w:color w:val="auto"/>
          <w:sz w:val="24"/>
          <w:highlight w:val="none"/>
        </w:rPr>
        <w:t>个工作日内，对委托</w:t>
      </w:r>
      <w:r>
        <w:rPr>
          <w:rFonts w:hint="eastAsia"/>
          <w:color w:val="auto"/>
          <w:sz w:val="24"/>
          <w:highlight w:val="none"/>
          <w:lang w:val="en-US" w:eastAsia="zh-CN"/>
        </w:rPr>
        <w:t>项目</w:t>
      </w:r>
      <w:r>
        <w:rPr>
          <w:rFonts w:hint="eastAsia"/>
          <w:color w:val="auto"/>
          <w:sz w:val="24"/>
          <w:highlight w:val="none"/>
        </w:rPr>
        <w:t>出具详细的检测</w:t>
      </w:r>
      <w:r>
        <w:rPr>
          <w:rFonts w:hint="eastAsia"/>
          <w:color w:val="auto"/>
          <w:sz w:val="24"/>
          <w:highlight w:val="none"/>
          <w:lang w:val="en-US" w:eastAsia="zh-CN"/>
        </w:rPr>
        <w:t>评估</w:t>
      </w:r>
      <w:r>
        <w:rPr>
          <w:rFonts w:hint="eastAsia"/>
          <w:color w:val="auto"/>
          <w:sz w:val="24"/>
          <w:highlight w:val="none"/>
        </w:rPr>
        <w:t>报告</w:t>
      </w:r>
      <w:r>
        <w:rPr>
          <w:rFonts w:hint="eastAsia"/>
          <w:color w:val="auto"/>
          <w:sz w:val="24"/>
          <w:highlight w:val="none"/>
          <w:lang w:val="en-US" w:eastAsia="zh-CN"/>
        </w:rPr>
        <w:t>电子版</w:t>
      </w:r>
      <w:r>
        <w:rPr>
          <w:rFonts w:hint="eastAsia"/>
          <w:color w:val="auto"/>
          <w:sz w:val="24"/>
          <w:highlight w:val="none"/>
        </w:rPr>
        <w:t>交由甲方</w:t>
      </w:r>
      <w:r>
        <w:rPr>
          <w:rFonts w:hint="eastAsia"/>
          <w:color w:val="auto"/>
          <w:sz w:val="24"/>
          <w:highlight w:val="none"/>
          <w:lang w:val="en-US" w:eastAsia="zh-CN"/>
        </w:rPr>
        <w:t>确认</w:t>
      </w:r>
      <w:r>
        <w:rPr>
          <w:rFonts w:hint="eastAsia"/>
          <w:color w:val="auto"/>
          <w:sz w:val="24"/>
          <w:highlight w:val="none"/>
        </w:rPr>
        <w:t>。</w:t>
      </w:r>
    </w:p>
    <w:p w14:paraId="0E6EE7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6、乙方必须按照协议约定履行检测评估义务，否则给甲方造成损失的，应当赔偿甲方实际经济损失包括但不限于违约金、诉讼费、保全费、律师费、鉴定费及其他经济损失。</w:t>
      </w:r>
    </w:p>
    <w:p w14:paraId="7D5678F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b/>
          <w:bCs/>
          <w:color w:val="auto"/>
          <w:sz w:val="24"/>
          <w:highlight w:val="none"/>
        </w:rPr>
      </w:pPr>
      <w:r>
        <w:rPr>
          <w:rFonts w:hint="eastAsia"/>
          <w:b/>
          <w:bCs/>
          <w:color w:val="auto"/>
          <w:sz w:val="24"/>
          <w:highlight w:val="none"/>
          <w:lang w:val="en-US" w:eastAsia="zh-CN"/>
        </w:rPr>
        <w:t>五、</w:t>
      </w:r>
      <w:r>
        <w:rPr>
          <w:rFonts w:hint="eastAsia"/>
          <w:b/>
          <w:bCs/>
          <w:color w:val="auto"/>
          <w:sz w:val="24"/>
          <w:highlight w:val="none"/>
        </w:rPr>
        <w:t>检测</w:t>
      </w:r>
      <w:r>
        <w:rPr>
          <w:rFonts w:hint="eastAsia"/>
          <w:b/>
          <w:bCs/>
          <w:color w:val="auto"/>
          <w:sz w:val="24"/>
          <w:highlight w:val="none"/>
          <w:lang w:val="en-US" w:eastAsia="zh-CN"/>
        </w:rPr>
        <w:t>评估</w:t>
      </w:r>
      <w:r>
        <w:rPr>
          <w:rFonts w:hint="eastAsia"/>
          <w:b/>
          <w:bCs/>
          <w:color w:val="auto"/>
          <w:sz w:val="24"/>
          <w:highlight w:val="none"/>
        </w:rPr>
        <w:t>时间：</w:t>
      </w:r>
    </w:p>
    <w:p w14:paraId="160ACE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highlight w:val="none"/>
        </w:rPr>
      </w:pPr>
      <w:r>
        <w:rPr>
          <w:rFonts w:hint="eastAsia"/>
          <w:color w:val="auto"/>
          <w:sz w:val="24"/>
          <w:highlight w:val="none"/>
        </w:rPr>
        <w:t>检测时间由甲方根据工程进度提前通知乙方进场检测</w:t>
      </w:r>
      <w:r>
        <w:rPr>
          <w:rFonts w:hint="eastAsia"/>
          <w:color w:val="auto"/>
          <w:sz w:val="24"/>
          <w:highlight w:val="none"/>
          <w:lang w:val="en-US" w:eastAsia="zh-CN"/>
        </w:rPr>
        <w:t>评估</w:t>
      </w:r>
      <w:r>
        <w:rPr>
          <w:rFonts w:hint="eastAsia"/>
          <w:color w:val="auto"/>
          <w:sz w:val="24"/>
          <w:highlight w:val="none"/>
        </w:rPr>
        <w:t>，乙方在接到甲方进场通知</w:t>
      </w:r>
      <w:r>
        <w:rPr>
          <w:rFonts w:hint="eastAsia"/>
          <w:color w:val="auto"/>
          <w:sz w:val="24"/>
          <w:highlight w:val="none"/>
          <w:u w:val="single"/>
          <w:lang w:val="en-US" w:eastAsia="zh-CN"/>
        </w:rPr>
        <w:t xml:space="preserve"> 3 </w:t>
      </w:r>
      <w:r>
        <w:rPr>
          <w:rFonts w:hint="eastAsia"/>
          <w:color w:val="auto"/>
          <w:sz w:val="24"/>
          <w:highlight w:val="none"/>
        </w:rPr>
        <w:t>个工作日内指定项目负责人</w:t>
      </w:r>
      <w:r>
        <w:rPr>
          <w:rFonts w:hint="eastAsia"/>
          <w:color w:val="auto"/>
          <w:sz w:val="24"/>
          <w:highlight w:val="none"/>
          <w:u w:val="single"/>
          <w:lang w:val="en-US" w:eastAsia="zh-CN"/>
        </w:rPr>
        <w:t xml:space="preserve">         </w:t>
      </w:r>
      <w:r>
        <w:rPr>
          <w:rFonts w:hint="eastAsia"/>
          <w:color w:val="auto"/>
          <w:sz w:val="24"/>
          <w:highlight w:val="none"/>
        </w:rPr>
        <w:t>联系方式</w:t>
      </w:r>
      <w:r>
        <w:rPr>
          <w:rFonts w:hint="eastAsia"/>
          <w:color w:val="auto"/>
          <w:sz w:val="24"/>
          <w:highlight w:val="none"/>
          <w:u w:val="single"/>
          <w:lang w:val="en-US" w:eastAsia="zh-CN"/>
        </w:rPr>
        <w:t xml:space="preserve">         </w:t>
      </w:r>
      <w:r>
        <w:rPr>
          <w:rFonts w:hint="eastAsia"/>
          <w:color w:val="auto"/>
          <w:sz w:val="24"/>
          <w:highlight w:val="none"/>
        </w:rPr>
        <w:t>，进场检测后</w:t>
      </w:r>
      <w:r>
        <w:rPr>
          <w:rFonts w:hint="eastAsia"/>
          <w:color w:val="auto"/>
          <w:sz w:val="24"/>
          <w:highlight w:val="none"/>
          <w:u w:val="single"/>
          <w:lang w:val="en-US" w:eastAsia="zh-CN"/>
        </w:rPr>
        <w:t xml:space="preserve"> 1 </w:t>
      </w:r>
      <w:r>
        <w:rPr>
          <w:rFonts w:hint="eastAsia"/>
          <w:color w:val="auto"/>
          <w:sz w:val="24"/>
          <w:highlight w:val="none"/>
        </w:rPr>
        <w:t>个工作日内完成并向甲方并提出相关整改意见，在甲方整改至符合法律法规要求后</w:t>
      </w:r>
      <w:r>
        <w:rPr>
          <w:rFonts w:hint="eastAsia"/>
          <w:color w:val="auto"/>
          <w:sz w:val="24"/>
          <w:highlight w:val="none"/>
          <w:u w:val="single"/>
          <w:lang w:val="en-US" w:eastAsia="zh-CN"/>
        </w:rPr>
        <w:t xml:space="preserve"> 3 </w:t>
      </w:r>
      <w:r>
        <w:rPr>
          <w:rFonts w:hint="eastAsia"/>
          <w:color w:val="auto"/>
          <w:sz w:val="24"/>
          <w:highlight w:val="none"/>
        </w:rPr>
        <w:t>个工作日内提供盖章版《检测</w:t>
      </w:r>
      <w:r>
        <w:rPr>
          <w:rFonts w:hint="eastAsia"/>
          <w:color w:val="auto"/>
          <w:sz w:val="24"/>
          <w:highlight w:val="none"/>
          <w:lang w:eastAsia="zh-CN"/>
        </w:rPr>
        <w:t>、</w:t>
      </w:r>
      <w:r>
        <w:rPr>
          <w:rFonts w:hint="eastAsia"/>
          <w:color w:val="auto"/>
          <w:sz w:val="24"/>
          <w:highlight w:val="none"/>
          <w:lang w:val="en-US" w:eastAsia="zh-CN"/>
        </w:rPr>
        <w:t>评估</w:t>
      </w:r>
      <w:r>
        <w:rPr>
          <w:rFonts w:hint="eastAsia"/>
          <w:color w:val="auto"/>
          <w:sz w:val="24"/>
          <w:highlight w:val="none"/>
        </w:rPr>
        <w:t>报告》。</w:t>
      </w:r>
    </w:p>
    <w:p w14:paraId="2D841288">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Chars="0"/>
        <w:textAlignment w:val="auto"/>
        <w:rPr>
          <w:rFonts w:hint="eastAsia"/>
          <w:b/>
          <w:bCs/>
          <w:color w:val="auto"/>
          <w:sz w:val="24"/>
          <w:highlight w:val="none"/>
        </w:rPr>
      </w:pPr>
      <w:r>
        <w:rPr>
          <w:rFonts w:hint="eastAsia"/>
          <w:b/>
          <w:bCs/>
          <w:color w:val="auto"/>
          <w:sz w:val="24"/>
          <w:highlight w:val="none"/>
        </w:rPr>
        <w:t>检测费用：</w:t>
      </w:r>
    </w:p>
    <w:tbl>
      <w:tblPr>
        <w:tblStyle w:val="4"/>
        <w:tblW w:w="1054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10"/>
        <w:gridCol w:w="1317"/>
        <w:gridCol w:w="1481"/>
        <w:gridCol w:w="1785"/>
        <w:gridCol w:w="1718"/>
        <w:gridCol w:w="1320"/>
        <w:gridCol w:w="1320"/>
        <w:gridCol w:w="795"/>
      </w:tblGrid>
      <w:tr w14:paraId="0AA53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810" w:type="dxa"/>
            <w:tcBorders>
              <w:top w:val="single" w:color="auto" w:sz="4" w:space="0"/>
              <w:left w:val="single" w:color="auto" w:sz="4" w:space="0"/>
              <w:bottom w:val="single" w:color="auto" w:sz="4" w:space="0"/>
              <w:right w:val="single" w:color="auto" w:sz="4" w:space="0"/>
            </w:tcBorders>
            <w:noWrap/>
            <w:vAlign w:val="center"/>
          </w:tcPr>
          <w:p w14:paraId="00701533">
            <w:pPr>
              <w:keepNext w:val="0"/>
              <w:keepLines w:val="0"/>
              <w:widowControl/>
              <w:suppressLineNumbers w:val="0"/>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1317" w:type="dxa"/>
            <w:tcBorders>
              <w:top w:val="single" w:color="auto" w:sz="4" w:space="0"/>
              <w:left w:val="single" w:color="auto" w:sz="4" w:space="0"/>
              <w:bottom w:val="single" w:color="auto" w:sz="4" w:space="0"/>
              <w:right w:val="single" w:color="auto" w:sz="4" w:space="0"/>
            </w:tcBorders>
            <w:noWrap/>
            <w:vAlign w:val="center"/>
          </w:tcPr>
          <w:p w14:paraId="58131A97">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项目名称</w:t>
            </w:r>
          </w:p>
        </w:tc>
        <w:tc>
          <w:tcPr>
            <w:tcW w:w="1481" w:type="dxa"/>
            <w:tcBorders>
              <w:top w:val="single" w:color="auto" w:sz="4" w:space="0"/>
              <w:left w:val="single" w:color="auto" w:sz="4" w:space="0"/>
              <w:bottom w:val="single" w:color="auto" w:sz="4" w:space="0"/>
              <w:right w:val="single" w:color="auto" w:sz="4" w:space="0"/>
            </w:tcBorders>
            <w:noWrap/>
            <w:vAlign w:val="center"/>
          </w:tcPr>
          <w:p w14:paraId="7E1A8D8E">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建筑名称</w:t>
            </w:r>
          </w:p>
        </w:tc>
        <w:tc>
          <w:tcPr>
            <w:tcW w:w="1785" w:type="dxa"/>
            <w:tcBorders>
              <w:top w:val="single" w:color="auto" w:sz="4" w:space="0"/>
              <w:left w:val="single" w:color="auto" w:sz="4" w:space="0"/>
              <w:bottom w:val="single" w:color="auto" w:sz="4" w:space="0"/>
              <w:right w:val="single" w:color="auto" w:sz="4" w:space="0"/>
            </w:tcBorders>
            <w:noWrap/>
            <w:vAlign w:val="center"/>
          </w:tcPr>
          <w:p w14:paraId="3ADA62B4">
            <w:pPr>
              <w:keepNext w:val="0"/>
              <w:keepLines w:val="0"/>
              <w:widowControl/>
              <w:suppressLineNumbers w:val="0"/>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项目类别</w:t>
            </w:r>
          </w:p>
        </w:tc>
        <w:tc>
          <w:tcPr>
            <w:tcW w:w="1718" w:type="dxa"/>
            <w:tcBorders>
              <w:top w:val="single" w:color="auto" w:sz="4" w:space="0"/>
              <w:left w:val="single" w:color="auto" w:sz="4" w:space="0"/>
              <w:bottom w:val="single" w:color="auto" w:sz="4" w:space="0"/>
              <w:right w:val="single" w:color="auto" w:sz="4" w:space="0"/>
            </w:tcBorders>
            <w:noWrap/>
            <w:vAlign w:val="center"/>
          </w:tcPr>
          <w:p w14:paraId="6B338AE3">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建筑面积（㎡）</w:t>
            </w:r>
          </w:p>
        </w:tc>
        <w:tc>
          <w:tcPr>
            <w:tcW w:w="1320" w:type="dxa"/>
            <w:tcBorders>
              <w:top w:val="single" w:color="auto" w:sz="4" w:space="0"/>
              <w:left w:val="single" w:color="auto" w:sz="4" w:space="0"/>
              <w:bottom w:val="single" w:color="auto" w:sz="4" w:space="0"/>
              <w:right w:val="single" w:color="auto" w:sz="4" w:space="0"/>
            </w:tcBorders>
            <w:noWrap/>
            <w:vAlign w:val="center"/>
          </w:tcPr>
          <w:p w14:paraId="00A040B8">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单价（元）</w:t>
            </w:r>
          </w:p>
        </w:tc>
        <w:tc>
          <w:tcPr>
            <w:tcW w:w="1320" w:type="dxa"/>
            <w:tcBorders>
              <w:top w:val="single" w:color="auto" w:sz="4" w:space="0"/>
              <w:left w:val="single" w:color="auto" w:sz="4" w:space="0"/>
              <w:bottom w:val="single" w:color="auto" w:sz="4" w:space="0"/>
              <w:right w:val="single" w:color="auto" w:sz="4" w:space="0"/>
            </w:tcBorders>
            <w:noWrap/>
            <w:vAlign w:val="center"/>
          </w:tcPr>
          <w:p w14:paraId="419235FD">
            <w:pPr>
              <w:keepNext w:val="0"/>
              <w:keepLines w:val="0"/>
              <w:widowControl/>
              <w:suppressLineNumbers w:val="0"/>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价格（元）</w:t>
            </w:r>
          </w:p>
        </w:tc>
        <w:tc>
          <w:tcPr>
            <w:tcW w:w="795" w:type="dxa"/>
            <w:tcBorders>
              <w:top w:val="single" w:color="auto" w:sz="4" w:space="0"/>
              <w:left w:val="single" w:color="auto" w:sz="4" w:space="0"/>
              <w:bottom w:val="single" w:color="auto" w:sz="4" w:space="0"/>
              <w:right w:val="single" w:color="auto" w:sz="4" w:space="0"/>
            </w:tcBorders>
            <w:noWrap/>
            <w:vAlign w:val="center"/>
          </w:tcPr>
          <w:p w14:paraId="0D00BDDA">
            <w:pPr>
              <w:keepNext w:val="0"/>
              <w:keepLines w:val="0"/>
              <w:widowControl/>
              <w:suppressLineNumbers w:val="0"/>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备注</w:t>
            </w:r>
          </w:p>
        </w:tc>
      </w:tr>
      <w:tr w14:paraId="0BF9C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9" w:hRule="atLeast"/>
          <w:jc w:val="center"/>
        </w:trPr>
        <w:tc>
          <w:tcPr>
            <w:tcW w:w="810" w:type="dxa"/>
            <w:tcBorders>
              <w:top w:val="single" w:color="auto" w:sz="4" w:space="0"/>
              <w:left w:val="single" w:color="auto" w:sz="4" w:space="0"/>
              <w:bottom w:val="single" w:color="auto" w:sz="4" w:space="0"/>
              <w:right w:val="single" w:color="auto" w:sz="4" w:space="0"/>
            </w:tcBorders>
            <w:noWrap/>
            <w:vAlign w:val="center"/>
          </w:tcPr>
          <w:p w14:paraId="74FE0260">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1</w:t>
            </w:r>
          </w:p>
        </w:tc>
        <w:tc>
          <w:tcPr>
            <w:tcW w:w="1317" w:type="dxa"/>
            <w:tcBorders>
              <w:top w:val="single" w:color="auto" w:sz="4" w:space="0"/>
              <w:left w:val="single" w:color="auto" w:sz="4" w:space="0"/>
              <w:bottom w:val="single" w:color="auto" w:sz="4" w:space="0"/>
              <w:right w:val="single" w:color="auto" w:sz="4" w:space="0"/>
            </w:tcBorders>
            <w:noWrap/>
            <w:vAlign w:val="center"/>
          </w:tcPr>
          <w:p w14:paraId="07D16586">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default" w:ascii="宋体" w:hAnsi="宋体" w:eastAsia="宋体" w:cs="宋体"/>
                <w:b/>
                <w:bCs/>
                <w:i w:val="0"/>
                <w:iCs w:val="0"/>
                <w:color w:val="auto"/>
                <w:kern w:val="0"/>
                <w:sz w:val="24"/>
                <w:szCs w:val="24"/>
                <w:highlight w:val="none"/>
                <w:u w:val="none"/>
                <w:lang w:val="en-US" w:eastAsia="zh-CN" w:bidi="ar"/>
              </w:rPr>
              <w:t>高陵区城西社区项目</w:t>
            </w:r>
            <w:r>
              <w:rPr>
                <w:rFonts w:hint="eastAsia" w:ascii="宋体" w:hAnsi="宋体" w:eastAsia="宋体" w:cs="宋体"/>
                <w:b/>
                <w:bCs/>
                <w:i w:val="0"/>
                <w:iCs w:val="0"/>
                <w:color w:val="auto"/>
                <w:kern w:val="0"/>
                <w:sz w:val="24"/>
                <w:szCs w:val="24"/>
                <w:highlight w:val="none"/>
                <w:u w:val="none"/>
                <w:lang w:val="en-US" w:eastAsia="zh-CN" w:bidi="ar"/>
              </w:rPr>
              <w:t>一期</w:t>
            </w:r>
          </w:p>
        </w:tc>
        <w:tc>
          <w:tcPr>
            <w:tcW w:w="1481" w:type="dxa"/>
            <w:tcBorders>
              <w:top w:val="single" w:color="auto" w:sz="4" w:space="0"/>
              <w:left w:val="single" w:color="auto" w:sz="4" w:space="0"/>
              <w:right w:val="single" w:color="auto" w:sz="4" w:space="0"/>
            </w:tcBorders>
            <w:noWrap/>
            <w:vAlign w:val="center"/>
          </w:tcPr>
          <w:p w14:paraId="1088CB2B">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default" w:ascii="宋体" w:hAnsi="宋体" w:eastAsia="宋体" w:cs="宋体"/>
                <w:b/>
                <w:bCs/>
                <w:i w:val="0"/>
                <w:iCs w:val="0"/>
                <w:color w:val="auto"/>
                <w:kern w:val="0"/>
                <w:sz w:val="24"/>
                <w:szCs w:val="24"/>
                <w:highlight w:val="none"/>
                <w:u w:val="none"/>
                <w:lang w:val="en-US" w:eastAsia="zh-CN" w:bidi="ar"/>
              </w:rPr>
              <w:t>8</w:t>
            </w:r>
            <w:r>
              <w:rPr>
                <w:rFonts w:hint="eastAsia" w:ascii="宋体" w:hAnsi="宋体" w:eastAsia="宋体" w:cs="宋体"/>
                <w:b/>
                <w:bCs/>
                <w:i w:val="0"/>
                <w:iCs w:val="0"/>
                <w:color w:val="auto"/>
                <w:kern w:val="0"/>
                <w:sz w:val="24"/>
                <w:szCs w:val="24"/>
                <w:highlight w:val="none"/>
                <w:u w:val="none"/>
                <w:lang w:val="en-US" w:eastAsia="zh-CN" w:bidi="ar"/>
              </w:rPr>
              <w:t>、</w:t>
            </w:r>
            <w:r>
              <w:rPr>
                <w:rFonts w:hint="default" w:ascii="宋体" w:hAnsi="宋体" w:eastAsia="宋体" w:cs="宋体"/>
                <w:b/>
                <w:bCs/>
                <w:i w:val="0"/>
                <w:iCs w:val="0"/>
                <w:color w:val="auto"/>
                <w:kern w:val="0"/>
                <w:sz w:val="24"/>
                <w:szCs w:val="24"/>
                <w:highlight w:val="none"/>
                <w:u w:val="none"/>
                <w:lang w:val="en-US" w:eastAsia="zh-CN" w:bidi="ar"/>
              </w:rPr>
              <w:t>9</w:t>
            </w:r>
            <w:r>
              <w:rPr>
                <w:rFonts w:hint="eastAsia" w:ascii="宋体" w:hAnsi="宋体" w:eastAsia="宋体" w:cs="宋体"/>
                <w:b/>
                <w:bCs/>
                <w:i w:val="0"/>
                <w:iCs w:val="0"/>
                <w:color w:val="auto"/>
                <w:kern w:val="0"/>
                <w:sz w:val="24"/>
                <w:szCs w:val="24"/>
                <w:highlight w:val="none"/>
                <w:u w:val="none"/>
                <w:lang w:val="en-US" w:eastAsia="zh-CN" w:bidi="ar"/>
              </w:rPr>
              <w:t>、</w:t>
            </w:r>
            <w:r>
              <w:rPr>
                <w:rFonts w:hint="default" w:ascii="宋体" w:hAnsi="宋体" w:eastAsia="宋体" w:cs="宋体"/>
                <w:b/>
                <w:bCs/>
                <w:i w:val="0"/>
                <w:iCs w:val="0"/>
                <w:color w:val="auto"/>
                <w:kern w:val="0"/>
                <w:sz w:val="24"/>
                <w:szCs w:val="24"/>
                <w:highlight w:val="none"/>
                <w:u w:val="none"/>
                <w:lang w:val="en-US" w:eastAsia="zh-CN" w:bidi="ar"/>
              </w:rPr>
              <w:t>11</w:t>
            </w:r>
            <w:r>
              <w:rPr>
                <w:rFonts w:hint="eastAsia" w:ascii="宋体" w:hAnsi="宋体" w:eastAsia="宋体" w:cs="宋体"/>
                <w:b/>
                <w:bCs/>
                <w:i w:val="0"/>
                <w:iCs w:val="0"/>
                <w:color w:val="auto"/>
                <w:kern w:val="0"/>
                <w:sz w:val="24"/>
                <w:szCs w:val="24"/>
                <w:highlight w:val="none"/>
                <w:u w:val="none"/>
                <w:lang w:val="en-US" w:eastAsia="zh-CN" w:bidi="ar"/>
              </w:rPr>
              <w:t>、</w:t>
            </w:r>
            <w:r>
              <w:rPr>
                <w:rFonts w:hint="default" w:ascii="宋体" w:hAnsi="宋体" w:eastAsia="宋体" w:cs="宋体"/>
                <w:b/>
                <w:bCs/>
                <w:i w:val="0"/>
                <w:iCs w:val="0"/>
                <w:color w:val="auto"/>
                <w:kern w:val="0"/>
                <w:sz w:val="24"/>
                <w:szCs w:val="24"/>
                <w:highlight w:val="none"/>
                <w:u w:val="none"/>
                <w:lang w:val="en-US" w:eastAsia="zh-CN" w:bidi="ar"/>
              </w:rPr>
              <w:t>12</w:t>
            </w:r>
            <w:r>
              <w:rPr>
                <w:rFonts w:hint="eastAsia" w:ascii="宋体" w:hAnsi="宋体" w:eastAsia="宋体" w:cs="宋体"/>
                <w:b/>
                <w:bCs/>
                <w:i w:val="0"/>
                <w:iCs w:val="0"/>
                <w:color w:val="auto"/>
                <w:kern w:val="0"/>
                <w:sz w:val="24"/>
                <w:szCs w:val="24"/>
                <w:highlight w:val="none"/>
                <w:u w:val="none"/>
                <w:lang w:val="en-US" w:eastAsia="zh-CN" w:bidi="ar"/>
              </w:rPr>
              <w:t>、</w:t>
            </w:r>
            <w:r>
              <w:rPr>
                <w:rFonts w:hint="default" w:ascii="宋体" w:hAnsi="宋体" w:eastAsia="宋体" w:cs="宋体"/>
                <w:b/>
                <w:bCs/>
                <w:i w:val="0"/>
                <w:iCs w:val="0"/>
                <w:color w:val="auto"/>
                <w:kern w:val="0"/>
                <w:sz w:val="24"/>
                <w:szCs w:val="24"/>
                <w:highlight w:val="none"/>
                <w:u w:val="none"/>
                <w:lang w:val="en-US" w:eastAsia="zh-CN" w:bidi="ar"/>
              </w:rPr>
              <w:t>14</w:t>
            </w:r>
            <w:r>
              <w:rPr>
                <w:rFonts w:hint="eastAsia" w:ascii="宋体" w:hAnsi="宋体" w:eastAsia="宋体" w:cs="宋体"/>
                <w:b/>
                <w:bCs/>
                <w:i w:val="0"/>
                <w:iCs w:val="0"/>
                <w:color w:val="auto"/>
                <w:kern w:val="0"/>
                <w:sz w:val="24"/>
                <w:szCs w:val="24"/>
                <w:highlight w:val="none"/>
                <w:u w:val="none"/>
                <w:lang w:val="en-US" w:eastAsia="zh-CN" w:bidi="ar"/>
              </w:rPr>
              <w:t>、</w:t>
            </w:r>
            <w:r>
              <w:rPr>
                <w:rFonts w:hint="default" w:ascii="宋体" w:hAnsi="宋体" w:eastAsia="宋体" w:cs="宋体"/>
                <w:b/>
                <w:bCs/>
                <w:i w:val="0"/>
                <w:iCs w:val="0"/>
                <w:color w:val="auto"/>
                <w:kern w:val="0"/>
                <w:sz w:val="24"/>
                <w:szCs w:val="24"/>
                <w:highlight w:val="none"/>
                <w:u w:val="none"/>
                <w:lang w:val="en-US" w:eastAsia="zh-CN" w:bidi="ar"/>
              </w:rPr>
              <w:t>15</w:t>
            </w:r>
            <w:r>
              <w:rPr>
                <w:rFonts w:hint="eastAsia" w:ascii="宋体" w:hAnsi="宋体" w:eastAsia="宋体" w:cs="宋体"/>
                <w:b/>
                <w:bCs/>
                <w:i w:val="0"/>
                <w:iCs w:val="0"/>
                <w:color w:val="auto"/>
                <w:kern w:val="0"/>
                <w:sz w:val="24"/>
                <w:szCs w:val="24"/>
                <w:highlight w:val="none"/>
                <w:u w:val="none"/>
                <w:lang w:val="en-US" w:eastAsia="zh-CN" w:bidi="ar"/>
              </w:rPr>
              <w:t>、</w:t>
            </w:r>
            <w:r>
              <w:rPr>
                <w:rFonts w:hint="default" w:ascii="宋体" w:hAnsi="宋体" w:eastAsia="宋体" w:cs="宋体"/>
                <w:b/>
                <w:bCs/>
                <w:i w:val="0"/>
                <w:iCs w:val="0"/>
                <w:color w:val="auto"/>
                <w:kern w:val="0"/>
                <w:sz w:val="24"/>
                <w:szCs w:val="24"/>
                <w:highlight w:val="none"/>
                <w:u w:val="none"/>
                <w:lang w:val="en-US" w:eastAsia="zh-CN" w:bidi="ar"/>
              </w:rPr>
              <w:t>16</w:t>
            </w:r>
            <w:r>
              <w:rPr>
                <w:rFonts w:hint="eastAsia" w:ascii="宋体" w:hAnsi="宋体" w:eastAsia="宋体" w:cs="宋体"/>
                <w:b/>
                <w:bCs/>
                <w:i w:val="0"/>
                <w:iCs w:val="0"/>
                <w:color w:val="auto"/>
                <w:kern w:val="0"/>
                <w:sz w:val="24"/>
                <w:szCs w:val="24"/>
                <w:highlight w:val="none"/>
                <w:u w:val="none"/>
                <w:lang w:val="en-US" w:eastAsia="zh-CN" w:bidi="ar"/>
              </w:rPr>
              <w:t>、</w:t>
            </w:r>
            <w:r>
              <w:rPr>
                <w:rFonts w:hint="default" w:ascii="宋体" w:hAnsi="宋体" w:eastAsia="宋体" w:cs="宋体"/>
                <w:b/>
                <w:bCs/>
                <w:i w:val="0"/>
                <w:iCs w:val="0"/>
                <w:color w:val="auto"/>
                <w:kern w:val="0"/>
                <w:sz w:val="24"/>
                <w:szCs w:val="24"/>
                <w:highlight w:val="none"/>
                <w:u w:val="none"/>
                <w:lang w:val="en-US" w:eastAsia="zh-CN" w:bidi="ar"/>
              </w:rPr>
              <w:t>7</w:t>
            </w:r>
            <w:r>
              <w:rPr>
                <w:rFonts w:hint="eastAsia" w:ascii="宋体" w:hAnsi="宋体" w:eastAsia="宋体" w:cs="宋体"/>
                <w:b/>
                <w:bCs/>
                <w:i w:val="0"/>
                <w:iCs w:val="0"/>
                <w:color w:val="auto"/>
                <w:kern w:val="0"/>
                <w:sz w:val="24"/>
                <w:szCs w:val="24"/>
                <w:highlight w:val="none"/>
                <w:u w:val="none"/>
                <w:lang w:val="en-US" w:eastAsia="zh-CN" w:bidi="ar"/>
              </w:rPr>
              <w:t>号楼</w:t>
            </w:r>
          </w:p>
        </w:tc>
        <w:tc>
          <w:tcPr>
            <w:tcW w:w="1785" w:type="dxa"/>
            <w:tcBorders>
              <w:top w:val="single" w:color="auto" w:sz="4" w:space="0"/>
              <w:left w:val="single" w:color="auto" w:sz="4" w:space="0"/>
              <w:right w:val="single" w:color="auto" w:sz="4" w:space="0"/>
            </w:tcBorders>
            <w:noWrap/>
            <w:vAlign w:val="center"/>
          </w:tcPr>
          <w:p w14:paraId="43117F2D">
            <w:pPr>
              <w:keepNext w:val="0"/>
              <w:keepLines w:val="0"/>
              <w:widowControl/>
              <w:suppressLineNumbers w:val="0"/>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消防设施检测、</w:t>
            </w:r>
          </w:p>
          <w:p w14:paraId="7BE5A4D7">
            <w:pPr>
              <w:keepNext w:val="0"/>
              <w:keepLines w:val="0"/>
              <w:widowControl/>
              <w:suppressLineNumbers w:val="0"/>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消防安全评估</w:t>
            </w:r>
          </w:p>
        </w:tc>
        <w:tc>
          <w:tcPr>
            <w:tcW w:w="1718" w:type="dxa"/>
            <w:tcBorders>
              <w:top w:val="single" w:color="auto" w:sz="4" w:space="0"/>
              <w:left w:val="single" w:color="auto" w:sz="4" w:space="0"/>
              <w:right w:val="single" w:color="auto" w:sz="4" w:space="0"/>
            </w:tcBorders>
            <w:noWrap/>
            <w:vAlign w:val="center"/>
          </w:tcPr>
          <w:p w14:paraId="00714C5C">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93237.32</w:t>
            </w:r>
          </w:p>
        </w:tc>
        <w:tc>
          <w:tcPr>
            <w:tcW w:w="1320" w:type="dxa"/>
            <w:tcBorders>
              <w:top w:val="single" w:color="auto" w:sz="4" w:space="0"/>
              <w:left w:val="single" w:color="auto" w:sz="4" w:space="0"/>
              <w:right w:val="single" w:color="auto" w:sz="4" w:space="0"/>
            </w:tcBorders>
            <w:noWrap/>
            <w:vAlign w:val="center"/>
          </w:tcPr>
          <w:p w14:paraId="39C2E3F7">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p>
        </w:tc>
        <w:tc>
          <w:tcPr>
            <w:tcW w:w="1320" w:type="dxa"/>
            <w:tcBorders>
              <w:top w:val="single" w:color="auto" w:sz="4" w:space="0"/>
              <w:left w:val="single" w:color="auto" w:sz="4" w:space="0"/>
              <w:right w:val="single" w:color="auto" w:sz="4" w:space="0"/>
            </w:tcBorders>
            <w:noWrap/>
            <w:vAlign w:val="center"/>
          </w:tcPr>
          <w:p w14:paraId="27B08CA3">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p>
        </w:tc>
        <w:tc>
          <w:tcPr>
            <w:tcW w:w="795" w:type="dxa"/>
            <w:vMerge w:val="restart"/>
            <w:tcBorders>
              <w:top w:val="single" w:color="auto" w:sz="4" w:space="0"/>
              <w:left w:val="single" w:color="auto" w:sz="4" w:space="0"/>
              <w:right w:val="single" w:color="auto" w:sz="4" w:space="0"/>
            </w:tcBorders>
            <w:noWrap/>
            <w:vAlign w:val="center"/>
          </w:tcPr>
          <w:p w14:paraId="6EC64AB2">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p>
        </w:tc>
      </w:tr>
      <w:tr w14:paraId="642AA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2" w:hRule="atLeast"/>
          <w:jc w:val="center"/>
        </w:trPr>
        <w:tc>
          <w:tcPr>
            <w:tcW w:w="810" w:type="dxa"/>
            <w:tcBorders>
              <w:top w:val="single" w:color="auto" w:sz="4" w:space="0"/>
              <w:left w:val="single" w:color="auto" w:sz="4" w:space="0"/>
              <w:bottom w:val="single" w:color="auto" w:sz="4" w:space="0"/>
              <w:right w:val="single" w:color="auto" w:sz="4" w:space="0"/>
            </w:tcBorders>
            <w:noWrap/>
            <w:vAlign w:val="center"/>
          </w:tcPr>
          <w:p w14:paraId="41B6E64C">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2</w:t>
            </w:r>
          </w:p>
        </w:tc>
        <w:tc>
          <w:tcPr>
            <w:tcW w:w="1317" w:type="dxa"/>
            <w:tcBorders>
              <w:left w:val="single" w:color="auto" w:sz="4" w:space="0"/>
              <w:bottom w:val="single" w:color="auto" w:sz="4" w:space="0"/>
              <w:right w:val="single" w:color="auto" w:sz="4" w:space="0"/>
            </w:tcBorders>
            <w:noWrap/>
            <w:vAlign w:val="center"/>
          </w:tcPr>
          <w:p w14:paraId="19F6A0FF">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default" w:ascii="宋体" w:hAnsi="宋体" w:eastAsia="宋体" w:cs="宋体"/>
                <w:b/>
                <w:bCs/>
                <w:i w:val="0"/>
                <w:iCs w:val="0"/>
                <w:color w:val="auto"/>
                <w:kern w:val="0"/>
                <w:sz w:val="24"/>
                <w:szCs w:val="24"/>
                <w:highlight w:val="none"/>
                <w:u w:val="none"/>
                <w:lang w:val="en-US" w:eastAsia="zh-CN" w:bidi="ar"/>
              </w:rPr>
              <w:t>高陵区城西社区项目</w:t>
            </w:r>
            <w:r>
              <w:rPr>
                <w:rFonts w:hint="eastAsia" w:ascii="宋体" w:hAnsi="宋体" w:eastAsia="宋体" w:cs="宋体"/>
                <w:b/>
                <w:bCs/>
                <w:i w:val="0"/>
                <w:iCs w:val="0"/>
                <w:color w:val="auto"/>
                <w:kern w:val="0"/>
                <w:sz w:val="24"/>
                <w:szCs w:val="24"/>
                <w:highlight w:val="none"/>
                <w:u w:val="none"/>
                <w:lang w:val="en-US" w:eastAsia="zh-CN" w:bidi="ar"/>
              </w:rPr>
              <w:t>二期</w:t>
            </w:r>
          </w:p>
        </w:tc>
        <w:tc>
          <w:tcPr>
            <w:tcW w:w="1481" w:type="dxa"/>
            <w:tcBorders>
              <w:top w:val="single" w:color="auto" w:sz="4" w:space="0"/>
              <w:left w:val="single" w:color="auto" w:sz="4" w:space="0"/>
              <w:bottom w:val="single" w:color="auto" w:sz="4" w:space="0"/>
              <w:right w:val="single" w:color="auto" w:sz="4" w:space="0"/>
            </w:tcBorders>
            <w:noWrap/>
            <w:vAlign w:val="center"/>
          </w:tcPr>
          <w:p w14:paraId="53F12ACE">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13、18号楼及地下车库</w:t>
            </w:r>
          </w:p>
        </w:tc>
        <w:tc>
          <w:tcPr>
            <w:tcW w:w="1785" w:type="dxa"/>
            <w:tcBorders>
              <w:top w:val="single" w:color="auto" w:sz="4" w:space="0"/>
              <w:left w:val="single" w:color="auto" w:sz="4" w:space="0"/>
              <w:bottom w:val="single" w:color="auto" w:sz="4" w:space="0"/>
              <w:right w:val="single" w:color="auto" w:sz="4" w:space="0"/>
            </w:tcBorders>
            <w:noWrap/>
            <w:vAlign w:val="center"/>
          </w:tcPr>
          <w:p w14:paraId="3E288E0E">
            <w:pPr>
              <w:keepNext w:val="0"/>
              <w:keepLines w:val="0"/>
              <w:widowControl/>
              <w:suppressLineNumbers w:val="0"/>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消防设施检测、消防安全评估</w:t>
            </w:r>
          </w:p>
        </w:tc>
        <w:tc>
          <w:tcPr>
            <w:tcW w:w="1718" w:type="dxa"/>
            <w:tcBorders>
              <w:left w:val="single" w:color="auto" w:sz="4" w:space="0"/>
              <w:bottom w:val="single" w:color="auto" w:sz="4" w:space="0"/>
              <w:right w:val="single" w:color="auto" w:sz="4" w:space="0"/>
            </w:tcBorders>
            <w:noWrap/>
            <w:vAlign w:val="center"/>
          </w:tcPr>
          <w:p w14:paraId="7C08ABB2">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36059.52</w:t>
            </w:r>
          </w:p>
        </w:tc>
        <w:tc>
          <w:tcPr>
            <w:tcW w:w="1320" w:type="dxa"/>
            <w:tcBorders>
              <w:top w:val="single" w:color="auto" w:sz="4" w:space="0"/>
              <w:left w:val="single" w:color="auto" w:sz="4" w:space="0"/>
              <w:bottom w:val="single" w:color="auto" w:sz="4" w:space="0"/>
              <w:right w:val="single" w:color="auto" w:sz="4" w:space="0"/>
            </w:tcBorders>
            <w:noWrap/>
            <w:vAlign w:val="center"/>
          </w:tcPr>
          <w:p w14:paraId="319C2AF0">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p>
        </w:tc>
        <w:tc>
          <w:tcPr>
            <w:tcW w:w="1320" w:type="dxa"/>
            <w:tcBorders>
              <w:top w:val="single" w:color="auto" w:sz="4" w:space="0"/>
              <w:left w:val="single" w:color="auto" w:sz="4" w:space="0"/>
              <w:bottom w:val="single" w:color="auto" w:sz="4" w:space="0"/>
              <w:right w:val="single" w:color="auto" w:sz="4" w:space="0"/>
            </w:tcBorders>
            <w:noWrap/>
            <w:vAlign w:val="center"/>
          </w:tcPr>
          <w:p w14:paraId="03E23FDD">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p>
        </w:tc>
        <w:tc>
          <w:tcPr>
            <w:tcW w:w="795" w:type="dxa"/>
            <w:vMerge w:val="continue"/>
            <w:tcBorders>
              <w:left w:val="single" w:color="auto" w:sz="4" w:space="0"/>
              <w:right w:val="single" w:color="auto" w:sz="4" w:space="0"/>
            </w:tcBorders>
            <w:noWrap/>
            <w:vAlign w:val="center"/>
          </w:tcPr>
          <w:p w14:paraId="5BFECAA0">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p>
        </w:tc>
      </w:tr>
      <w:tr w14:paraId="757901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8" w:hRule="atLeast"/>
          <w:jc w:val="center"/>
        </w:trPr>
        <w:tc>
          <w:tcPr>
            <w:tcW w:w="810" w:type="dxa"/>
            <w:tcBorders>
              <w:top w:val="single" w:color="auto" w:sz="4" w:space="0"/>
              <w:left w:val="single" w:color="auto" w:sz="4" w:space="0"/>
              <w:bottom w:val="single" w:color="auto" w:sz="4" w:space="0"/>
              <w:right w:val="single" w:color="auto" w:sz="4" w:space="0"/>
            </w:tcBorders>
            <w:noWrap/>
            <w:vAlign w:val="center"/>
          </w:tcPr>
          <w:p w14:paraId="3B60F54D">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3</w:t>
            </w:r>
          </w:p>
        </w:tc>
        <w:tc>
          <w:tcPr>
            <w:tcW w:w="7621" w:type="dxa"/>
            <w:gridSpan w:val="5"/>
            <w:tcBorders>
              <w:top w:val="single" w:color="auto" w:sz="4" w:space="0"/>
              <w:left w:val="single" w:color="auto" w:sz="4" w:space="0"/>
              <w:bottom w:val="single" w:color="auto" w:sz="4" w:space="0"/>
              <w:right w:val="single" w:color="auto" w:sz="4" w:space="0"/>
            </w:tcBorders>
            <w:noWrap/>
            <w:vAlign w:val="center"/>
          </w:tcPr>
          <w:p w14:paraId="19CC93A4">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合同总价</w:t>
            </w:r>
          </w:p>
        </w:tc>
        <w:tc>
          <w:tcPr>
            <w:tcW w:w="1320" w:type="dxa"/>
            <w:tcBorders>
              <w:top w:val="single" w:color="auto" w:sz="4" w:space="0"/>
              <w:left w:val="single" w:color="auto" w:sz="4" w:space="0"/>
              <w:bottom w:val="single" w:color="auto" w:sz="4" w:space="0"/>
              <w:right w:val="single" w:color="auto" w:sz="4" w:space="0"/>
            </w:tcBorders>
            <w:noWrap/>
            <w:vAlign w:val="center"/>
          </w:tcPr>
          <w:p w14:paraId="59A7A582">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p>
        </w:tc>
        <w:tc>
          <w:tcPr>
            <w:tcW w:w="795" w:type="dxa"/>
            <w:vMerge w:val="continue"/>
            <w:tcBorders>
              <w:left w:val="single" w:color="auto" w:sz="4" w:space="0"/>
              <w:bottom w:val="single" w:color="auto" w:sz="4" w:space="0"/>
              <w:right w:val="single" w:color="auto" w:sz="4" w:space="0"/>
            </w:tcBorders>
            <w:noWrap/>
            <w:vAlign w:val="center"/>
          </w:tcPr>
          <w:p w14:paraId="53BB8EC3">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p>
        </w:tc>
      </w:tr>
    </w:tbl>
    <w:p w14:paraId="10CC0254">
      <w:pPr>
        <w:spacing w:line="360" w:lineRule="auto"/>
        <w:ind w:firstLine="480" w:firstLineChars="200"/>
        <w:rPr>
          <w:rFonts w:hint="eastAsia" w:eastAsia="宋体"/>
          <w:color w:val="auto"/>
          <w:sz w:val="24"/>
          <w:highlight w:val="none"/>
          <w:u w:val="none"/>
          <w:lang w:eastAsia="zh-CN"/>
        </w:rPr>
      </w:pPr>
    </w:p>
    <w:p w14:paraId="09D98F4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color w:val="auto"/>
          <w:sz w:val="24"/>
          <w:highlight w:val="none"/>
        </w:rPr>
      </w:pPr>
      <w:r>
        <w:rPr>
          <w:rFonts w:hint="eastAsia"/>
          <w:b/>
          <w:bCs/>
          <w:color w:val="auto"/>
          <w:sz w:val="24"/>
          <w:highlight w:val="none"/>
          <w:lang w:val="en-US" w:eastAsia="zh-CN"/>
        </w:rPr>
        <w:t>七、</w:t>
      </w:r>
      <w:r>
        <w:rPr>
          <w:rFonts w:hint="eastAsia"/>
          <w:b/>
          <w:bCs/>
          <w:color w:val="auto"/>
          <w:sz w:val="24"/>
          <w:highlight w:val="none"/>
        </w:rPr>
        <w:t>付款方式：</w:t>
      </w:r>
    </w:p>
    <w:p w14:paraId="7F8DCA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color w:val="auto"/>
          <w:sz w:val="24"/>
          <w:highlight w:val="none"/>
          <w:lang w:val="en-US" w:eastAsia="zh-CN"/>
        </w:rPr>
      </w:pPr>
      <w:r>
        <w:rPr>
          <w:rFonts w:hint="eastAsia"/>
          <w:color w:val="auto"/>
          <w:sz w:val="24"/>
          <w:highlight w:val="none"/>
          <w:lang w:val="en-US" w:eastAsia="zh-CN"/>
        </w:rPr>
        <w:t>协议签订后甲方向乙方支付协议款的30%，即¥</w:t>
      </w:r>
      <w:r>
        <w:rPr>
          <w:rFonts w:hint="eastAsia"/>
          <w:color w:val="auto"/>
          <w:sz w:val="24"/>
          <w:highlight w:val="none"/>
          <w:u w:val="single"/>
          <w:lang w:val="en-US" w:eastAsia="zh-CN"/>
        </w:rPr>
        <w:t xml:space="preserve">         </w:t>
      </w:r>
      <w:r>
        <w:rPr>
          <w:rFonts w:hint="eastAsia"/>
          <w:color w:val="auto"/>
          <w:sz w:val="24"/>
          <w:highlight w:val="none"/>
          <w:lang w:val="en-US" w:eastAsia="zh-CN"/>
        </w:rPr>
        <w:t>元，乙方收到该款项后开始工作，</w:t>
      </w:r>
      <w:r>
        <w:rPr>
          <w:rFonts w:hint="eastAsia"/>
          <w:color w:val="auto"/>
          <w:sz w:val="24"/>
          <w:highlight w:val="none"/>
        </w:rPr>
        <w:t>乙方</w:t>
      </w:r>
      <w:r>
        <w:rPr>
          <w:rFonts w:hint="eastAsia"/>
          <w:color w:val="auto"/>
          <w:sz w:val="24"/>
          <w:highlight w:val="none"/>
          <w:lang w:val="en-US" w:eastAsia="zh-CN"/>
        </w:rPr>
        <w:t>完成检测评估并</w:t>
      </w:r>
      <w:r>
        <w:rPr>
          <w:rFonts w:hint="eastAsia"/>
          <w:color w:val="auto"/>
          <w:sz w:val="24"/>
          <w:highlight w:val="none"/>
        </w:rPr>
        <w:t>出具电子版报告</w:t>
      </w:r>
      <w:r>
        <w:rPr>
          <w:rFonts w:hint="eastAsia"/>
          <w:color w:val="auto"/>
          <w:sz w:val="24"/>
          <w:highlight w:val="none"/>
          <w:lang w:val="en-US" w:eastAsia="zh-CN"/>
        </w:rPr>
        <w:t>后甲方向乙方支付协议款项剩余的70%，即¥</w:t>
      </w:r>
      <w:r>
        <w:rPr>
          <w:rFonts w:hint="eastAsia"/>
          <w:color w:val="auto"/>
          <w:sz w:val="24"/>
          <w:highlight w:val="none"/>
          <w:u w:val="single"/>
          <w:lang w:val="en-US" w:eastAsia="zh-CN"/>
        </w:rPr>
        <w:t xml:space="preserve">         </w:t>
      </w:r>
      <w:r>
        <w:rPr>
          <w:rFonts w:hint="eastAsia"/>
          <w:color w:val="auto"/>
          <w:sz w:val="24"/>
          <w:highlight w:val="none"/>
          <w:lang w:val="en-US" w:eastAsia="zh-CN"/>
        </w:rPr>
        <w:t>元</w:t>
      </w:r>
      <w:r>
        <w:rPr>
          <w:rFonts w:hint="eastAsia"/>
          <w:color w:val="auto"/>
          <w:sz w:val="24"/>
          <w:highlight w:val="none"/>
          <w:lang w:eastAsia="zh-CN"/>
        </w:rPr>
        <w:t>，</w:t>
      </w:r>
      <w:r>
        <w:rPr>
          <w:rFonts w:hint="eastAsia"/>
          <w:color w:val="auto"/>
          <w:sz w:val="24"/>
          <w:highlight w:val="none"/>
        </w:rPr>
        <w:t>乙方收到</w:t>
      </w:r>
      <w:r>
        <w:rPr>
          <w:rFonts w:hint="eastAsia"/>
          <w:color w:val="auto"/>
          <w:sz w:val="24"/>
          <w:highlight w:val="none"/>
          <w:lang w:val="en-US" w:eastAsia="zh-CN"/>
        </w:rPr>
        <w:t>该合款项</w:t>
      </w:r>
      <w:r>
        <w:rPr>
          <w:rFonts w:hint="eastAsia"/>
          <w:color w:val="auto"/>
          <w:sz w:val="24"/>
          <w:highlight w:val="none"/>
        </w:rPr>
        <w:t>后向甲方提交纸质版检测</w:t>
      </w:r>
      <w:r>
        <w:rPr>
          <w:rFonts w:hint="eastAsia"/>
          <w:color w:val="auto"/>
          <w:sz w:val="24"/>
          <w:highlight w:val="none"/>
          <w:lang w:val="en-US" w:eastAsia="zh-CN"/>
        </w:rPr>
        <w:t>评估</w:t>
      </w:r>
      <w:r>
        <w:rPr>
          <w:rFonts w:hint="eastAsia"/>
          <w:color w:val="auto"/>
          <w:sz w:val="24"/>
          <w:highlight w:val="none"/>
        </w:rPr>
        <w:t>报告</w:t>
      </w:r>
      <w:r>
        <w:rPr>
          <w:rFonts w:hint="eastAsia"/>
          <w:color w:val="auto"/>
          <w:sz w:val="24"/>
          <w:highlight w:val="none"/>
          <w:lang w:val="en-US" w:eastAsia="zh-CN"/>
        </w:rPr>
        <w:t>。</w:t>
      </w:r>
    </w:p>
    <w:p w14:paraId="4A327D9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宋体"/>
          <w:b/>
          <w:bCs/>
          <w:color w:val="auto"/>
          <w:sz w:val="24"/>
          <w:highlight w:val="none"/>
          <w:lang w:eastAsia="zh-CN"/>
        </w:rPr>
      </w:pPr>
      <w:r>
        <w:rPr>
          <w:rFonts w:hint="eastAsia"/>
          <w:b/>
          <w:bCs/>
          <w:color w:val="auto"/>
          <w:sz w:val="24"/>
          <w:highlight w:val="none"/>
          <w:lang w:val="en-US" w:eastAsia="zh-CN"/>
        </w:rPr>
        <w:t>八、</w:t>
      </w:r>
      <w:r>
        <w:rPr>
          <w:rFonts w:hint="eastAsia"/>
          <w:b/>
          <w:bCs/>
          <w:color w:val="auto"/>
          <w:sz w:val="24"/>
          <w:highlight w:val="none"/>
        </w:rPr>
        <w:t>履行期限</w:t>
      </w:r>
      <w:r>
        <w:rPr>
          <w:rFonts w:hint="eastAsia"/>
          <w:b/>
          <w:bCs/>
          <w:color w:val="auto"/>
          <w:sz w:val="24"/>
          <w:highlight w:val="none"/>
          <w:lang w:eastAsia="zh-CN"/>
        </w:rPr>
        <w:t>：</w:t>
      </w:r>
    </w:p>
    <w:p w14:paraId="01A7A74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highlight w:val="none"/>
        </w:rPr>
      </w:pPr>
      <w:r>
        <w:rPr>
          <w:rFonts w:hint="eastAsia"/>
          <w:color w:val="auto"/>
          <w:sz w:val="24"/>
          <w:highlight w:val="none"/>
        </w:rPr>
        <w:t>本</w:t>
      </w:r>
      <w:r>
        <w:rPr>
          <w:rFonts w:hint="eastAsia"/>
          <w:color w:val="auto"/>
          <w:sz w:val="24"/>
          <w:highlight w:val="none"/>
          <w:lang w:eastAsia="zh-CN"/>
        </w:rPr>
        <w:t>协议</w:t>
      </w:r>
      <w:r>
        <w:rPr>
          <w:rFonts w:hint="eastAsia"/>
          <w:color w:val="auto"/>
          <w:sz w:val="24"/>
          <w:highlight w:val="none"/>
        </w:rPr>
        <w:t>自签订之日起生效，检测</w:t>
      </w:r>
      <w:r>
        <w:rPr>
          <w:rFonts w:hint="eastAsia"/>
          <w:color w:val="auto"/>
          <w:sz w:val="24"/>
          <w:highlight w:val="none"/>
          <w:lang w:val="en-US" w:eastAsia="zh-CN"/>
        </w:rPr>
        <w:t>评估</w:t>
      </w:r>
      <w:r>
        <w:rPr>
          <w:rFonts w:hint="eastAsia"/>
          <w:color w:val="auto"/>
          <w:sz w:val="24"/>
          <w:highlight w:val="none"/>
        </w:rPr>
        <w:t>结束后，所委托项目的检测</w:t>
      </w:r>
      <w:r>
        <w:rPr>
          <w:rFonts w:hint="eastAsia"/>
          <w:color w:val="auto"/>
          <w:sz w:val="24"/>
          <w:highlight w:val="none"/>
          <w:lang w:val="en-US" w:eastAsia="zh-CN"/>
        </w:rPr>
        <w:t>评估</w:t>
      </w:r>
      <w:r>
        <w:rPr>
          <w:rFonts w:hint="eastAsia"/>
          <w:color w:val="auto"/>
          <w:sz w:val="24"/>
          <w:highlight w:val="none"/>
        </w:rPr>
        <w:t>报告送达甲方、乙方收到全部</w:t>
      </w:r>
      <w:r>
        <w:rPr>
          <w:rFonts w:hint="eastAsia"/>
          <w:color w:val="auto"/>
          <w:sz w:val="24"/>
          <w:highlight w:val="none"/>
          <w:lang w:val="en-US" w:eastAsia="zh-CN"/>
        </w:rPr>
        <w:t>协议</w:t>
      </w:r>
      <w:r>
        <w:rPr>
          <w:rFonts w:hint="eastAsia"/>
          <w:color w:val="auto"/>
          <w:sz w:val="24"/>
          <w:highlight w:val="none"/>
        </w:rPr>
        <w:t>费用时，本</w:t>
      </w:r>
      <w:r>
        <w:rPr>
          <w:rFonts w:hint="eastAsia"/>
          <w:color w:val="auto"/>
          <w:sz w:val="24"/>
          <w:highlight w:val="none"/>
          <w:lang w:eastAsia="zh-CN"/>
        </w:rPr>
        <w:t>协议</w:t>
      </w:r>
      <w:r>
        <w:rPr>
          <w:rFonts w:hint="eastAsia"/>
          <w:color w:val="auto"/>
          <w:sz w:val="24"/>
          <w:highlight w:val="none"/>
        </w:rPr>
        <w:t>自动终止。</w:t>
      </w:r>
    </w:p>
    <w:p w14:paraId="5315209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color w:val="auto"/>
          <w:sz w:val="24"/>
          <w:highlight w:val="none"/>
          <w:lang w:val="en-US" w:eastAsia="zh-CN"/>
        </w:rPr>
      </w:pPr>
    </w:p>
    <w:p w14:paraId="5A030D3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宋体"/>
          <w:b/>
          <w:bCs/>
          <w:color w:val="auto"/>
          <w:sz w:val="24"/>
          <w:highlight w:val="none"/>
          <w:lang w:eastAsia="zh-CN"/>
        </w:rPr>
      </w:pPr>
      <w:r>
        <w:rPr>
          <w:rFonts w:hint="eastAsia"/>
          <w:b/>
          <w:bCs/>
          <w:color w:val="auto"/>
          <w:sz w:val="24"/>
          <w:highlight w:val="none"/>
          <w:lang w:val="en-US" w:eastAsia="zh-CN"/>
        </w:rPr>
        <w:t>九、</w:t>
      </w:r>
      <w:r>
        <w:rPr>
          <w:rFonts w:hint="eastAsia"/>
          <w:b/>
          <w:bCs/>
          <w:color w:val="auto"/>
          <w:sz w:val="24"/>
          <w:highlight w:val="none"/>
        </w:rPr>
        <w:t>争议解决</w:t>
      </w:r>
      <w:r>
        <w:rPr>
          <w:rFonts w:hint="eastAsia"/>
          <w:b/>
          <w:bCs/>
          <w:color w:val="auto"/>
          <w:sz w:val="24"/>
          <w:highlight w:val="none"/>
          <w:lang w:eastAsia="zh-CN"/>
        </w:rPr>
        <w:t>：</w:t>
      </w:r>
    </w:p>
    <w:p w14:paraId="511AED6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auto"/>
          <w:sz w:val="24"/>
          <w:highlight w:val="none"/>
        </w:rPr>
      </w:pPr>
      <w:r>
        <w:rPr>
          <w:rFonts w:hint="eastAsia"/>
          <w:color w:val="auto"/>
          <w:sz w:val="24"/>
          <w:highlight w:val="none"/>
          <w:lang w:val="en-US" w:eastAsia="zh-CN"/>
        </w:rPr>
        <w:t>1、</w:t>
      </w:r>
      <w:r>
        <w:rPr>
          <w:rFonts w:hint="eastAsia"/>
          <w:color w:val="auto"/>
          <w:sz w:val="24"/>
          <w:highlight w:val="none"/>
        </w:rPr>
        <w:t>本</w:t>
      </w:r>
      <w:r>
        <w:rPr>
          <w:rFonts w:hint="eastAsia"/>
          <w:color w:val="auto"/>
          <w:sz w:val="24"/>
          <w:highlight w:val="none"/>
          <w:lang w:eastAsia="zh-CN"/>
        </w:rPr>
        <w:t>协议</w:t>
      </w:r>
      <w:r>
        <w:rPr>
          <w:rFonts w:hint="eastAsia"/>
          <w:color w:val="auto"/>
          <w:sz w:val="24"/>
          <w:highlight w:val="none"/>
        </w:rPr>
        <w:t>未尽事宜，由双方友好协商妥善解决。协商解决不成时，任一方可向</w:t>
      </w:r>
      <w:r>
        <w:rPr>
          <w:rFonts w:hint="eastAsia"/>
          <w:color w:val="auto"/>
          <w:sz w:val="24"/>
          <w:highlight w:val="none"/>
          <w:lang w:val="en-US" w:eastAsia="zh-CN"/>
        </w:rPr>
        <w:t>甲方住所地</w:t>
      </w:r>
      <w:r>
        <w:rPr>
          <w:rFonts w:hint="eastAsia"/>
          <w:color w:val="auto"/>
          <w:sz w:val="24"/>
          <w:highlight w:val="none"/>
        </w:rPr>
        <w:t>人民法院起诉解决。</w:t>
      </w:r>
    </w:p>
    <w:p w14:paraId="6754F6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2、</w:t>
      </w:r>
      <w:r>
        <w:rPr>
          <w:rFonts w:hint="eastAsia" w:ascii="宋体" w:hAnsi="宋体" w:cs="宋体"/>
          <w:color w:val="auto"/>
          <w:sz w:val="24"/>
          <w:highlight w:val="none"/>
        </w:rPr>
        <w:t>双方指定以下联系方式、联系信息适用于双方往来联系、书面文件送达及争议解决时人民法院的法律文书送达，人民法院的诉讼文书（含裁判文书）向该等地址送达的，视为有效送达；因联系方式和联系信息错误而无法直接送达的自交邮后第7日视为送达：</w:t>
      </w:r>
    </w:p>
    <w:p w14:paraId="73FF62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i w:val="0"/>
          <w:iCs w:val="0"/>
          <w:color w:val="auto"/>
          <w:sz w:val="24"/>
          <w:highlight w:val="none"/>
          <w:u w:val="none"/>
        </w:rPr>
      </w:pPr>
      <w:r>
        <w:rPr>
          <w:rFonts w:hint="eastAsia" w:ascii="宋体" w:hAnsi="宋体" w:cs="宋体"/>
          <w:i w:val="0"/>
          <w:iCs w:val="0"/>
          <w:color w:val="auto"/>
          <w:sz w:val="24"/>
          <w:highlight w:val="none"/>
        </w:rPr>
        <w:t>甲方指定联系人/法定代表人：</w:t>
      </w:r>
      <w:r>
        <w:rPr>
          <w:rFonts w:hint="eastAsia"/>
          <w:color w:val="auto"/>
          <w:sz w:val="24"/>
          <w:highlight w:val="none"/>
          <w:u w:val="single"/>
          <w:lang w:val="en-US" w:eastAsia="zh-CN"/>
        </w:rPr>
        <w:t xml:space="preserve">         </w:t>
      </w:r>
      <w:r>
        <w:rPr>
          <w:rFonts w:hint="eastAsia" w:ascii="宋体" w:hAnsi="宋体" w:cs="宋体"/>
          <w:i w:val="0"/>
          <w:iCs w:val="0"/>
          <w:color w:val="auto"/>
          <w:sz w:val="24"/>
          <w:highlight w:val="none"/>
          <w:u w:val="single"/>
          <w:lang w:val="en-US" w:eastAsia="zh-CN"/>
        </w:rPr>
        <w:t xml:space="preserve"> </w:t>
      </w:r>
      <w:r>
        <w:rPr>
          <w:rFonts w:hint="eastAsia" w:ascii="宋体" w:hAnsi="宋体" w:cs="宋体"/>
          <w:i w:val="0"/>
          <w:iCs w:val="0"/>
          <w:color w:val="auto"/>
          <w:sz w:val="24"/>
          <w:highlight w:val="none"/>
        </w:rPr>
        <w:t>，联系电话：</w:t>
      </w:r>
      <w:r>
        <w:rPr>
          <w:rFonts w:hint="eastAsia"/>
          <w:color w:val="auto"/>
          <w:sz w:val="24"/>
          <w:highlight w:val="none"/>
          <w:u w:val="single"/>
          <w:lang w:val="en-US" w:eastAsia="zh-CN"/>
        </w:rPr>
        <w:t xml:space="preserve">         </w:t>
      </w:r>
      <w:r>
        <w:rPr>
          <w:rFonts w:hint="eastAsia" w:ascii="宋体" w:hAnsi="宋体" w:cs="宋体"/>
          <w:i w:val="0"/>
          <w:iCs w:val="0"/>
          <w:color w:val="auto"/>
          <w:sz w:val="24"/>
          <w:highlight w:val="none"/>
        </w:rPr>
        <w:t>，联系地址：</w:t>
      </w:r>
      <w:r>
        <w:rPr>
          <w:rFonts w:hint="eastAsia"/>
          <w:color w:val="auto"/>
          <w:sz w:val="24"/>
          <w:highlight w:val="none"/>
          <w:u w:val="single"/>
          <w:lang w:val="en-US" w:eastAsia="zh-CN"/>
        </w:rPr>
        <w:t xml:space="preserve">         </w:t>
      </w:r>
      <w:r>
        <w:rPr>
          <w:rFonts w:hint="eastAsia" w:ascii="宋体" w:hAnsi="宋体" w:cs="宋体"/>
          <w:i w:val="0"/>
          <w:iCs w:val="0"/>
          <w:color w:val="auto"/>
          <w:sz w:val="24"/>
          <w:highlight w:val="none"/>
          <w:u w:val="none"/>
        </w:rPr>
        <w:t>。</w:t>
      </w:r>
    </w:p>
    <w:p w14:paraId="75FAA4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rPr>
        <w:t>乙方指定联系人/法定代表人：</w:t>
      </w:r>
      <w:r>
        <w:rPr>
          <w:rFonts w:hint="eastAsia"/>
          <w:color w:val="auto"/>
          <w:sz w:val="24"/>
          <w:highlight w:val="none"/>
          <w:u w:val="single"/>
          <w:lang w:val="en-US" w:eastAsia="zh-CN"/>
        </w:rPr>
        <w:t xml:space="preserve">         </w:t>
      </w:r>
      <w:r>
        <w:rPr>
          <w:rFonts w:hint="eastAsia" w:ascii="宋体" w:hAnsi="宋体" w:cs="宋体"/>
          <w:color w:val="auto"/>
          <w:sz w:val="24"/>
          <w:highlight w:val="none"/>
        </w:rPr>
        <w:t>，联系电话：</w:t>
      </w:r>
      <w:r>
        <w:rPr>
          <w:rFonts w:hint="eastAsia"/>
          <w:color w:val="auto"/>
          <w:sz w:val="24"/>
          <w:highlight w:val="none"/>
          <w:u w:val="single"/>
          <w:lang w:val="en-US" w:eastAsia="zh-CN"/>
        </w:rPr>
        <w:t xml:space="preserve">         </w:t>
      </w:r>
      <w:r>
        <w:rPr>
          <w:rFonts w:hint="eastAsia" w:ascii="宋体" w:hAnsi="宋体" w:cs="宋体"/>
          <w:color w:val="auto"/>
          <w:sz w:val="24"/>
          <w:highlight w:val="none"/>
        </w:rPr>
        <w:t>，联系地址：</w:t>
      </w:r>
      <w:r>
        <w:rPr>
          <w:rFonts w:hint="eastAsia"/>
          <w:color w:val="auto"/>
          <w:sz w:val="24"/>
          <w:highlight w:val="none"/>
          <w:u w:val="single"/>
          <w:lang w:val="en-US" w:eastAsia="zh-CN"/>
        </w:rPr>
        <w:t xml:space="preserve">         </w:t>
      </w:r>
      <w:r>
        <w:rPr>
          <w:rFonts w:hint="eastAsia" w:ascii="宋体" w:hAnsi="宋体" w:cs="宋体"/>
          <w:color w:val="auto"/>
          <w:sz w:val="24"/>
          <w:highlight w:val="none"/>
          <w:lang w:eastAsia="zh-CN"/>
        </w:rPr>
        <w:t>。</w:t>
      </w:r>
    </w:p>
    <w:p w14:paraId="1F21CC2A">
      <w:pPr>
        <w:keepNext w:val="0"/>
        <w:keepLines w:val="0"/>
        <w:pageBreakBefore w:val="0"/>
        <w:widowControl w:val="0"/>
        <w:kinsoku/>
        <w:wordWrap/>
        <w:overflowPunct/>
        <w:topLinePunct w:val="0"/>
        <w:autoSpaceDE/>
        <w:autoSpaceDN/>
        <w:bidi w:val="0"/>
        <w:adjustRightInd/>
        <w:snapToGrid/>
        <w:spacing w:line="360" w:lineRule="auto"/>
        <w:textAlignment w:val="auto"/>
        <w:rPr>
          <w:b/>
          <w:bCs/>
          <w:color w:val="auto"/>
          <w:sz w:val="24"/>
          <w:highlight w:val="none"/>
        </w:rPr>
      </w:pPr>
      <w:r>
        <w:rPr>
          <w:rFonts w:hint="eastAsia"/>
          <w:b/>
          <w:bCs/>
          <w:color w:val="auto"/>
          <w:sz w:val="24"/>
          <w:highlight w:val="none"/>
          <w:lang w:val="en-US" w:eastAsia="zh-CN"/>
        </w:rPr>
        <w:t>十、</w:t>
      </w:r>
      <w:r>
        <w:rPr>
          <w:rFonts w:hint="eastAsia"/>
          <w:b/>
          <w:bCs/>
          <w:color w:val="auto"/>
          <w:sz w:val="24"/>
          <w:highlight w:val="none"/>
        </w:rPr>
        <w:t>其他</w:t>
      </w:r>
    </w:p>
    <w:p w14:paraId="6D2FE3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highlight w:val="none"/>
        </w:rPr>
      </w:pPr>
      <w:r>
        <w:rPr>
          <w:rFonts w:hint="eastAsia"/>
          <w:color w:val="auto"/>
          <w:sz w:val="24"/>
          <w:highlight w:val="none"/>
        </w:rPr>
        <w:t>本</w:t>
      </w:r>
      <w:r>
        <w:rPr>
          <w:rFonts w:hint="eastAsia"/>
          <w:color w:val="auto"/>
          <w:sz w:val="24"/>
          <w:highlight w:val="none"/>
          <w:lang w:eastAsia="zh-CN"/>
        </w:rPr>
        <w:t>协议</w:t>
      </w:r>
      <w:r>
        <w:rPr>
          <w:rFonts w:hint="eastAsia"/>
          <w:color w:val="auto"/>
          <w:sz w:val="24"/>
          <w:highlight w:val="none"/>
        </w:rPr>
        <w:t>一式</w:t>
      </w:r>
      <w:r>
        <w:rPr>
          <w:rFonts w:hint="eastAsia"/>
          <w:color w:val="auto"/>
          <w:sz w:val="24"/>
          <w:highlight w:val="none"/>
          <w:lang w:val="en-US" w:eastAsia="zh-CN"/>
        </w:rPr>
        <w:t>贰</w:t>
      </w:r>
      <w:r>
        <w:rPr>
          <w:rFonts w:hint="eastAsia"/>
          <w:color w:val="auto"/>
          <w:sz w:val="24"/>
          <w:highlight w:val="none"/>
        </w:rPr>
        <w:t>份，经双方法定代表人或委托代理人签字并加盖公司公章后生效</w:t>
      </w:r>
      <w:r>
        <w:rPr>
          <w:rFonts w:hint="eastAsia"/>
          <w:color w:val="auto"/>
          <w:sz w:val="24"/>
          <w:highlight w:val="none"/>
          <w:lang w:eastAsia="zh-CN"/>
        </w:rPr>
        <w:t>，</w:t>
      </w:r>
      <w:r>
        <w:rPr>
          <w:rFonts w:hint="eastAsia"/>
          <w:color w:val="auto"/>
          <w:sz w:val="24"/>
          <w:highlight w:val="none"/>
        </w:rPr>
        <w:t>甲方执</w:t>
      </w:r>
      <w:r>
        <w:rPr>
          <w:rFonts w:hint="eastAsia"/>
          <w:color w:val="auto"/>
          <w:sz w:val="24"/>
          <w:highlight w:val="none"/>
          <w:lang w:val="en-US" w:eastAsia="zh-CN"/>
        </w:rPr>
        <w:t>壹</w:t>
      </w:r>
      <w:r>
        <w:rPr>
          <w:rFonts w:hint="eastAsia"/>
          <w:color w:val="auto"/>
          <w:sz w:val="24"/>
          <w:highlight w:val="none"/>
        </w:rPr>
        <w:t>份，乙方执</w:t>
      </w:r>
      <w:r>
        <w:rPr>
          <w:rFonts w:hint="eastAsia"/>
          <w:color w:val="auto"/>
          <w:sz w:val="24"/>
          <w:highlight w:val="none"/>
          <w:lang w:val="en-US" w:eastAsia="zh-CN"/>
        </w:rPr>
        <w:t>壹</w:t>
      </w:r>
      <w:r>
        <w:rPr>
          <w:rFonts w:hint="eastAsia"/>
          <w:color w:val="auto"/>
          <w:sz w:val="24"/>
          <w:highlight w:val="none"/>
        </w:rPr>
        <w:t>份，具有同等的法律效力。</w:t>
      </w:r>
    </w:p>
    <w:p w14:paraId="18BD1829">
      <w:pPr>
        <w:spacing w:line="360" w:lineRule="auto"/>
        <w:rPr>
          <w:rFonts w:hint="eastAsia"/>
          <w:color w:val="auto"/>
          <w:sz w:val="24"/>
          <w:highlight w:val="none"/>
        </w:rPr>
      </w:pPr>
    </w:p>
    <w:p w14:paraId="0E5EA8EB">
      <w:pPr>
        <w:spacing w:line="360" w:lineRule="auto"/>
        <w:rPr>
          <w:rFonts w:hint="eastAsia"/>
          <w:color w:val="auto"/>
          <w:sz w:val="24"/>
          <w:highlight w:val="none"/>
        </w:rPr>
      </w:pPr>
      <w:r>
        <w:rPr>
          <w:rFonts w:hint="eastAsia"/>
          <w:color w:val="auto"/>
          <w:sz w:val="24"/>
          <w:highlight w:val="none"/>
        </w:rPr>
        <w:t>（下无正文）</w:t>
      </w:r>
    </w:p>
    <w:p w14:paraId="5FE94FDA">
      <w:pPr>
        <w:spacing w:line="360" w:lineRule="auto"/>
        <w:rPr>
          <w:rFonts w:hint="eastAsia"/>
          <w:color w:val="auto"/>
          <w:sz w:val="24"/>
          <w:highlight w:val="none"/>
        </w:rPr>
      </w:pPr>
    </w:p>
    <w:p w14:paraId="5FE69730">
      <w:pPr>
        <w:spacing w:line="360" w:lineRule="auto"/>
        <w:rPr>
          <w:rFonts w:hint="eastAsia"/>
          <w:color w:val="auto"/>
          <w:sz w:val="24"/>
          <w:highlight w:val="none"/>
        </w:rPr>
      </w:pPr>
    </w:p>
    <w:p w14:paraId="7B9B6C88">
      <w:pPr>
        <w:spacing w:line="360" w:lineRule="auto"/>
        <w:rPr>
          <w:rFonts w:hint="eastAsia"/>
          <w:color w:val="auto"/>
          <w:sz w:val="24"/>
          <w:highlight w:val="none"/>
        </w:rPr>
      </w:pPr>
    </w:p>
    <w:p w14:paraId="0F97ABE3">
      <w:pPr>
        <w:spacing w:line="360" w:lineRule="auto"/>
        <w:rPr>
          <w:rFonts w:hint="eastAsia"/>
          <w:color w:val="auto"/>
          <w:sz w:val="24"/>
          <w:highlight w:val="none"/>
        </w:rPr>
      </w:pPr>
    </w:p>
    <w:p w14:paraId="10991547">
      <w:pPr>
        <w:spacing w:line="360" w:lineRule="auto"/>
        <w:rPr>
          <w:rFonts w:hint="eastAsia"/>
          <w:color w:val="auto"/>
          <w:sz w:val="24"/>
          <w:highlight w:val="none"/>
        </w:rPr>
      </w:pPr>
    </w:p>
    <w:p w14:paraId="3FCF71A7">
      <w:pPr>
        <w:spacing w:line="360" w:lineRule="auto"/>
        <w:rPr>
          <w:rFonts w:hint="eastAsia"/>
          <w:color w:val="auto"/>
          <w:sz w:val="24"/>
          <w:highlight w:val="none"/>
        </w:rPr>
      </w:pPr>
    </w:p>
    <w:p w14:paraId="343C924A">
      <w:pPr>
        <w:pStyle w:val="2"/>
        <w:rPr>
          <w:rFonts w:hint="eastAsia"/>
          <w:color w:val="auto"/>
          <w:sz w:val="24"/>
          <w:highlight w:val="none"/>
        </w:rPr>
      </w:pPr>
    </w:p>
    <w:p w14:paraId="72A8A101">
      <w:pPr>
        <w:rPr>
          <w:rFonts w:hint="eastAsia"/>
          <w:color w:val="auto"/>
          <w:sz w:val="24"/>
          <w:highlight w:val="none"/>
        </w:rPr>
      </w:pPr>
    </w:p>
    <w:p w14:paraId="24FC354A">
      <w:pPr>
        <w:pStyle w:val="2"/>
        <w:rPr>
          <w:rFonts w:hint="eastAsia"/>
          <w:color w:val="auto"/>
          <w:sz w:val="24"/>
          <w:highlight w:val="none"/>
        </w:rPr>
      </w:pPr>
    </w:p>
    <w:p w14:paraId="05348661">
      <w:pPr>
        <w:rPr>
          <w:rFonts w:hint="eastAsia"/>
          <w:color w:val="auto"/>
          <w:sz w:val="24"/>
          <w:highlight w:val="none"/>
        </w:rPr>
      </w:pPr>
    </w:p>
    <w:p w14:paraId="42A102E2">
      <w:pPr>
        <w:pStyle w:val="2"/>
        <w:rPr>
          <w:rFonts w:hint="eastAsia"/>
          <w:color w:val="auto"/>
          <w:sz w:val="24"/>
          <w:highlight w:val="none"/>
        </w:rPr>
      </w:pPr>
    </w:p>
    <w:p w14:paraId="611418B4">
      <w:pPr>
        <w:rPr>
          <w:rFonts w:hint="eastAsia"/>
          <w:color w:val="auto"/>
          <w:sz w:val="24"/>
          <w:highlight w:val="none"/>
        </w:rPr>
      </w:pPr>
    </w:p>
    <w:p w14:paraId="1AD1C5D4">
      <w:pPr>
        <w:pStyle w:val="2"/>
        <w:rPr>
          <w:rFonts w:hint="eastAsia"/>
          <w:color w:val="auto"/>
          <w:sz w:val="24"/>
          <w:highlight w:val="none"/>
        </w:rPr>
      </w:pPr>
    </w:p>
    <w:p w14:paraId="13B53DE7">
      <w:pPr>
        <w:rPr>
          <w:rFonts w:hint="eastAsia"/>
          <w:color w:val="auto"/>
          <w:highlight w:val="none"/>
        </w:rPr>
      </w:pPr>
    </w:p>
    <w:p w14:paraId="6487B5C8">
      <w:pPr>
        <w:rPr>
          <w:rFonts w:hint="eastAsia"/>
          <w:color w:val="auto"/>
          <w:highlight w:val="none"/>
        </w:rPr>
      </w:pPr>
    </w:p>
    <w:p w14:paraId="305A21BE">
      <w:pPr>
        <w:spacing w:line="360" w:lineRule="auto"/>
        <w:rPr>
          <w:rFonts w:hint="eastAsia"/>
          <w:color w:val="auto"/>
          <w:sz w:val="24"/>
          <w:highlight w:val="none"/>
        </w:rPr>
      </w:pPr>
    </w:p>
    <w:p w14:paraId="416756A3">
      <w:pPr>
        <w:pStyle w:val="2"/>
        <w:rPr>
          <w:rFonts w:hint="eastAsia"/>
          <w:color w:val="auto"/>
          <w:highlight w:val="none"/>
        </w:rPr>
      </w:pPr>
    </w:p>
    <w:p w14:paraId="1B5BE487">
      <w:pPr>
        <w:spacing w:line="720" w:lineRule="auto"/>
        <w:rPr>
          <w:rFonts w:hint="default"/>
          <w:color w:val="auto"/>
          <w:sz w:val="24"/>
          <w:highlight w:val="none"/>
          <w:lang w:val="en-US" w:eastAsia="zh-CN"/>
        </w:rPr>
      </w:pPr>
      <w:r>
        <w:rPr>
          <w:rFonts w:hint="eastAsia"/>
          <w:color w:val="auto"/>
          <w:sz w:val="24"/>
          <w:highlight w:val="none"/>
          <w:lang w:val="en-US" w:eastAsia="zh-CN"/>
        </w:rPr>
        <w:t xml:space="preserve">委托单位名称（盖章）：  </w:t>
      </w:r>
    </w:p>
    <w:p w14:paraId="137B968F">
      <w:pPr>
        <w:pStyle w:val="2"/>
        <w:rPr>
          <w:rFonts w:hint="default"/>
          <w:b w:val="0"/>
          <w:bCs/>
          <w:color w:val="auto"/>
          <w:highlight w:val="none"/>
          <w:lang w:val="en-US" w:eastAsia="zh-CN"/>
        </w:rPr>
      </w:pPr>
      <w:r>
        <w:rPr>
          <w:rFonts w:hint="eastAsia"/>
          <w:b w:val="0"/>
          <w:bCs/>
          <w:color w:val="auto"/>
          <w:sz w:val="24"/>
          <w:highlight w:val="none"/>
          <w:lang w:val="en-US" w:eastAsia="zh-CN"/>
        </w:rPr>
        <w:t>法定代表人或委托代理人（签字或盖章）：</w:t>
      </w:r>
    </w:p>
    <w:p w14:paraId="6F3AC038">
      <w:pPr>
        <w:spacing w:line="720" w:lineRule="auto"/>
        <w:rPr>
          <w:rFonts w:hint="eastAsia"/>
          <w:color w:val="auto"/>
          <w:sz w:val="24"/>
          <w:highlight w:val="none"/>
          <w:lang w:val="en-US" w:eastAsia="zh-CN"/>
        </w:rPr>
      </w:pPr>
      <w:r>
        <w:rPr>
          <w:rFonts w:hint="eastAsia"/>
          <w:color w:val="auto"/>
          <w:sz w:val="24"/>
          <w:highlight w:val="none"/>
          <w:lang w:val="en-US" w:eastAsia="zh-CN"/>
        </w:rPr>
        <w:t xml:space="preserve">经办人：                   </w:t>
      </w:r>
    </w:p>
    <w:p w14:paraId="5B6D85A9">
      <w:pPr>
        <w:spacing w:line="720" w:lineRule="auto"/>
        <w:rPr>
          <w:rFonts w:hint="default"/>
          <w:color w:val="auto"/>
          <w:sz w:val="24"/>
          <w:highlight w:val="none"/>
          <w:lang w:val="en-US" w:eastAsia="zh-CN"/>
        </w:rPr>
      </w:pPr>
      <w:r>
        <w:rPr>
          <w:rFonts w:hint="eastAsia"/>
          <w:color w:val="auto"/>
          <w:sz w:val="24"/>
          <w:highlight w:val="none"/>
          <w:lang w:val="en-US" w:eastAsia="zh-CN"/>
        </w:rPr>
        <w:t>联系电话：</w:t>
      </w:r>
    </w:p>
    <w:p w14:paraId="176587AE">
      <w:pPr>
        <w:spacing w:line="720" w:lineRule="auto"/>
        <w:rPr>
          <w:rFonts w:hint="eastAsia"/>
          <w:color w:val="auto"/>
          <w:sz w:val="24"/>
          <w:highlight w:val="none"/>
          <w:lang w:val="en-US" w:eastAsia="zh-CN"/>
        </w:rPr>
      </w:pPr>
      <w:r>
        <w:rPr>
          <w:rFonts w:hint="eastAsia"/>
          <w:color w:val="auto"/>
          <w:sz w:val="24"/>
          <w:highlight w:val="none"/>
          <w:lang w:val="en-US" w:eastAsia="zh-CN"/>
        </w:rPr>
        <w:t xml:space="preserve">地址：                             </w:t>
      </w:r>
    </w:p>
    <w:p w14:paraId="60FD5196">
      <w:pPr>
        <w:spacing w:line="720" w:lineRule="auto"/>
        <w:rPr>
          <w:rFonts w:hint="default"/>
          <w:color w:val="auto"/>
          <w:sz w:val="24"/>
          <w:highlight w:val="none"/>
          <w:lang w:val="en-US" w:eastAsia="zh-CN"/>
        </w:rPr>
      </w:pPr>
      <w:r>
        <w:rPr>
          <w:rFonts w:hint="eastAsia"/>
          <w:color w:val="auto"/>
          <w:sz w:val="24"/>
          <w:highlight w:val="none"/>
          <w:lang w:val="en-US" w:eastAsia="zh-CN"/>
        </w:rPr>
        <w:t>邮编：</w:t>
      </w:r>
    </w:p>
    <w:p w14:paraId="34003B18">
      <w:pPr>
        <w:pStyle w:val="2"/>
        <w:rPr>
          <w:rFonts w:hint="eastAsia"/>
          <w:b w:val="0"/>
          <w:bCs/>
          <w:color w:val="auto"/>
          <w:sz w:val="24"/>
          <w:highlight w:val="none"/>
          <w:lang w:val="en-US" w:eastAsia="zh-CN"/>
        </w:rPr>
      </w:pPr>
      <w:r>
        <w:rPr>
          <w:rFonts w:hint="eastAsia"/>
          <w:b w:val="0"/>
          <w:bCs/>
          <w:color w:val="auto"/>
          <w:sz w:val="24"/>
          <w:highlight w:val="none"/>
          <w:lang w:val="en-US" w:eastAsia="zh-CN"/>
        </w:rPr>
        <w:t>签订日期：    年    月    日</w:t>
      </w:r>
    </w:p>
    <w:p w14:paraId="31C56C82">
      <w:pPr>
        <w:rPr>
          <w:rFonts w:hint="eastAsia"/>
          <w:b w:val="0"/>
          <w:bCs/>
          <w:color w:val="auto"/>
          <w:sz w:val="24"/>
          <w:highlight w:val="none"/>
          <w:lang w:val="en-US" w:eastAsia="zh-CN"/>
        </w:rPr>
      </w:pPr>
    </w:p>
    <w:p w14:paraId="27A0699C">
      <w:pPr>
        <w:pStyle w:val="2"/>
        <w:rPr>
          <w:rFonts w:hint="default"/>
          <w:color w:val="auto"/>
          <w:highlight w:val="none"/>
          <w:lang w:val="en-US" w:eastAsia="zh-CN"/>
        </w:rPr>
      </w:pPr>
    </w:p>
    <w:p w14:paraId="0ED1F064">
      <w:pPr>
        <w:spacing w:line="720" w:lineRule="auto"/>
        <w:rPr>
          <w:rFonts w:hint="eastAsia"/>
          <w:color w:val="auto"/>
          <w:sz w:val="24"/>
          <w:highlight w:val="none"/>
          <w:lang w:val="en-US" w:eastAsia="zh-CN"/>
        </w:rPr>
      </w:pPr>
      <w:r>
        <w:rPr>
          <w:rFonts w:hint="eastAsia"/>
          <w:color w:val="auto"/>
          <w:sz w:val="24"/>
          <w:highlight w:val="none"/>
          <w:lang w:val="en-US" w:eastAsia="zh-CN"/>
        </w:rPr>
        <w:t xml:space="preserve">检测单位名称（盖章）：   </w:t>
      </w:r>
    </w:p>
    <w:p w14:paraId="2172676D">
      <w:pPr>
        <w:spacing w:line="720" w:lineRule="auto"/>
        <w:rPr>
          <w:rFonts w:hint="eastAsia"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法定代表人或委托代理人（签字或盖章）：</w:t>
      </w:r>
    </w:p>
    <w:p w14:paraId="27E8C315">
      <w:pPr>
        <w:spacing w:line="720" w:lineRule="auto"/>
        <w:rPr>
          <w:rFonts w:hint="eastAsia"/>
          <w:color w:val="auto"/>
          <w:sz w:val="24"/>
          <w:highlight w:val="none"/>
          <w:lang w:val="en-US" w:eastAsia="zh-CN"/>
        </w:rPr>
      </w:pPr>
      <w:r>
        <w:rPr>
          <w:rFonts w:hint="eastAsia"/>
          <w:color w:val="auto"/>
          <w:sz w:val="24"/>
          <w:highlight w:val="none"/>
          <w:lang w:val="en-US" w:eastAsia="zh-CN"/>
        </w:rPr>
        <w:t>经办人：</w:t>
      </w:r>
      <w:r>
        <w:rPr>
          <w:rFonts w:hint="eastAsia" w:ascii="Times New Roman" w:hAnsi="Times New Roman" w:eastAsia="宋体" w:cs="Times New Roman"/>
          <w:color w:val="auto"/>
          <w:sz w:val="24"/>
          <w:highlight w:val="none"/>
          <w:lang w:val="en-US" w:eastAsia="zh-CN"/>
        </w:rPr>
        <w:t xml:space="preserve">                     </w:t>
      </w:r>
      <w:r>
        <w:rPr>
          <w:rFonts w:hint="eastAsia"/>
          <w:color w:val="auto"/>
          <w:sz w:val="24"/>
          <w:highlight w:val="none"/>
          <w:lang w:val="en-US" w:eastAsia="zh-CN"/>
        </w:rPr>
        <w:t xml:space="preserve"> </w:t>
      </w:r>
    </w:p>
    <w:p w14:paraId="0A4A84C7">
      <w:pPr>
        <w:spacing w:line="720" w:lineRule="auto"/>
        <w:rPr>
          <w:rFonts w:hint="default"/>
          <w:color w:val="auto"/>
          <w:sz w:val="24"/>
          <w:highlight w:val="none"/>
          <w:lang w:val="en-US" w:eastAsia="zh-CN"/>
        </w:rPr>
      </w:pPr>
      <w:r>
        <w:rPr>
          <w:rFonts w:hint="eastAsia"/>
          <w:color w:val="auto"/>
          <w:sz w:val="24"/>
          <w:highlight w:val="none"/>
          <w:lang w:val="en-US" w:eastAsia="zh-CN"/>
        </w:rPr>
        <w:t xml:space="preserve">联系电话： </w:t>
      </w:r>
    </w:p>
    <w:p w14:paraId="240610DE">
      <w:pPr>
        <w:spacing w:line="720" w:lineRule="auto"/>
        <w:rPr>
          <w:rFonts w:hint="eastAsia"/>
          <w:color w:val="auto"/>
          <w:sz w:val="24"/>
          <w:highlight w:val="none"/>
          <w:lang w:val="en-US" w:eastAsia="zh-CN"/>
        </w:rPr>
      </w:pPr>
      <w:r>
        <w:rPr>
          <w:rFonts w:hint="eastAsia"/>
          <w:color w:val="auto"/>
          <w:sz w:val="24"/>
          <w:highlight w:val="none"/>
          <w:lang w:val="en-US" w:eastAsia="zh-CN"/>
        </w:rPr>
        <w:t xml:space="preserve">地址：         </w:t>
      </w:r>
    </w:p>
    <w:p w14:paraId="319B852B">
      <w:pPr>
        <w:spacing w:line="720" w:lineRule="auto"/>
        <w:rPr>
          <w:rFonts w:hint="eastAsia"/>
          <w:color w:val="auto"/>
          <w:sz w:val="24"/>
          <w:highlight w:val="none"/>
          <w:lang w:val="en-US" w:eastAsia="zh-CN"/>
        </w:rPr>
      </w:pPr>
      <w:r>
        <w:rPr>
          <w:rFonts w:hint="eastAsia"/>
          <w:color w:val="auto"/>
          <w:sz w:val="24"/>
          <w:highlight w:val="none"/>
          <w:lang w:val="en-US" w:eastAsia="zh-CN"/>
        </w:rPr>
        <w:t>邮编：</w:t>
      </w:r>
    </w:p>
    <w:p w14:paraId="33E9A90A">
      <w:pPr>
        <w:spacing w:line="720" w:lineRule="auto"/>
        <w:rPr>
          <w:rFonts w:hint="eastAsia"/>
          <w:color w:val="auto"/>
          <w:sz w:val="24"/>
          <w:highlight w:val="none"/>
          <w:lang w:val="en-US" w:eastAsia="zh-CN"/>
        </w:rPr>
      </w:pPr>
      <w:r>
        <w:rPr>
          <w:rFonts w:hint="eastAsia"/>
          <w:color w:val="auto"/>
          <w:sz w:val="24"/>
          <w:highlight w:val="none"/>
          <w:lang w:val="en-US" w:eastAsia="zh-CN"/>
        </w:rPr>
        <w:t>开户银行：</w:t>
      </w:r>
    </w:p>
    <w:p w14:paraId="44B9CEDE">
      <w:pPr>
        <w:spacing w:line="720" w:lineRule="auto"/>
        <w:rPr>
          <w:rFonts w:hint="eastAsia"/>
          <w:color w:val="auto"/>
          <w:sz w:val="24"/>
          <w:highlight w:val="none"/>
          <w:lang w:val="en-US" w:eastAsia="zh-CN"/>
        </w:rPr>
      </w:pPr>
      <w:r>
        <w:rPr>
          <w:rFonts w:hint="eastAsia"/>
          <w:color w:val="auto"/>
          <w:sz w:val="24"/>
          <w:highlight w:val="none"/>
          <w:lang w:val="en-US" w:eastAsia="zh-CN"/>
        </w:rPr>
        <w:t>银行账号：</w:t>
      </w:r>
    </w:p>
    <w:p w14:paraId="3295E072">
      <w:pPr>
        <w:spacing w:line="240" w:lineRule="auto"/>
        <w:rPr>
          <w:color w:val="auto"/>
          <w:highlight w:val="none"/>
        </w:rPr>
      </w:pPr>
      <w:r>
        <w:rPr>
          <w:rFonts w:hint="eastAsia"/>
          <w:color w:val="auto"/>
          <w:sz w:val="24"/>
          <w:highlight w:val="none"/>
          <w:lang w:val="en-US" w:eastAsia="zh-CN"/>
        </w:rPr>
        <w:t>签订日期：    年    月    日</w:t>
      </w:r>
    </w:p>
    <w:p w14:paraId="1ABFB7AC">
      <w:pPr>
        <w:rPr>
          <w:color w:val="auto"/>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05068C"/>
    <w:multiLevelType w:val="singleLevel"/>
    <w:tmpl w:val="9C05068C"/>
    <w:lvl w:ilvl="0" w:tentative="0">
      <w:start w:val="6"/>
      <w:numFmt w:val="chineseCounting"/>
      <w:suff w:val="nothing"/>
      <w:lvlText w:val="%1、"/>
      <w:lvlJc w:val="left"/>
      <w:rPr>
        <w:rFonts w:hint="eastAsia"/>
      </w:rPr>
    </w:lvl>
  </w:abstractNum>
  <w:abstractNum w:abstractNumId="1">
    <w:nsid w:val="642C84C5"/>
    <w:multiLevelType w:val="singleLevel"/>
    <w:tmpl w:val="642C84C5"/>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6"/>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GExNzZiOGIyMzM1YjM0MDQ4ZGQ0MjZiMGU2NDM2MGUifQ=="/>
  </w:docVars>
  <w:rsids>
    <w:rsidRoot w:val="00AF6158"/>
    <w:rsid w:val="00AE7003"/>
    <w:rsid w:val="00AF6158"/>
    <w:rsid w:val="00E31842"/>
    <w:rsid w:val="00F76805"/>
    <w:rsid w:val="013B2B96"/>
    <w:rsid w:val="020A2568"/>
    <w:rsid w:val="02446995"/>
    <w:rsid w:val="029C397E"/>
    <w:rsid w:val="02A429BD"/>
    <w:rsid w:val="03900595"/>
    <w:rsid w:val="0455550B"/>
    <w:rsid w:val="06153587"/>
    <w:rsid w:val="06677F89"/>
    <w:rsid w:val="06CB1B26"/>
    <w:rsid w:val="070D6D82"/>
    <w:rsid w:val="073F0F06"/>
    <w:rsid w:val="073F2CB4"/>
    <w:rsid w:val="07E8334B"/>
    <w:rsid w:val="0802440D"/>
    <w:rsid w:val="092C1016"/>
    <w:rsid w:val="09830489"/>
    <w:rsid w:val="0AFF3250"/>
    <w:rsid w:val="0B1E6D2B"/>
    <w:rsid w:val="0B2B5A29"/>
    <w:rsid w:val="0B376DE5"/>
    <w:rsid w:val="0B7C44D7"/>
    <w:rsid w:val="0B9F1C6E"/>
    <w:rsid w:val="0BA53A2D"/>
    <w:rsid w:val="0BF24799"/>
    <w:rsid w:val="0D1F6438"/>
    <w:rsid w:val="0D523741"/>
    <w:rsid w:val="0DD26630"/>
    <w:rsid w:val="0E02382F"/>
    <w:rsid w:val="0EBE5C87"/>
    <w:rsid w:val="0F184516"/>
    <w:rsid w:val="1025513D"/>
    <w:rsid w:val="10C61036"/>
    <w:rsid w:val="10CF50A9"/>
    <w:rsid w:val="127A5355"/>
    <w:rsid w:val="12B26A30"/>
    <w:rsid w:val="13A30B60"/>
    <w:rsid w:val="141D19E5"/>
    <w:rsid w:val="14860174"/>
    <w:rsid w:val="15657D89"/>
    <w:rsid w:val="156D4E90"/>
    <w:rsid w:val="15AC7633"/>
    <w:rsid w:val="16551BAC"/>
    <w:rsid w:val="165619F6"/>
    <w:rsid w:val="16AB2114"/>
    <w:rsid w:val="174F00AA"/>
    <w:rsid w:val="179D6684"/>
    <w:rsid w:val="18842C1C"/>
    <w:rsid w:val="18C354F3"/>
    <w:rsid w:val="198729C4"/>
    <w:rsid w:val="19EF6C6A"/>
    <w:rsid w:val="1A057D8D"/>
    <w:rsid w:val="1A195D72"/>
    <w:rsid w:val="1A554870"/>
    <w:rsid w:val="1AD91549"/>
    <w:rsid w:val="1AFE6CB6"/>
    <w:rsid w:val="1B0B0216"/>
    <w:rsid w:val="1BA0104F"/>
    <w:rsid w:val="1C6F7740"/>
    <w:rsid w:val="1CB25FAA"/>
    <w:rsid w:val="1D48246B"/>
    <w:rsid w:val="1E566E09"/>
    <w:rsid w:val="1E7C7342"/>
    <w:rsid w:val="1F915AF7"/>
    <w:rsid w:val="200A5C3B"/>
    <w:rsid w:val="20C506FA"/>
    <w:rsid w:val="20F800F7"/>
    <w:rsid w:val="210E7527"/>
    <w:rsid w:val="211865F8"/>
    <w:rsid w:val="218E68BA"/>
    <w:rsid w:val="228C104B"/>
    <w:rsid w:val="23AF0A20"/>
    <w:rsid w:val="23BF0FAD"/>
    <w:rsid w:val="269645D6"/>
    <w:rsid w:val="28722A91"/>
    <w:rsid w:val="28B210E0"/>
    <w:rsid w:val="28D97073"/>
    <w:rsid w:val="29363ABF"/>
    <w:rsid w:val="29816AEF"/>
    <w:rsid w:val="29BE451B"/>
    <w:rsid w:val="29F11041"/>
    <w:rsid w:val="2A176046"/>
    <w:rsid w:val="2A6578AF"/>
    <w:rsid w:val="2B2C33CC"/>
    <w:rsid w:val="2B3E5A4C"/>
    <w:rsid w:val="2B5061C7"/>
    <w:rsid w:val="2B8E7BE2"/>
    <w:rsid w:val="2C47211C"/>
    <w:rsid w:val="2CD930DF"/>
    <w:rsid w:val="2DF05631"/>
    <w:rsid w:val="2EF835C5"/>
    <w:rsid w:val="2F4D47A1"/>
    <w:rsid w:val="30901D07"/>
    <w:rsid w:val="323963CE"/>
    <w:rsid w:val="32917FB8"/>
    <w:rsid w:val="32AB0D19"/>
    <w:rsid w:val="338E62A6"/>
    <w:rsid w:val="342F7A89"/>
    <w:rsid w:val="344E43B3"/>
    <w:rsid w:val="359D0A22"/>
    <w:rsid w:val="35A16764"/>
    <w:rsid w:val="360742C7"/>
    <w:rsid w:val="368B0C2E"/>
    <w:rsid w:val="36DB5CA6"/>
    <w:rsid w:val="37035E09"/>
    <w:rsid w:val="37163497"/>
    <w:rsid w:val="371723D5"/>
    <w:rsid w:val="37F93AD8"/>
    <w:rsid w:val="3825367C"/>
    <w:rsid w:val="394979F3"/>
    <w:rsid w:val="3951224F"/>
    <w:rsid w:val="39902D77"/>
    <w:rsid w:val="39DC420F"/>
    <w:rsid w:val="3AD44EE6"/>
    <w:rsid w:val="3AD92F0E"/>
    <w:rsid w:val="3B031340"/>
    <w:rsid w:val="3B4A6029"/>
    <w:rsid w:val="3BB44F02"/>
    <w:rsid w:val="3C1F6635"/>
    <w:rsid w:val="3CF17FD1"/>
    <w:rsid w:val="3DC07C0C"/>
    <w:rsid w:val="3E246F3E"/>
    <w:rsid w:val="3F8E1B07"/>
    <w:rsid w:val="3F905353"/>
    <w:rsid w:val="3FB94FF8"/>
    <w:rsid w:val="4037219F"/>
    <w:rsid w:val="40A928A5"/>
    <w:rsid w:val="414829F5"/>
    <w:rsid w:val="41BB0BAE"/>
    <w:rsid w:val="41E2613A"/>
    <w:rsid w:val="42672AE3"/>
    <w:rsid w:val="42890CAC"/>
    <w:rsid w:val="42F8596C"/>
    <w:rsid w:val="42F97BDF"/>
    <w:rsid w:val="43E64903"/>
    <w:rsid w:val="44670B79"/>
    <w:rsid w:val="44C71617"/>
    <w:rsid w:val="44F248E6"/>
    <w:rsid w:val="454669E0"/>
    <w:rsid w:val="45572C75"/>
    <w:rsid w:val="45C5024D"/>
    <w:rsid w:val="464C24B4"/>
    <w:rsid w:val="471636CC"/>
    <w:rsid w:val="475F5F1A"/>
    <w:rsid w:val="47CF7161"/>
    <w:rsid w:val="47D74267"/>
    <w:rsid w:val="47F92430"/>
    <w:rsid w:val="481B4FF3"/>
    <w:rsid w:val="481C1C7A"/>
    <w:rsid w:val="493C500E"/>
    <w:rsid w:val="49416FAD"/>
    <w:rsid w:val="498C53EF"/>
    <w:rsid w:val="4A070E34"/>
    <w:rsid w:val="4A646B66"/>
    <w:rsid w:val="4A761C00"/>
    <w:rsid w:val="4ACE00B8"/>
    <w:rsid w:val="4B1A6945"/>
    <w:rsid w:val="4B6D116B"/>
    <w:rsid w:val="4B6E1720"/>
    <w:rsid w:val="4BBA1ED6"/>
    <w:rsid w:val="4C4A325A"/>
    <w:rsid w:val="4CB22BAD"/>
    <w:rsid w:val="4D8B58D8"/>
    <w:rsid w:val="4F1A326F"/>
    <w:rsid w:val="4F6B3C13"/>
    <w:rsid w:val="50D34B34"/>
    <w:rsid w:val="520C2D5F"/>
    <w:rsid w:val="527E5A0B"/>
    <w:rsid w:val="52B863B7"/>
    <w:rsid w:val="53A326ED"/>
    <w:rsid w:val="53B82D1B"/>
    <w:rsid w:val="53F1220D"/>
    <w:rsid w:val="541721B0"/>
    <w:rsid w:val="54BE47E5"/>
    <w:rsid w:val="54F46459"/>
    <w:rsid w:val="551663CF"/>
    <w:rsid w:val="55472A2C"/>
    <w:rsid w:val="5623032F"/>
    <w:rsid w:val="567346BF"/>
    <w:rsid w:val="568D446F"/>
    <w:rsid w:val="56E524FD"/>
    <w:rsid w:val="57AA2DFF"/>
    <w:rsid w:val="585B059D"/>
    <w:rsid w:val="58CD149A"/>
    <w:rsid w:val="5976568E"/>
    <w:rsid w:val="5A736072"/>
    <w:rsid w:val="5B4B2B4A"/>
    <w:rsid w:val="5B5E6E39"/>
    <w:rsid w:val="5BFE7BBD"/>
    <w:rsid w:val="5C14118E"/>
    <w:rsid w:val="5C1878F0"/>
    <w:rsid w:val="5C4750C0"/>
    <w:rsid w:val="5CAE15E3"/>
    <w:rsid w:val="5CDA4186"/>
    <w:rsid w:val="5D9407D9"/>
    <w:rsid w:val="5E39312E"/>
    <w:rsid w:val="5E5B6A7F"/>
    <w:rsid w:val="5F4D6E91"/>
    <w:rsid w:val="5F7238A6"/>
    <w:rsid w:val="600734E4"/>
    <w:rsid w:val="605654FA"/>
    <w:rsid w:val="60E51589"/>
    <w:rsid w:val="60F5158E"/>
    <w:rsid w:val="62A019CE"/>
    <w:rsid w:val="63C508B7"/>
    <w:rsid w:val="63C82F8A"/>
    <w:rsid w:val="64322AF9"/>
    <w:rsid w:val="648B50F9"/>
    <w:rsid w:val="64AE4039"/>
    <w:rsid w:val="65674A25"/>
    <w:rsid w:val="677376B1"/>
    <w:rsid w:val="67BB4BB4"/>
    <w:rsid w:val="693A1EF3"/>
    <w:rsid w:val="695F63CF"/>
    <w:rsid w:val="697D1C09"/>
    <w:rsid w:val="69E5416A"/>
    <w:rsid w:val="6A955B90"/>
    <w:rsid w:val="6C164AAF"/>
    <w:rsid w:val="6D8F76B0"/>
    <w:rsid w:val="6E146DCC"/>
    <w:rsid w:val="6E2A0A4B"/>
    <w:rsid w:val="6E784748"/>
    <w:rsid w:val="6E935F77"/>
    <w:rsid w:val="6E9A3189"/>
    <w:rsid w:val="6EE64CF3"/>
    <w:rsid w:val="6F5E317C"/>
    <w:rsid w:val="6F7B35A7"/>
    <w:rsid w:val="6F9603E0"/>
    <w:rsid w:val="6FFC581C"/>
    <w:rsid w:val="700A0487"/>
    <w:rsid w:val="70821672"/>
    <w:rsid w:val="71074898"/>
    <w:rsid w:val="712D267F"/>
    <w:rsid w:val="71D427DD"/>
    <w:rsid w:val="72693B8A"/>
    <w:rsid w:val="73C117A4"/>
    <w:rsid w:val="7443448F"/>
    <w:rsid w:val="751D6EAE"/>
    <w:rsid w:val="7530273D"/>
    <w:rsid w:val="755A3C5E"/>
    <w:rsid w:val="75714DBB"/>
    <w:rsid w:val="764F3097"/>
    <w:rsid w:val="76C45863"/>
    <w:rsid w:val="7980654F"/>
    <w:rsid w:val="79BE7C0D"/>
    <w:rsid w:val="7A5A2ABB"/>
    <w:rsid w:val="7A6B246A"/>
    <w:rsid w:val="7A7C5514"/>
    <w:rsid w:val="7A7E62CA"/>
    <w:rsid w:val="7A910122"/>
    <w:rsid w:val="7B362932"/>
    <w:rsid w:val="7BD81152"/>
    <w:rsid w:val="7C23124E"/>
    <w:rsid w:val="7C7E46D6"/>
    <w:rsid w:val="7CA96CB0"/>
    <w:rsid w:val="7D0A50E0"/>
    <w:rsid w:val="7D1B0177"/>
    <w:rsid w:val="7D526473"/>
    <w:rsid w:val="7D782ED3"/>
    <w:rsid w:val="7DF87FE0"/>
    <w:rsid w:val="7E767136"/>
    <w:rsid w:val="7F175441"/>
    <w:rsid w:val="7FAB130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2">
    <w:name w:val="Body Text"/>
    <w:basedOn w:val="1"/>
    <w:next w:val="1"/>
    <w:unhideWhenUsed/>
    <w:qFormat/>
    <w:uiPriority w:val="99"/>
    <w:rPr>
      <w:b/>
      <w:sz w:val="24"/>
      <w:szCs w:val="21"/>
    </w:rPr>
  </w:style>
  <w:style w:type="paragraph" w:styleId="3">
    <w:name w:val="annotation text"/>
    <w:basedOn w:val="1"/>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7</Pages>
  <Words>2118</Words>
  <Characters>2168</Characters>
  <Lines>16</Lines>
  <Paragraphs>4</Paragraphs>
  <TotalTime>5</TotalTime>
  <ScaleCrop>false</ScaleCrop>
  <LinksUpToDate>false</LinksUpToDate>
  <CharactersWithSpaces>2391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2023-03-14T07:29:00Z</dcterms:created>
  <dc:creator>麦兜</dc:creator>
  <cp:lastModifiedBy>A1</cp:lastModifiedBy>
  <cp:lastPrinted>2025-02-11T04:05:44Z</cp:lastPrinted>
  <dcterms:modified xsi:type="dcterms:W3CDTF">2025-10-09T12:13:07Z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E73F36FA6C684FCCBD70C8161422DB36_13</vt:lpwstr>
  </property>
  <property fmtid="{D5CDD505-2E9C-101B-9397-08002B2CF9AE}" pid="4" name="KSOTemplateDocerSaveRecord">
    <vt:lpwstr>eyJoZGlkIjoiMWM0MzY2M2Y4MDU3YTgwMjUwZWQ4NGRmODZmNTVmYWQiLCJ1c2VySWQiOiI0OTUyOTA1NzEifQ==</vt:lpwstr>
  </property>
</Properties>
</file>