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929812">
      <w:pPr>
        <w:shd w:val="clear" w:color="auto" w:fill="FFFFFF"/>
        <w:snapToGrid w:val="0"/>
        <w:ind w:firstLine="560"/>
        <w:jc w:val="center"/>
        <w:rPr>
          <w:rFonts w:hint="eastAsia" w:hAnsi="宋体"/>
          <w:b/>
          <w:color w:val="auto"/>
          <w:sz w:val="28"/>
          <w:szCs w:val="20"/>
          <w:highlight w:val="none"/>
        </w:rPr>
      </w:pPr>
      <w:r>
        <w:rPr>
          <w:rFonts w:hint="eastAsia" w:asciiTheme="minorHAnsi" w:hAnsiTheme="minorHAnsi" w:eastAsiaTheme="minorEastAsia" w:cstheme="minorBidi"/>
          <w:b/>
          <w:color w:val="auto"/>
          <w:sz w:val="36"/>
          <w:szCs w:val="36"/>
          <w:highlight w:val="none"/>
        </w:rPr>
        <w:t>拟签订采购合同文本</w:t>
      </w:r>
    </w:p>
    <w:p w14:paraId="5A377598">
      <w:pPr>
        <w:shd w:val="clear" w:color="auto" w:fill="FFFFFF"/>
        <w:snapToGrid w:val="0"/>
        <w:ind w:firstLine="560"/>
        <w:rPr>
          <w:rFonts w:hint="eastAsia" w:hAnsi="宋体"/>
          <w:b/>
          <w:color w:val="auto"/>
          <w:sz w:val="28"/>
          <w:szCs w:val="20"/>
          <w:highlight w:val="none"/>
        </w:rPr>
      </w:pPr>
    </w:p>
    <w:p w14:paraId="1A44CEB2">
      <w:pPr>
        <w:shd w:val="clear" w:color="auto" w:fill="FFFFFF"/>
        <w:snapToGrid w:val="0"/>
        <w:ind w:firstLine="560"/>
        <w:rPr>
          <w:rFonts w:hint="eastAsia" w:hAnsi="宋体"/>
          <w:b/>
          <w:color w:val="auto"/>
          <w:sz w:val="28"/>
          <w:szCs w:val="20"/>
          <w:highlight w:val="none"/>
        </w:rPr>
      </w:pPr>
    </w:p>
    <w:p w14:paraId="77F9FD5D">
      <w:pPr>
        <w:shd w:val="clear" w:color="auto" w:fill="FFFFFF"/>
        <w:snapToGrid w:val="0"/>
        <w:ind w:firstLine="560"/>
        <w:jc w:val="left"/>
        <w:rPr>
          <w:rFonts w:hAnsi="宋体"/>
          <w:b/>
          <w:color w:val="auto"/>
          <w:sz w:val="16"/>
          <w:szCs w:val="10"/>
          <w:highlight w:val="none"/>
        </w:rPr>
      </w:pPr>
      <w:r>
        <w:rPr>
          <w:rFonts w:hint="eastAsia" w:hAnsi="宋体"/>
          <w:b/>
          <w:color w:val="auto"/>
          <w:sz w:val="28"/>
          <w:szCs w:val="20"/>
          <w:highlight w:val="none"/>
        </w:rPr>
        <w:t>GF-2012-0202</w:t>
      </w:r>
    </w:p>
    <w:p w14:paraId="59CD878C">
      <w:pPr>
        <w:shd w:val="clear" w:color="auto" w:fill="FFFFFF"/>
        <w:snapToGrid w:val="0"/>
        <w:ind w:firstLine="1360"/>
        <w:jc w:val="center"/>
        <w:rPr>
          <w:rFonts w:hAnsi="宋体"/>
          <w:b/>
          <w:bCs/>
          <w:color w:val="auto"/>
          <w:sz w:val="68"/>
          <w:szCs w:val="44"/>
          <w:highlight w:val="none"/>
        </w:rPr>
      </w:pPr>
    </w:p>
    <w:p w14:paraId="471C1DFE">
      <w:pPr>
        <w:shd w:val="clear" w:color="auto" w:fill="FFFFFF"/>
        <w:snapToGrid w:val="0"/>
        <w:ind w:firstLine="1360"/>
        <w:jc w:val="center"/>
        <w:rPr>
          <w:rFonts w:hAnsi="宋体"/>
          <w:b/>
          <w:bCs/>
          <w:color w:val="auto"/>
          <w:sz w:val="68"/>
          <w:szCs w:val="44"/>
          <w:highlight w:val="none"/>
        </w:rPr>
      </w:pPr>
    </w:p>
    <w:p w14:paraId="2FD6F94F">
      <w:pPr>
        <w:shd w:val="clear" w:color="auto" w:fill="FFFFFF"/>
        <w:snapToGrid w:val="0"/>
        <w:ind w:firstLine="1360"/>
        <w:jc w:val="center"/>
        <w:rPr>
          <w:rFonts w:hAnsi="宋体"/>
          <w:color w:val="FF0000"/>
          <w:sz w:val="45"/>
          <w:highlight w:val="none"/>
        </w:rPr>
      </w:pPr>
      <w:r>
        <w:rPr>
          <w:rFonts w:hint="eastAsia" w:hAnsi="宋体"/>
          <w:b/>
          <w:bCs/>
          <w:color w:val="000000" w:themeColor="text1"/>
          <w:sz w:val="68"/>
          <w:szCs w:val="44"/>
          <w:highlight w:val="none"/>
          <w14:textFill>
            <w14:solidFill>
              <w14:schemeClr w14:val="tx1"/>
            </w14:solidFill>
          </w14:textFill>
        </w:rPr>
        <w:t>建设工程</w:t>
      </w:r>
      <w:r>
        <w:rPr>
          <w:rFonts w:hint="eastAsia" w:hAnsi="宋体"/>
          <w:b/>
          <w:bCs/>
          <w:color w:val="000000" w:themeColor="text1"/>
          <w:sz w:val="68"/>
          <w:szCs w:val="44"/>
          <w:highlight w:val="none"/>
          <w:lang w:val="en-US" w:eastAsia="zh-CN"/>
          <w14:textFill>
            <w14:solidFill>
              <w14:schemeClr w14:val="tx1"/>
            </w14:solidFill>
          </w14:textFill>
        </w:rPr>
        <w:t>委托</w:t>
      </w:r>
      <w:r>
        <w:rPr>
          <w:rFonts w:hint="eastAsia" w:hAnsi="宋体"/>
          <w:b/>
          <w:bCs/>
          <w:color w:val="000000" w:themeColor="text1"/>
          <w:sz w:val="68"/>
          <w:szCs w:val="44"/>
          <w:highlight w:val="none"/>
          <w14:textFill>
            <w14:solidFill>
              <w14:schemeClr w14:val="tx1"/>
            </w14:solidFill>
          </w14:textFill>
        </w:rPr>
        <w:t>监理合同</w:t>
      </w:r>
    </w:p>
    <w:p w14:paraId="277D4D3D">
      <w:pPr>
        <w:shd w:val="clear" w:color="auto" w:fill="FFFFFF"/>
        <w:snapToGrid w:val="0"/>
        <w:ind w:firstLine="640"/>
        <w:rPr>
          <w:rFonts w:ascii="黑体" w:eastAsia="黑体"/>
          <w:b/>
          <w:bCs/>
          <w:color w:val="auto"/>
          <w:sz w:val="32"/>
          <w:szCs w:val="32"/>
          <w:highlight w:val="none"/>
        </w:rPr>
      </w:pPr>
    </w:p>
    <w:p w14:paraId="08C52DEA">
      <w:pPr>
        <w:shd w:val="clear" w:color="auto" w:fill="FFFFFF"/>
        <w:snapToGrid w:val="0"/>
        <w:ind w:firstLine="560"/>
        <w:rPr>
          <w:rFonts w:hAnsi="宋体"/>
          <w:b/>
          <w:color w:val="auto"/>
          <w:sz w:val="28"/>
          <w:szCs w:val="20"/>
          <w:highlight w:val="none"/>
        </w:rPr>
      </w:pPr>
    </w:p>
    <w:p w14:paraId="2E3D0745">
      <w:pPr>
        <w:shd w:val="clear" w:color="auto" w:fill="FFFFFF"/>
        <w:snapToGrid w:val="0"/>
        <w:ind w:firstLine="640"/>
        <w:jc w:val="center"/>
        <w:rPr>
          <w:rFonts w:ascii="黑体" w:eastAsia="黑体"/>
          <w:b/>
          <w:bCs/>
          <w:color w:val="auto"/>
          <w:sz w:val="32"/>
          <w:szCs w:val="32"/>
          <w:highlight w:val="none"/>
        </w:rPr>
      </w:pPr>
    </w:p>
    <w:p w14:paraId="2EF368DD">
      <w:pPr>
        <w:shd w:val="clear" w:color="auto" w:fill="FFFFFF"/>
        <w:snapToGrid w:val="0"/>
        <w:ind w:firstLine="640"/>
        <w:jc w:val="center"/>
        <w:rPr>
          <w:rFonts w:ascii="黑体" w:eastAsia="黑体"/>
          <w:b/>
          <w:bCs/>
          <w:color w:val="auto"/>
          <w:sz w:val="32"/>
          <w:szCs w:val="32"/>
          <w:highlight w:val="none"/>
        </w:rPr>
      </w:pPr>
    </w:p>
    <w:p w14:paraId="2B412799">
      <w:pPr>
        <w:shd w:val="clear" w:color="auto" w:fill="FFFFFF"/>
        <w:snapToGrid w:val="0"/>
        <w:ind w:firstLine="640"/>
        <w:jc w:val="center"/>
        <w:rPr>
          <w:rFonts w:ascii="黑体" w:eastAsia="黑体"/>
          <w:b/>
          <w:bCs/>
          <w:color w:val="auto"/>
          <w:sz w:val="32"/>
          <w:szCs w:val="32"/>
          <w:highlight w:val="none"/>
        </w:rPr>
      </w:pPr>
    </w:p>
    <w:p w14:paraId="5071D6F5">
      <w:pPr>
        <w:pStyle w:val="3"/>
        <w:ind w:firstLine="422"/>
        <w:rPr>
          <w:color w:val="auto"/>
          <w:highlight w:val="none"/>
        </w:rPr>
      </w:pPr>
    </w:p>
    <w:p w14:paraId="0C0EA6D2">
      <w:pPr>
        <w:pStyle w:val="3"/>
        <w:ind w:firstLine="422"/>
        <w:rPr>
          <w:color w:val="auto"/>
          <w:highlight w:val="none"/>
        </w:rPr>
      </w:pPr>
    </w:p>
    <w:p w14:paraId="48162F2E">
      <w:pPr>
        <w:pStyle w:val="3"/>
        <w:ind w:firstLine="422"/>
        <w:rPr>
          <w:color w:val="auto"/>
          <w:highlight w:val="none"/>
        </w:rPr>
      </w:pPr>
    </w:p>
    <w:p w14:paraId="3D97B785">
      <w:pPr>
        <w:pStyle w:val="3"/>
        <w:ind w:firstLine="422"/>
        <w:rPr>
          <w:color w:val="auto"/>
          <w:highlight w:val="none"/>
        </w:rPr>
      </w:pPr>
    </w:p>
    <w:p w14:paraId="7C639B66">
      <w:pPr>
        <w:pStyle w:val="3"/>
        <w:ind w:firstLine="422"/>
        <w:rPr>
          <w:color w:val="auto"/>
          <w:highlight w:val="none"/>
        </w:rPr>
      </w:pPr>
    </w:p>
    <w:p w14:paraId="0E84AC74">
      <w:pPr>
        <w:rPr>
          <w:color w:val="auto"/>
          <w:highlight w:val="none"/>
        </w:rPr>
      </w:pPr>
    </w:p>
    <w:p w14:paraId="7FC84C85">
      <w:pPr>
        <w:pStyle w:val="5"/>
        <w:rPr>
          <w:color w:val="auto"/>
          <w:highlight w:val="none"/>
        </w:rPr>
      </w:pPr>
    </w:p>
    <w:p w14:paraId="7180FA31">
      <w:pPr>
        <w:pStyle w:val="5"/>
        <w:rPr>
          <w:color w:val="auto"/>
          <w:highlight w:val="none"/>
        </w:rPr>
      </w:pPr>
    </w:p>
    <w:p w14:paraId="4031B37D">
      <w:pPr>
        <w:pStyle w:val="5"/>
        <w:rPr>
          <w:color w:val="auto"/>
          <w:highlight w:val="none"/>
        </w:rPr>
      </w:pPr>
    </w:p>
    <w:p w14:paraId="761DC116">
      <w:pPr>
        <w:pStyle w:val="3"/>
        <w:ind w:firstLine="422"/>
        <w:rPr>
          <w:color w:val="auto"/>
          <w:highlight w:val="none"/>
        </w:rPr>
      </w:pPr>
    </w:p>
    <w:p w14:paraId="037F161C">
      <w:pPr>
        <w:pStyle w:val="3"/>
        <w:ind w:firstLine="422"/>
        <w:rPr>
          <w:color w:val="auto"/>
          <w:highlight w:val="none"/>
        </w:rPr>
      </w:pPr>
    </w:p>
    <w:p w14:paraId="0C78EBBE">
      <w:pPr>
        <w:shd w:val="clear" w:color="auto" w:fill="FFFFFF"/>
        <w:snapToGrid w:val="0"/>
        <w:spacing w:line="360" w:lineRule="auto"/>
        <w:ind w:firstLine="680"/>
        <w:rPr>
          <w:rFonts w:hAnsi="宋体"/>
          <w:b/>
          <w:color w:val="auto"/>
          <w:sz w:val="34"/>
          <w:szCs w:val="28"/>
          <w:highlight w:val="none"/>
        </w:rPr>
      </w:pPr>
      <w:r>
        <w:rPr>
          <w:rFonts w:hint="eastAsia" w:hAnsi="宋体"/>
          <w:b/>
          <w:color w:val="auto"/>
          <w:sz w:val="34"/>
          <w:szCs w:val="28"/>
          <w:highlight w:val="none"/>
        </w:rPr>
        <w:t>住房和城乡建设部</w:t>
      </w:r>
    </w:p>
    <w:p w14:paraId="4DA2EA0B">
      <w:pPr>
        <w:shd w:val="clear" w:color="auto" w:fill="FFFFFF"/>
        <w:snapToGrid w:val="0"/>
        <w:spacing w:line="360" w:lineRule="auto"/>
        <w:ind w:firstLine="680"/>
        <w:rPr>
          <w:rFonts w:hAnsi="宋体"/>
          <w:b/>
          <w:color w:val="auto"/>
          <w:sz w:val="34"/>
          <w:szCs w:val="28"/>
          <w:highlight w:val="none"/>
        </w:rPr>
      </w:pPr>
      <w:r>
        <w:rPr>
          <w:rFonts w:hint="eastAsia" w:hAnsi="宋体"/>
          <w:b/>
          <w:color w:val="auto"/>
          <w:sz w:val="34"/>
          <w:szCs w:val="28"/>
          <w:highlight w:val="none"/>
        </w:rPr>
        <w:t xml:space="preserve">国家工商行政管理局     </w:t>
      </w:r>
      <w:r>
        <w:rPr>
          <w:rFonts w:hint="eastAsia" w:hAnsi="宋体"/>
          <w:b/>
          <w:color w:val="auto"/>
          <w:sz w:val="40"/>
          <w:szCs w:val="36"/>
          <w:highlight w:val="none"/>
        </w:rPr>
        <w:t>制定</w:t>
      </w:r>
    </w:p>
    <w:p w14:paraId="78F5E906">
      <w:pPr>
        <w:shd w:val="clear" w:color="auto" w:fill="FFFFFF"/>
        <w:snapToGrid w:val="0"/>
        <w:spacing w:line="360" w:lineRule="auto"/>
        <w:ind w:firstLine="2468" w:firstLineChars="723"/>
        <w:jc w:val="both"/>
        <w:rPr>
          <w:color w:val="auto"/>
          <w:highlight w:val="none"/>
        </w:rPr>
      </w:pPr>
      <w:r>
        <w:rPr>
          <w:rFonts w:hint="eastAsia" w:hAnsi="宋体"/>
          <w:b/>
          <w:bCs/>
          <w:color w:val="auto"/>
          <w:sz w:val="34"/>
          <w:szCs w:val="28"/>
          <w:highlight w:val="none"/>
        </w:rPr>
        <w:t>二0</w:t>
      </w:r>
      <w:r>
        <w:rPr>
          <w:rFonts w:hint="eastAsia" w:hAnsi="宋体"/>
          <w:b/>
          <w:bCs/>
          <w:color w:val="auto"/>
          <w:sz w:val="34"/>
          <w:szCs w:val="28"/>
          <w:highlight w:val="none"/>
          <w:lang w:val="en-US" w:eastAsia="zh-CN"/>
        </w:rPr>
        <w:t>二五</w:t>
      </w:r>
      <w:r>
        <w:rPr>
          <w:rFonts w:hint="eastAsia" w:hAnsi="宋体"/>
          <w:b/>
          <w:bCs/>
          <w:color w:val="auto"/>
          <w:sz w:val="34"/>
          <w:szCs w:val="28"/>
          <w:highlight w:val="none"/>
        </w:rPr>
        <w:t>年</w:t>
      </w:r>
      <w:r>
        <w:rPr>
          <w:rFonts w:hint="eastAsia" w:hAnsi="宋体"/>
          <w:b/>
          <w:bCs/>
          <w:color w:val="auto"/>
          <w:sz w:val="34"/>
          <w:szCs w:val="28"/>
          <w:highlight w:val="none"/>
          <w:lang w:val="en-US" w:eastAsia="zh-CN"/>
        </w:rPr>
        <w:t xml:space="preserve">  </w:t>
      </w:r>
      <w:r>
        <w:rPr>
          <w:rFonts w:hint="eastAsia" w:hAnsi="宋体"/>
          <w:b/>
          <w:bCs/>
          <w:color w:val="auto"/>
          <w:sz w:val="34"/>
          <w:szCs w:val="28"/>
          <w:highlight w:val="none"/>
        </w:rPr>
        <w:t>月</w:t>
      </w:r>
      <w:r>
        <w:rPr>
          <w:color w:val="auto"/>
          <w:highlight w:val="none"/>
        </w:rPr>
        <w:br w:type="page"/>
      </w:r>
    </w:p>
    <w:p w14:paraId="0BB4B361">
      <w:pPr>
        <w:pStyle w:val="4"/>
        <w:tabs>
          <w:tab w:val="right" w:leader="dot" w:pos="9297"/>
        </w:tabs>
        <w:spacing w:line="560" w:lineRule="exact"/>
        <w:ind w:left="0" w:leftChars="0" w:firstLine="0" w:firstLineChars="0"/>
        <w:jc w:val="cente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第一部分  协议书</w:t>
      </w:r>
    </w:p>
    <w:p w14:paraId="2F1018CA">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委托人（全称）：</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p>
    <w:p w14:paraId="191576B8">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监理人（全称）：</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p>
    <w:p w14:paraId="67318374">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w:t>
      </w:r>
      <w:r>
        <w:rPr>
          <w:rFonts w:hint="eastAsia" w:ascii="宋体" w:hAnsi="宋体" w:eastAsia="宋体" w:cs="宋体"/>
          <w:color w:val="auto"/>
          <w:sz w:val="21"/>
          <w:szCs w:val="21"/>
          <w:highlight w:val="none"/>
          <w:lang w:eastAsia="zh-CN"/>
        </w:rPr>
        <w:t>中华人民共和国民法典</w:t>
      </w:r>
      <w:r>
        <w:rPr>
          <w:rFonts w:hint="eastAsia" w:ascii="宋体" w:hAnsi="宋体" w:eastAsia="宋体" w:cs="宋体"/>
          <w:color w:val="auto"/>
          <w:sz w:val="21"/>
          <w:szCs w:val="21"/>
          <w:highlight w:val="none"/>
        </w:rPr>
        <w:t>》、《中华人民共和国建筑法》及其他有关</w:t>
      </w:r>
      <w:r>
        <w:rPr>
          <w:rFonts w:hint="eastAsia" w:ascii="宋体" w:hAnsi="宋体" w:cs="宋体"/>
          <w:color w:val="auto"/>
          <w:sz w:val="21"/>
          <w:szCs w:val="21"/>
          <w:highlight w:val="none"/>
          <w:lang w:eastAsia="zh-CN"/>
        </w:rPr>
        <w:t>法律法规</w:t>
      </w:r>
      <w:r>
        <w:rPr>
          <w:rFonts w:hint="eastAsia" w:ascii="宋体" w:hAnsi="宋体" w:eastAsia="宋体" w:cs="宋体"/>
          <w:color w:val="auto"/>
          <w:sz w:val="21"/>
          <w:szCs w:val="21"/>
          <w:highlight w:val="none"/>
        </w:rPr>
        <w:t>之规定，遵循平等、自愿、公平和诚实信用的原则，双方就下述工程委托监理与相关服务事项协商一致，订立本合同，以兹双方共同遵守。</w:t>
      </w:r>
    </w:p>
    <w:p w14:paraId="681AC82E">
      <w:pPr>
        <w:spacing w:line="360" w:lineRule="auto"/>
        <w:ind w:firstLine="422" w:firstLineChars="200"/>
        <w:outlineLvl w:val="1"/>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一、工程概况</w:t>
      </w:r>
    </w:p>
    <w:p w14:paraId="33EC46F9">
      <w:pPr>
        <w:spacing w:line="360" w:lineRule="auto"/>
        <w:ind w:firstLine="420" w:firstLineChars="200"/>
        <w:outlineLvl w:val="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1.工程名称：</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p>
    <w:p w14:paraId="182F5E50">
      <w:pPr>
        <w:spacing w:line="360" w:lineRule="auto"/>
        <w:ind w:firstLine="420" w:firstLineChars="200"/>
        <w:outlineLvl w:val="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2.工程地点及规模：</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w:t>
      </w:r>
    </w:p>
    <w:p w14:paraId="50E110E8">
      <w:pPr>
        <w:spacing w:line="360" w:lineRule="auto"/>
        <w:ind w:firstLine="420" w:firstLineChars="200"/>
        <w:outlineLvl w:val="1"/>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3.服务内容</w:t>
      </w:r>
      <w:r>
        <w:rPr>
          <w:rFonts w:hint="eastAsia" w:ascii="宋体" w:hAnsi="宋体" w:cs="宋体"/>
          <w:color w:val="auto"/>
          <w:kern w:val="2"/>
          <w:sz w:val="21"/>
          <w:szCs w:val="21"/>
          <w:highlight w:val="none"/>
          <w:lang w:val="en-US" w:eastAsia="zh-CN" w:bidi="ar-SA"/>
        </w:rPr>
        <w:t>：</w:t>
      </w:r>
      <w:r>
        <w:rPr>
          <w:rFonts w:hint="eastAsia" w:ascii="宋体" w:hAnsi="宋体" w:eastAsia="宋体" w:cs="宋体"/>
          <w:color w:val="auto"/>
          <w:sz w:val="21"/>
          <w:szCs w:val="21"/>
          <w:highlight w:val="none"/>
          <w:u w:val="single"/>
          <w:lang w:val="en-US" w:eastAsia="zh-CN"/>
        </w:rPr>
        <w:t>高陵区既有住宅小区地下排水管道雨污分流整改项目监理服务</w:t>
      </w:r>
      <w:r>
        <w:rPr>
          <w:rFonts w:hint="eastAsia" w:ascii="宋体" w:hAnsi="宋体" w:eastAsia="宋体" w:cs="宋体"/>
          <w:color w:val="auto"/>
          <w:kern w:val="2"/>
          <w:sz w:val="21"/>
          <w:szCs w:val="21"/>
          <w:highlight w:val="none"/>
          <w:lang w:val="en-US" w:eastAsia="zh-CN" w:bidi="ar-SA"/>
        </w:rPr>
        <w:t>。</w:t>
      </w:r>
    </w:p>
    <w:p w14:paraId="13FB40E4">
      <w:pPr>
        <w:spacing w:line="360" w:lineRule="auto"/>
        <w:ind w:firstLine="417" w:firstLineChars="198"/>
        <w:outlineLvl w:val="1"/>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二、词语限定</w:t>
      </w:r>
    </w:p>
    <w:p w14:paraId="0A4C12DB">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协议书中相关词语的含义与通用条件中的定义与解释相同。</w:t>
      </w:r>
    </w:p>
    <w:p w14:paraId="04C0826A">
      <w:pPr>
        <w:spacing w:line="360" w:lineRule="auto"/>
        <w:ind w:firstLine="417" w:firstLineChars="198"/>
        <w:outlineLvl w:val="1"/>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三、组成本合同的文件</w:t>
      </w:r>
    </w:p>
    <w:p w14:paraId="1CDEE52D">
      <w:pPr>
        <w:adjustRightInd w:val="0"/>
        <w:snapToGrid w:val="0"/>
        <w:spacing w:line="360" w:lineRule="auto"/>
        <w:ind w:firstLine="415" w:firstLineChars="198"/>
        <w:outlineLvl w:val="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 协议书；</w:t>
      </w:r>
    </w:p>
    <w:p w14:paraId="51BBB4BB">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 中标通知书（适用于招标工程）；</w:t>
      </w:r>
    </w:p>
    <w:p w14:paraId="02DD1232">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3. </w:t>
      </w:r>
      <w:r>
        <w:rPr>
          <w:rFonts w:hint="eastAsia" w:ascii="宋体" w:hAnsi="宋体" w:cs="宋体"/>
          <w:color w:val="auto"/>
          <w:sz w:val="21"/>
          <w:szCs w:val="21"/>
          <w:highlight w:val="none"/>
          <w:lang w:val="en-US" w:eastAsia="zh-CN"/>
        </w:rPr>
        <w:t>响应</w:t>
      </w:r>
      <w:r>
        <w:rPr>
          <w:rFonts w:hint="eastAsia" w:ascii="宋体" w:hAnsi="宋体" w:eastAsia="宋体" w:cs="宋体"/>
          <w:color w:val="auto"/>
          <w:sz w:val="21"/>
          <w:szCs w:val="21"/>
          <w:highlight w:val="none"/>
        </w:rPr>
        <w:t>文件（适用于招标工程）；</w:t>
      </w:r>
    </w:p>
    <w:p w14:paraId="5A6DDF0E">
      <w:pPr>
        <w:adjustRightInd w:val="0"/>
        <w:snapToGrid w:val="0"/>
        <w:spacing w:line="360" w:lineRule="auto"/>
        <w:ind w:left="0"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 专用条件；</w:t>
      </w:r>
    </w:p>
    <w:p w14:paraId="2414778F">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 通用条件；</w:t>
      </w:r>
    </w:p>
    <w:p w14:paraId="4726FCE8">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 附录，即：</w:t>
      </w:r>
    </w:p>
    <w:p w14:paraId="3FF63BF0">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附录  委托人派遣的人员和提供的</w:t>
      </w:r>
      <w:r>
        <w:rPr>
          <w:rFonts w:hint="eastAsia" w:ascii="宋体" w:hAnsi="宋体" w:eastAsia="宋体" w:cs="宋体"/>
          <w:bCs/>
          <w:color w:val="auto"/>
          <w:sz w:val="21"/>
          <w:szCs w:val="21"/>
          <w:highlight w:val="none"/>
        </w:rPr>
        <w:t>房屋、资料</w:t>
      </w:r>
      <w:r>
        <w:rPr>
          <w:rFonts w:hint="eastAsia" w:ascii="宋体" w:hAnsi="宋体" w:eastAsia="宋体" w:cs="宋体"/>
          <w:color w:val="auto"/>
          <w:sz w:val="21"/>
          <w:szCs w:val="21"/>
          <w:highlight w:val="none"/>
        </w:rPr>
        <w:t>、设备。</w:t>
      </w:r>
    </w:p>
    <w:p w14:paraId="5BAB2226">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本合同签订后，双方依法签订的补充协议也是本合同文件的组成部分。</w:t>
      </w:r>
    </w:p>
    <w:p w14:paraId="02F10E7E">
      <w:pPr>
        <w:spacing w:line="360" w:lineRule="auto"/>
        <w:ind w:firstLine="417" w:firstLineChars="198"/>
        <w:outlineLvl w:val="1"/>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四、总监理工程师</w:t>
      </w:r>
    </w:p>
    <w:p w14:paraId="23A96091">
      <w:pPr>
        <w:adjustRightInd w:val="0"/>
        <w:snapToGrid w:val="0"/>
        <w:spacing w:line="360" w:lineRule="auto"/>
        <w:ind w:firstLine="415" w:firstLineChars="198"/>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总监理工程师姓名</w:t>
      </w: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u w:val="single"/>
        </w:rPr>
        <w:t xml:space="preserve"> </w:t>
      </w:r>
      <w:r>
        <w:rPr>
          <w:rFonts w:hint="eastAsia" w:ascii="宋体" w:hAnsi="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，身份证号码：</w:t>
      </w:r>
      <w:r>
        <w:rPr>
          <w:rFonts w:hint="eastAsia" w:ascii="宋体" w:hAnsi="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rPr>
        <w:t>，注册号：</w:t>
      </w:r>
      <w:r>
        <w:rPr>
          <w:rFonts w:hint="eastAsia" w:ascii="宋体" w:hAnsi="宋体" w:eastAsia="宋体" w:cs="宋体"/>
          <w:color w:val="auto"/>
          <w:kern w:val="0"/>
          <w:sz w:val="21"/>
          <w:szCs w:val="21"/>
          <w:highlight w:val="none"/>
          <w:u w:val="single"/>
        </w:rPr>
        <w:t xml:space="preserve"> </w:t>
      </w:r>
      <w:r>
        <w:rPr>
          <w:rFonts w:hint="eastAsia" w:ascii="宋体" w:hAnsi="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p>
    <w:p w14:paraId="4D1565D9">
      <w:pPr>
        <w:spacing w:line="360" w:lineRule="auto"/>
        <w:ind w:firstLine="417" w:firstLineChars="198"/>
        <w:outlineLvl w:val="1"/>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五、签约酬金</w:t>
      </w:r>
    </w:p>
    <w:p w14:paraId="1176C058">
      <w:pPr>
        <w:adjustRightInd w:val="0"/>
        <w:snapToGrid w:val="0"/>
        <w:spacing w:line="500" w:lineRule="atLeast"/>
        <w:ind w:firstLine="415" w:firstLineChars="198"/>
        <w:rPr>
          <w:rFonts w:hint="eastAsia" w:ascii="宋体" w:hAnsi="宋体" w:eastAsia="宋体" w:cs="宋体"/>
          <w:color w:val="auto"/>
          <w:highlight w:val="none"/>
          <w:lang w:eastAsia="zh-CN"/>
        </w:rPr>
      </w:pPr>
      <w:r>
        <w:rPr>
          <w:rFonts w:hint="eastAsia" w:ascii="宋体" w:hAnsi="宋体" w:cs="宋体"/>
          <w:color w:val="auto"/>
          <w:highlight w:val="none"/>
        </w:rPr>
        <w:t>签约酬金含增值税总价（大写）：</w:t>
      </w:r>
      <w:r>
        <w:rPr>
          <w:rFonts w:hint="eastAsia" w:ascii="宋体" w:hAnsi="宋体" w:cs="宋体"/>
          <w:color w:val="auto"/>
          <w:highlight w:val="none"/>
          <w:u w:val="single"/>
        </w:rPr>
        <w:t xml:space="preserve"> </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u w:val="single"/>
        </w:rPr>
        <w:t xml:space="preserve"> </w:t>
      </w:r>
      <w:r>
        <w:rPr>
          <w:rFonts w:hint="eastAsia" w:ascii="宋体" w:hAnsi="宋体" w:cs="宋体"/>
          <w:color w:val="auto"/>
          <w:highlight w:val="none"/>
        </w:rPr>
        <w:t>（¥</w:t>
      </w:r>
      <w:r>
        <w:rPr>
          <w:rFonts w:hint="eastAsia" w:ascii="宋体" w:hAnsi="宋体" w:cs="宋体"/>
          <w:color w:val="auto"/>
          <w:highlight w:val="none"/>
          <w:u w:val="single"/>
        </w:rPr>
        <w:t xml:space="preserve"> </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u w:val="single"/>
        </w:rPr>
        <w:t xml:space="preserve">元 </w:t>
      </w:r>
      <w:r>
        <w:rPr>
          <w:rFonts w:hint="eastAsia" w:ascii="宋体" w:hAnsi="宋体" w:cs="宋体"/>
          <w:color w:val="auto"/>
          <w:highlight w:val="none"/>
        </w:rPr>
        <w:t>）</w:t>
      </w:r>
      <w:r>
        <w:rPr>
          <w:rFonts w:hint="eastAsia" w:ascii="宋体" w:hAnsi="宋体" w:cs="宋体"/>
          <w:color w:val="auto"/>
          <w:highlight w:val="none"/>
          <w:lang w:eastAsia="zh-CN"/>
        </w:rPr>
        <w:t>。</w:t>
      </w:r>
    </w:p>
    <w:p w14:paraId="016BA663">
      <w:pPr>
        <w:adjustRightInd w:val="0"/>
        <w:snapToGrid w:val="0"/>
        <w:spacing w:line="500" w:lineRule="atLeast"/>
        <w:ind w:firstLine="525" w:firstLineChars="250"/>
        <w:rPr>
          <w:rFonts w:hint="eastAsia" w:ascii="宋体" w:hAnsi="宋体" w:cs="宋体"/>
          <w:color w:val="auto"/>
          <w:highlight w:val="none"/>
        </w:rPr>
      </w:pPr>
      <w:r>
        <w:rPr>
          <w:rFonts w:hint="eastAsia" w:ascii="宋体" w:hAnsi="宋体" w:cs="宋体"/>
          <w:color w:val="auto"/>
          <w:highlight w:val="none"/>
        </w:rPr>
        <w:t>1. 监理酬金：</w:t>
      </w:r>
      <w:r>
        <w:rPr>
          <w:rFonts w:hint="eastAsia" w:ascii="宋体" w:hAnsi="宋体" w:cs="宋体"/>
          <w:color w:val="auto"/>
          <w:highlight w:val="none"/>
          <w:u w:val="single"/>
        </w:rPr>
        <w:t xml:space="preserve">   /   </w:t>
      </w:r>
      <w:r>
        <w:rPr>
          <w:rFonts w:hint="eastAsia" w:ascii="宋体" w:hAnsi="宋体" w:cs="宋体"/>
          <w:color w:val="auto"/>
          <w:highlight w:val="none"/>
        </w:rPr>
        <w:t>。</w:t>
      </w:r>
    </w:p>
    <w:p w14:paraId="2F9A9C74">
      <w:pPr>
        <w:adjustRightInd w:val="0"/>
        <w:snapToGrid w:val="0"/>
        <w:spacing w:line="500" w:lineRule="atLeast"/>
        <w:ind w:firstLine="525" w:firstLineChars="250"/>
        <w:rPr>
          <w:rFonts w:hint="eastAsia" w:ascii="宋体" w:hAnsi="宋体" w:cs="宋体"/>
          <w:color w:val="auto"/>
          <w:highlight w:val="none"/>
        </w:rPr>
      </w:pPr>
      <w:r>
        <w:rPr>
          <w:rFonts w:hint="eastAsia" w:ascii="宋体" w:hAnsi="宋体" w:cs="宋体"/>
          <w:color w:val="auto"/>
          <w:highlight w:val="none"/>
        </w:rPr>
        <w:t>2. 相关服务酬金：</w:t>
      </w:r>
      <w:r>
        <w:rPr>
          <w:rFonts w:hint="eastAsia" w:ascii="宋体" w:hAnsi="宋体" w:cs="宋体"/>
          <w:color w:val="auto"/>
          <w:highlight w:val="none"/>
          <w:u w:val="single"/>
        </w:rPr>
        <w:t xml:space="preserve">   /   </w:t>
      </w:r>
      <w:r>
        <w:rPr>
          <w:rFonts w:hint="eastAsia" w:ascii="宋体" w:hAnsi="宋体" w:cs="宋体"/>
          <w:color w:val="auto"/>
          <w:highlight w:val="none"/>
        </w:rPr>
        <w:t>。</w:t>
      </w:r>
    </w:p>
    <w:p w14:paraId="58D07F74">
      <w:pPr>
        <w:pStyle w:val="2"/>
        <w:rPr>
          <w:rFonts w:hint="eastAsia" w:ascii="宋体" w:hAnsi="宋体" w:eastAsia="宋体" w:cs="宋体"/>
          <w:b/>
          <w:color w:val="auto"/>
          <w:sz w:val="21"/>
          <w:szCs w:val="21"/>
          <w:highlight w:val="none"/>
        </w:rPr>
      </w:pPr>
      <w:r>
        <w:rPr>
          <w:rFonts w:hint="eastAsia" w:ascii="宋体" w:hAnsi="宋体" w:cs="宋体"/>
          <w:color w:val="auto"/>
          <w:highlight w:val="none"/>
          <w:lang w:val="en-US" w:eastAsia="zh-CN"/>
        </w:rPr>
        <w:t xml:space="preserve">   </w:t>
      </w:r>
      <w:bookmarkStart w:id="2" w:name="_GoBack"/>
      <w:bookmarkEnd w:id="2"/>
      <w:r>
        <w:rPr>
          <w:rFonts w:hint="eastAsia" w:ascii="宋体" w:hAnsi="宋体" w:eastAsia="宋体" w:cs="宋体"/>
          <w:b/>
          <w:color w:val="auto"/>
          <w:sz w:val="21"/>
          <w:szCs w:val="21"/>
          <w:highlight w:val="none"/>
        </w:rPr>
        <w:t>六、期限</w:t>
      </w:r>
    </w:p>
    <w:p w14:paraId="55774363">
      <w:pPr>
        <w:spacing w:line="360" w:lineRule="auto"/>
        <w:ind w:firstLine="420" w:firstLineChars="200"/>
        <w:rPr>
          <w:rFonts w:hint="eastAsia" w:ascii="宋体" w:hAnsi="宋体" w:eastAsia="宋体" w:cs="宋体"/>
          <w:color w:val="000000" w:themeColor="text1"/>
          <w:sz w:val="21"/>
          <w:szCs w:val="21"/>
          <w:highlight w:val="none"/>
          <w:lang w:val="en-US"/>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监理期限：</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日历天(具体开工日期以发包人书面通知为准，监理服务期与施工工期同步</w:t>
      </w:r>
      <w:r>
        <w:rPr>
          <w:rFonts w:hint="eastAsia" w:ascii="宋体" w:hAnsi="宋体" w:eastAsia="宋体" w:cs="宋体"/>
          <w:color w:val="000000" w:themeColor="text1"/>
          <w:sz w:val="21"/>
          <w:szCs w:val="21"/>
          <w:highlight w:val="none"/>
          <w:lang w:eastAsia="zh-CN"/>
          <w14:textFill>
            <w14:solidFill>
              <w14:schemeClr w14:val="tx1"/>
            </w14:solidFill>
          </w14:textFill>
        </w:rPr>
        <w:t>）本</w:t>
      </w:r>
      <w:r>
        <w:rPr>
          <w:rFonts w:hint="eastAsia" w:ascii="宋体" w:hAnsi="宋体" w:eastAsia="宋体" w:cs="宋体"/>
          <w:color w:val="000000" w:themeColor="text1"/>
          <w:sz w:val="21"/>
          <w:szCs w:val="21"/>
          <w:highlight w:val="none"/>
          <w:lang w:val="en-US" w:eastAsia="zh-CN"/>
          <w14:textFill>
            <w14:solidFill>
              <w14:schemeClr w14:val="tx1"/>
            </w14:solidFill>
          </w14:textFill>
        </w:rPr>
        <w:t>监理服务</w:t>
      </w:r>
      <w:r>
        <w:rPr>
          <w:rFonts w:hint="eastAsia" w:ascii="宋体" w:hAnsi="宋体" w:eastAsia="宋体" w:cs="宋体"/>
          <w:color w:val="000000" w:themeColor="text1"/>
          <w:sz w:val="21"/>
          <w:szCs w:val="21"/>
          <w:highlight w:val="none"/>
          <w:lang w:eastAsia="zh-CN"/>
          <w14:textFill>
            <w14:solidFill>
              <w14:schemeClr w14:val="tx1"/>
            </w14:solidFill>
          </w14:textFill>
        </w:rPr>
        <w:t>合同自合同签订起开始实施，至全部项目竣工验收合格后结束。</w:t>
      </w:r>
    </w:p>
    <w:p w14:paraId="14616699">
      <w:pPr>
        <w:adjustRightInd w:val="0"/>
        <w:snapToGrid w:val="0"/>
        <w:spacing w:line="360" w:lineRule="auto"/>
        <w:ind w:firstLine="415" w:firstLineChars="198"/>
        <w:rPr>
          <w:rFonts w:hint="default" w:ascii="宋体" w:hAnsi="宋体" w:eastAsia="宋体" w:cs="宋体"/>
          <w:color w:val="FF0000"/>
          <w:sz w:val="21"/>
          <w:szCs w:val="21"/>
          <w:highlight w:val="none"/>
          <w:lang w:val="en-US" w:eastAsia="zh-CN"/>
        </w:rPr>
      </w:pPr>
    </w:p>
    <w:p w14:paraId="10BD7E60">
      <w:pPr>
        <w:spacing w:line="360" w:lineRule="auto"/>
        <w:ind w:firstLine="417" w:firstLineChars="198"/>
        <w:outlineLvl w:val="1"/>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七、双方承诺</w:t>
      </w:r>
    </w:p>
    <w:p w14:paraId="1DB3D00D">
      <w:pPr>
        <w:adjustRightInd w:val="0"/>
        <w:snapToGrid w:val="0"/>
        <w:spacing w:line="360" w:lineRule="auto"/>
        <w:ind w:firstLine="415" w:firstLineChars="198"/>
        <w:outlineLvl w:val="2"/>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1. 监理人向委托人承诺，按照本合同约定</w:t>
      </w:r>
      <w:r>
        <w:rPr>
          <w:rFonts w:hint="eastAsia" w:ascii="宋体" w:hAnsi="宋体" w:eastAsia="宋体" w:cs="宋体"/>
          <w:color w:val="auto"/>
          <w:kern w:val="0"/>
          <w:sz w:val="21"/>
          <w:szCs w:val="21"/>
          <w:highlight w:val="none"/>
        </w:rPr>
        <w:t>提供</w:t>
      </w:r>
      <w:r>
        <w:rPr>
          <w:rFonts w:hint="eastAsia" w:ascii="宋体" w:hAnsi="宋体" w:eastAsia="宋体" w:cs="宋体"/>
          <w:color w:val="auto"/>
          <w:sz w:val="21"/>
          <w:szCs w:val="21"/>
          <w:highlight w:val="none"/>
        </w:rPr>
        <w:t>监理与相关服务。</w:t>
      </w:r>
    </w:p>
    <w:p w14:paraId="5F349BA0">
      <w:pPr>
        <w:spacing w:line="360" w:lineRule="auto"/>
        <w:ind w:firstLine="417" w:firstLineChars="198"/>
        <w:outlineLvl w:val="1"/>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八、合同订立</w:t>
      </w:r>
    </w:p>
    <w:p w14:paraId="0B9E1FFC">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 订立时间：</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758BC38E">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 订立地点：</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4C27C5E">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 正本贰份，委托人及监理人各执一份；副本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份，委托人执</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份，监理人执</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份。</w:t>
      </w:r>
    </w:p>
    <w:p w14:paraId="58A45649">
      <w:pPr>
        <w:adjustRightInd w:val="0"/>
        <w:snapToGrid w:val="0"/>
        <w:spacing w:line="360" w:lineRule="auto"/>
        <w:ind w:firstLine="415" w:firstLineChars="198"/>
        <w:rPr>
          <w:rFonts w:hint="eastAsia" w:ascii="宋体" w:hAnsi="宋体" w:eastAsia="宋体" w:cs="宋体"/>
          <w:color w:val="auto"/>
          <w:sz w:val="21"/>
          <w:szCs w:val="21"/>
          <w:highlight w:val="none"/>
        </w:rPr>
      </w:pPr>
    </w:p>
    <w:p w14:paraId="6E2F2F15">
      <w:pPr>
        <w:adjustRightInd w:val="0"/>
        <w:snapToGrid w:val="0"/>
        <w:spacing w:line="360" w:lineRule="auto"/>
        <w:rPr>
          <w:rFonts w:hint="default" w:ascii="宋体" w:hAnsi="宋体" w:eastAsia="宋体" w:cs="宋体"/>
          <w:color w:val="auto"/>
          <w:sz w:val="21"/>
          <w:szCs w:val="21"/>
          <w:highlight w:val="none"/>
          <w:u w:val="none"/>
          <w:lang w:val="en-US" w:eastAsia="zh-CN"/>
        </w:rPr>
      </w:pPr>
      <w:r>
        <w:rPr>
          <w:rFonts w:hint="eastAsia" w:ascii="宋体" w:hAnsi="宋体" w:eastAsia="宋体" w:cs="宋体"/>
          <w:color w:val="auto"/>
          <w:sz w:val="21"/>
          <w:szCs w:val="21"/>
          <w:highlight w:val="none"/>
        </w:rPr>
        <w:t>委托人：</w:t>
      </w:r>
      <w:r>
        <w:rPr>
          <w:rFonts w:hint="eastAsia" w:ascii="宋体" w:hAnsi="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none"/>
          <w:lang w:val="en-US" w:eastAsia="zh-CN"/>
        </w:rPr>
        <w:t xml:space="preserve">  </w:t>
      </w:r>
      <w:r>
        <w:rPr>
          <w:rFonts w:hint="eastAsia" w:ascii="宋体" w:hAnsi="宋体" w:eastAsia="宋体" w:cs="宋体"/>
          <w:color w:val="auto"/>
          <w:sz w:val="21"/>
          <w:szCs w:val="21"/>
          <w:highlight w:val="none"/>
        </w:rPr>
        <w:t>监理人：</w:t>
      </w:r>
      <w:r>
        <w:rPr>
          <w:rFonts w:hint="eastAsia" w:ascii="宋体" w:hAnsi="宋体" w:cs="宋体"/>
          <w:color w:val="auto"/>
          <w:sz w:val="21"/>
          <w:szCs w:val="21"/>
          <w:highlight w:val="none"/>
          <w:u w:val="single"/>
          <w:lang w:val="en-US" w:eastAsia="zh-CN"/>
        </w:rPr>
        <w:t xml:space="preserve">                              </w:t>
      </w:r>
    </w:p>
    <w:p w14:paraId="28F288CA">
      <w:pPr>
        <w:adjustRightInd w:val="0"/>
        <w:snapToGrid w:val="0"/>
        <w:spacing w:line="360" w:lineRule="auto"/>
        <w:ind w:firstLine="3143" w:firstLineChars="1497"/>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u w:val="single"/>
        </w:rPr>
        <w:t>（盖章）</w:t>
      </w:r>
      <w:r>
        <w:rPr>
          <w:rFonts w:hint="eastAsia" w:ascii="宋体" w:hAnsi="宋体" w:eastAsia="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u w:val="single"/>
        </w:rPr>
        <w:t xml:space="preserve">（盖章）        </w:t>
      </w:r>
      <w:r>
        <w:rPr>
          <w:rFonts w:hint="eastAsia" w:ascii="宋体" w:hAnsi="宋体" w:cs="宋体"/>
          <w:color w:val="auto"/>
          <w:sz w:val="21"/>
          <w:szCs w:val="21"/>
          <w:highlight w:val="none"/>
          <w:u w:val="single"/>
          <w:lang w:val="en-US" w:eastAsia="zh-CN"/>
        </w:rPr>
        <w:t xml:space="preserve">  </w:t>
      </w:r>
    </w:p>
    <w:p w14:paraId="62CE455F">
      <w:pPr>
        <w:adjustRightInd w:val="0"/>
        <w:snapToGrid w:val="0"/>
        <w:spacing w:line="360" w:lineRule="auto"/>
        <w:ind w:left="4830" w:hanging="4830" w:hangingChars="230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住所：</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住所：</w:t>
      </w:r>
      <w:r>
        <w:rPr>
          <w:rFonts w:hint="eastAsia" w:ascii="宋体" w:hAnsi="宋体" w:cs="宋体"/>
          <w:color w:val="auto"/>
          <w:sz w:val="21"/>
          <w:szCs w:val="21"/>
          <w:highlight w:val="none"/>
          <w:u w:val="single"/>
          <w:lang w:val="en-US" w:eastAsia="zh-CN"/>
        </w:rPr>
        <w:t xml:space="preserve">                          </w:t>
      </w:r>
    </w:p>
    <w:p w14:paraId="5416974A">
      <w:pPr>
        <w:adjustRightInd w:val="0"/>
        <w:snapToGrid w:val="0"/>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邮政编码：</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邮政编码：</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14:paraId="7E82E6D5">
      <w:pPr>
        <w:adjustRightInd w:val="0"/>
        <w:snapToGrid w:val="0"/>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法定代表人或其授权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法定代表人或其授权</w:t>
      </w:r>
    </w:p>
    <w:p w14:paraId="35C610F9">
      <w:pPr>
        <w:adjustRightInd w:val="0"/>
        <w:snapToGrid w:val="0"/>
        <w:spacing w:line="360" w:lineRule="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的代理人：</w:t>
      </w:r>
      <w:r>
        <w:rPr>
          <w:rFonts w:hint="eastAsia" w:ascii="宋体" w:hAnsi="宋体" w:eastAsia="宋体" w:cs="宋体"/>
          <w:color w:val="auto"/>
          <w:sz w:val="21"/>
          <w:szCs w:val="21"/>
          <w:highlight w:val="none"/>
          <w:u w:val="single"/>
        </w:rPr>
        <w:t xml:space="preserve"> （签字</w:t>
      </w:r>
      <w:r>
        <w:rPr>
          <w:rFonts w:hint="eastAsia" w:ascii="宋体" w:hAnsi="宋体" w:eastAsia="宋体" w:cs="宋体"/>
          <w:color w:val="auto"/>
          <w:sz w:val="21"/>
          <w:szCs w:val="21"/>
          <w:highlight w:val="none"/>
          <w:u w:val="single"/>
          <w:lang w:val="en-US" w:eastAsia="zh-CN"/>
        </w:rPr>
        <w:t>或盖章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的代理人：</w:t>
      </w:r>
      <w:r>
        <w:rPr>
          <w:rFonts w:hint="eastAsia" w:ascii="宋体" w:hAnsi="宋体" w:eastAsia="宋体" w:cs="宋体"/>
          <w:color w:val="auto"/>
          <w:sz w:val="21"/>
          <w:szCs w:val="21"/>
          <w:highlight w:val="none"/>
          <w:u w:val="single"/>
        </w:rPr>
        <w:t xml:space="preserve"> （签字</w:t>
      </w:r>
      <w:r>
        <w:rPr>
          <w:rFonts w:hint="eastAsia" w:ascii="宋体" w:hAnsi="宋体" w:eastAsia="宋体" w:cs="宋体"/>
          <w:color w:val="auto"/>
          <w:sz w:val="21"/>
          <w:szCs w:val="21"/>
          <w:highlight w:val="none"/>
          <w:u w:val="single"/>
          <w:lang w:val="en-US" w:eastAsia="zh-CN"/>
        </w:rPr>
        <w:t>或盖章</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 xml:space="preserve">     </w:t>
      </w:r>
    </w:p>
    <w:p w14:paraId="05B123A9">
      <w:pPr>
        <w:adjustRightInd w:val="0"/>
        <w:snapToGrid w:val="0"/>
        <w:spacing w:line="360" w:lineRule="auto"/>
        <w:ind w:left="5040" w:hanging="5040" w:hangingChars="240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开户银行：</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开户银行：</w:t>
      </w:r>
      <w:r>
        <w:rPr>
          <w:rFonts w:hint="eastAsia" w:ascii="宋体" w:hAnsi="宋体" w:cs="宋体"/>
          <w:color w:val="auto"/>
          <w:sz w:val="21"/>
          <w:szCs w:val="21"/>
          <w:highlight w:val="none"/>
          <w:u w:val="single"/>
          <w:lang w:val="en-US" w:eastAsia="zh-CN"/>
        </w:rPr>
        <w:t xml:space="preserve">                    </w:t>
      </w:r>
    </w:p>
    <w:p w14:paraId="26AD803E">
      <w:pPr>
        <w:adjustRightInd w:val="0"/>
        <w:snapToGrid w:val="0"/>
        <w:spacing w:line="360" w:lineRule="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账号：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账号：</w:t>
      </w:r>
      <w:r>
        <w:rPr>
          <w:rFonts w:hint="eastAsia" w:ascii="宋体" w:hAnsi="宋体" w:cs="宋体"/>
          <w:color w:val="auto"/>
          <w:sz w:val="21"/>
          <w:szCs w:val="21"/>
          <w:highlight w:val="none"/>
          <w:u w:val="single"/>
          <w:lang w:val="en-US" w:eastAsia="zh-CN"/>
        </w:rPr>
        <w:t xml:space="preserve">                          </w:t>
      </w:r>
    </w:p>
    <w:p w14:paraId="1C6734FF">
      <w:pPr>
        <w:adjustRightInd w:val="0"/>
        <w:snapToGrid w:val="0"/>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电话：</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14:paraId="17736991">
      <w:pPr>
        <w:adjustRightInd w:val="0"/>
        <w:snapToGrid w:val="0"/>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传真：</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14:paraId="21D55D9C">
      <w:pPr>
        <w:adjustRightInd w:val="0"/>
        <w:snapToGrid w:val="0"/>
        <w:spacing w:line="360" w:lineRule="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电子邮箱：</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电子邮箱：</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14:paraId="186D6148">
      <w:pPr>
        <w:jc w:val="center"/>
        <w:rPr>
          <w:rFonts w:hint="eastAsia" w:ascii="宋体" w:hAnsi="宋体" w:cs="宋体"/>
          <w:b/>
          <w:color w:val="auto"/>
          <w:sz w:val="32"/>
          <w:szCs w:val="32"/>
          <w:highlight w:val="none"/>
        </w:rPr>
      </w:pPr>
      <w:r>
        <w:rPr>
          <w:rFonts w:hint="eastAsia" w:ascii="楷体" w:hAnsi="楷体" w:eastAsia="楷体" w:cs="楷体"/>
          <w:color w:val="auto"/>
          <w:sz w:val="24"/>
          <w:szCs w:val="24"/>
          <w:highlight w:val="none"/>
        </w:rPr>
        <w:br w:type="page"/>
      </w:r>
      <w:r>
        <w:rPr>
          <w:rFonts w:hint="eastAsia" w:ascii="宋体" w:hAnsi="宋体" w:cs="宋体"/>
          <w:b/>
          <w:color w:val="auto"/>
          <w:sz w:val="32"/>
          <w:szCs w:val="32"/>
          <w:highlight w:val="none"/>
        </w:rPr>
        <w:t>第二部分  通用条件</w:t>
      </w:r>
    </w:p>
    <w:p w14:paraId="1E966733">
      <w:pPr>
        <w:spacing w:line="500" w:lineRule="exact"/>
        <w:rPr>
          <w:rFonts w:hint="eastAsia" w:ascii="宋体" w:hAnsi="宋体" w:cs="宋体"/>
          <w:b/>
          <w:color w:val="auto"/>
          <w:highlight w:val="none"/>
        </w:rPr>
      </w:pPr>
      <w:r>
        <w:rPr>
          <w:rFonts w:hint="eastAsia" w:ascii="宋体" w:hAnsi="宋体" w:cs="宋体"/>
          <w:b/>
          <w:color w:val="auto"/>
          <w:highlight w:val="none"/>
        </w:rPr>
        <w:t>1. 定义与解释</w:t>
      </w:r>
    </w:p>
    <w:p w14:paraId="59475150">
      <w:pPr>
        <w:spacing w:line="500" w:lineRule="exact"/>
        <w:ind w:firstLine="422" w:firstLineChars="200"/>
        <w:rPr>
          <w:rFonts w:hint="eastAsia" w:ascii="宋体" w:hAnsi="宋体" w:cs="宋体"/>
          <w:b/>
          <w:bCs/>
          <w:color w:val="auto"/>
          <w:highlight w:val="none"/>
        </w:rPr>
      </w:pPr>
      <w:r>
        <w:rPr>
          <w:rFonts w:hint="eastAsia" w:ascii="宋体" w:hAnsi="宋体" w:cs="宋体"/>
          <w:b/>
          <w:color w:val="auto"/>
          <w:highlight w:val="none"/>
        </w:rPr>
        <w:t xml:space="preserve">1.1 </w:t>
      </w:r>
      <w:r>
        <w:rPr>
          <w:rFonts w:hint="eastAsia" w:ascii="宋体" w:hAnsi="宋体" w:cs="宋体"/>
          <w:b/>
          <w:bCs/>
          <w:color w:val="auto"/>
          <w:highlight w:val="none"/>
        </w:rPr>
        <w:t>定义</w:t>
      </w:r>
    </w:p>
    <w:p w14:paraId="3EDEB276">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除根据上下文另有其意义外，组成本合同的全部文件中的下列名词和用语应具有本款所赋予的含义：</w:t>
      </w:r>
    </w:p>
    <w:p w14:paraId="2671DA4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1.1.1 “工程”是指按照本合同约定实施监理与相关服务的建设工程。</w:t>
      </w:r>
    </w:p>
    <w:p w14:paraId="37D483A9">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1.1.2 “委托人”是指本合同中委托监理与相关服务的一方，及其合法的继承人或受让人。</w:t>
      </w:r>
    </w:p>
    <w:p w14:paraId="6E3604C8">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1.1.3 “监理人”是指本合同中提供监理与相关服务的一方，及其合法的继承人。</w:t>
      </w:r>
    </w:p>
    <w:p w14:paraId="555113AA">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1.1.4 “承包人”是指在工程范围内与委托人签订勘察、设计、施工等有关合同的当事人，及其合法的继承人。</w:t>
      </w:r>
    </w:p>
    <w:p w14:paraId="15700BFA">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1.1.5 “监理”是指监理人受委托人的委托 ，依照法律法规、工程建设标准、勘察设计文件及合同，在施工阶段对建设工程质量、进度、造价进行控制，对合同、信息进行管理，对工程建设相关方的关系进行协调，并履行建设工程安全生产管理法定职责的服务活动。</w:t>
      </w:r>
    </w:p>
    <w:p w14:paraId="2210D3C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1.1.6 “相关服务”是指监理人受委托人的委托 ，按照本合同约定，在勘察、设计、保修等阶段提供的服务活动。</w:t>
      </w:r>
    </w:p>
    <w:p w14:paraId="0AFAFC19">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1.1.7 “正常工作”指本合同订立时通用条件和专用条件中约定的监理人的工作。</w:t>
      </w:r>
    </w:p>
    <w:p w14:paraId="248EEFFE">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1.1.8 “附加工作”是指本合同约定的正常工作以外监理人的工作。</w:t>
      </w:r>
    </w:p>
    <w:p w14:paraId="28DA992D">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1.1.9 “项目监理机构”是指监理人派驻工程负责履行本合同的组织机构。</w:t>
      </w:r>
    </w:p>
    <w:p w14:paraId="536B9EDC">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1.1.10 “总监理工程师”是指由监理人的法定代表人书面授权，全面负责履行本合同、主持项目监理机构工作的注册监理工程师。</w:t>
      </w:r>
    </w:p>
    <w:p w14:paraId="7463F2DC">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1.1.11 “酬金”是指监理人履行本合同义务，委托人按照本合同约定给付监理人的金额。</w:t>
      </w:r>
    </w:p>
    <w:p w14:paraId="16E11C0E">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1.1.12 “正常工作酬金”是指监理人完成正常工作，委托人应给付监理人并在协议书中载明的签约酬金额。</w:t>
      </w:r>
    </w:p>
    <w:p w14:paraId="77F164AB">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1.1.13 “附加工作酬金”是指监理人完成附加工作，委托人应给付监理人的金额。</w:t>
      </w:r>
    </w:p>
    <w:p w14:paraId="48A78C6E">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1.1.14 “一方”是指委托人或监理人；“双方”是指委托人和监理人；“第三方”是指除委托人和监理人以外的有关方。</w:t>
      </w:r>
    </w:p>
    <w:p w14:paraId="55F4D076">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1.1.15 “书面形式”是指合同书、信件和数据电文（包括电报、电传、传真、电子数据交换和电子邮件）等可以有形地表现所载内容的形式。</w:t>
      </w:r>
    </w:p>
    <w:p w14:paraId="60E96BC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1.1.16 “天”是指第一天零时至第二天零时的时间。</w:t>
      </w:r>
    </w:p>
    <w:p w14:paraId="2FAFD814">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1.1.17“月”是指按公历从一个月中任何一天开始的一个公历月时间。</w:t>
      </w:r>
    </w:p>
    <w:p w14:paraId="2360A864">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1.1.18 “不可抗力”是指委托人和监理人在订立本合同时不可预见，在工程施工过程中不可避免发生并不能克服的自然灾害和社会性突发事件，如地震、海啸、瘟疫、水灾、骚乱、暴动、战争和专用条件约定的其他情形。</w:t>
      </w:r>
    </w:p>
    <w:p w14:paraId="06B0EAF6">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1.2 解释</w:t>
      </w:r>
    </w:p>
    <w:p w14:paraId="56B388E6">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1.2.1本合同使用中文书写、解释和说明。如专用条件约定使用两种及以上语言文字时，应以中文为准。</w:t>
      </w:r>
    </w:p>
    <w:p w14:paraId="7432398D">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1.2.2 组成本合同的下列文件彼此应能相互解释、互为说明。除专用条件另有约定外，本合同文件的解释顺序如下：</w:t>
      </w:r>
    </w:p>
    <w:p w14:paraId="7BC9D77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（1）协议书；</w:t>
      </w:r>
    </w:p>
    <w:p w14:paraId="13E4F7AE">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（2）中标通知书（适用于招标工程）或委托书（适用于非招标工程）；</w:t>
      </w:r>
    </w:p>
    <w:p w14:paraId="60BB861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（3）专用条件及附录；</w:t>
      </w:r>
    </w:p>
    <w:p w14:paraId="4D1DB6DB">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（4）通用条件；</w:t>
      </w:r>
    </w:p>
    <w:p w14:paraId="7B6F5A91">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（5）投标文件（适用于招标工程）或监理与相关服务建议书（适用于非招标工程）。</w:t>
      </w:r>
    </w:p>
    <w:p w14:paraId="6A8B9A4B">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双方签订的补充协议与其他文件发生矛盾或歧义时，属于同一类内容的文件，应以最新签署的为准。</w:t>
      </w:r>
    </w:p>
    <w:p w14:paraId="4D550E8F">
      <w:pPr>
        <w:spacing w:line="500" w:lineRule="exact"/>
        <w:rPr>
          <w:rFonts w:hint="eastAsia" w:ascii="宋体" w:hAnsi="宋体" w:cs="宋体"/>
          <w:b/>
          <w:color w:val="auto"/>
          <w:highlight w:val="none"/>
        </w:rPr>
      </w:pPr>
      <w:r>
        <w:rPr>
          <w:rFonts w:hint="eastAsia" w:ascii="宋体" w:hAnsi="宋体" w:cs="宋体"/>
          <w:b/>
          <w:color w:val="auto"/>
          <w:highlight w:val="none"/>
        </w:rPr>
        <w:t>2. 监理人的义务</w:t>
      </w:r>
    </w:p>
    <w:p w14:paraId="6911258A">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2.1 监理的范围和工作内容</w:t>
      </w:r>
    </w:p>
    <w:p w14:paraId="1BC36B40">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2.1.1 监理范围在专用条件中约定。</w:t>
      </w:r>
    </w:p>
    <w:p w14:paraId="3DFDA1EC">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2.1.2 除专用条件另有约定外，监理工作内容包括：</w:t>
      </w:r>
    </w:p>
    <w:p w14:paraId="0E44702B">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（1）收到工程设计文件后编制监理规划，并在第一次工地会议7天前报委托人。根据有关规定和监理工作需要，编制监理实施细则；</w:t>
      </w:r>
    </w:p>
    <w:p w14:paraId="728D9566">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（2）熟悉工程设计文件，并参加由委托人主持的图纸会审和设计交底会议；</w:t>
      </w:r>
    </w:p>
    <w:p w14:paraId="17315636">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（3）参加由委托人主持的第一次工地会议；主持监理例会并根据工程需要主持或参加专题会议；</w:t>
      </w:r>
    </w:p>
    <w:p w14:paraId="082E671D">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（4）审查施工承包人提交的施工组织设计，重点审查其中的质量安全技术措施、专项施工方案与工程建设强制性标准的符合性；</w:t>
      </w:r>
    </w:p>
    <w:p w14:paraId="585BA01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 xml:space="preserve">（5）检查施工承包人工程质量、安全生产管理制度及组织机构和人员资格； </w:t>
      </w:r>
    </w:p>
    <w:p w14:paraId="44B7354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（6）检查施工承包人专职安全生产管理人员的配备情况；</w:t>
      </w:r>
    </w:p>
    <w:p w14:paraId="5E44856E">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（7）审查施工承包人提交的施工进度计划，核查承包人对施工进度计划的调整；</w:t>
      </w:r>
    </w:p>
    <w:p w14:paraId="7A699FF2">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（8）检查施工承包人的试验室；</w:t>
      </w:r>
    </w:p>
    <w:p w14:paraId="2FAF8BC6">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（9）审核施工分包人资质条件；</w:t>
      </w:r>
    </w:p>
    <w:p w14:paraId="3A56079A">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（10）查验施工承包人的施工测量放线成果；</w:t>
      </w:r>
    </w:p>
    <w:p w14:paraId="68112C7A">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（11）审查工程开工条件，对条件具备的签发开工令；</w:t>
      </w:r>
    </w:p>
    <w:p w14:paraId="71081D88">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（12）审查施工承包人报送的工程材料、构配件、设备质量证明文件的有效性和符合性，并按规定对用于工程的材料采取平行检验或见证取样方式进行抽检；</w:t>
      </w:r>
    </w:p>
    <w:p w14:paraId="30EF4EC1">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（13）审核施工承包人提交的工程款支付申请，签发或出具工程款支付证书，并报委托人审核、批准；</w:t>
      </w:r>
    </w:p>
    <w:p w14:paraId="6065B0DE">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（14）在巡视、旁站和检验过程中，发现工程质量、施工安全存在事故隐患的，要求施工承包人整改并报委托人；</w:t>
      </w:r>
    </w:p>
    <w:p w14:paraId="7C494F1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（15）经委托人同意，签发工程暂停令和复工令；</w:t>
      </w:r>
    </w:p>
    <w:p w14:paraId="6FD94DAC">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（16）审查施工承包人提交的采用新材料、新工艺、新技术、新设备的论证材料及相关验收标准；</w:t>
      </w:r>
    </w:p>
    <w:p w14:paraId="65549421">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（17）验收隐蔽工程、分部分项工程；</w:t>
      </w:r>
    </w:p>
    <w:p w14:paraId="46411854">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（18）审查施工承包人提交的工程变更申请，协调处理施工进度调整、费用索赔、合同争议等事项；</w:t>
      </w:r>
    </w:p>
    <w:p w14:paraId="4EB95D98">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（19）审查施工承包人提交的竣工验收申请，编写工程质量评估报告；</w:t>
      </w:r>
    </w:p>
    <w:p w14:paraId="32F6C336">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（20）参加工程竣工验收，签署竣工验收意见；</w:t>
      </w:r>
    </w:p>
    <w:p w14:paraId="26457BA0">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（21）审查施工承包人提交的竣工结算申请并报委托人；</w:t>
      </w:r>
    </w:p>
    <w:p w14:paraId="48DA0818">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（22）编制、整理工程监理归档文件并报委托人。</w:t>
      </w:r>
    </w:p>
    <w:p w14:paraId="5A8F464B">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2.1.3 相关服务的范围和内容在专用条款中约定。</w:t>
      </w:r>
    </w:p>
    <w:p w14:paraId="62210B77">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2.2 监理与相关服务依据</w:t>
      </w:r>
    </w:p>
    <w:p w14:paraId="77CD2C99">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2.2.1 监理依据包括：</w:t>
      </w:r>
    </w:p>
    <w:p w14:paraId="41709F5A">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（1）适用的法律、行政法规及部门规章；</w:t>
      </w:r>
    </w:p>
    <w:p w14:paraId="4980EA11">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（2）与工程有关的标准；</w:t>
      </w:r>
    </w:p>
    <w:p w14:paraId="2740ACE0">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（3）工程设计及有关文件；</w:t>
      </w:r>
    </w:p>
    <w:p w14:paraId="4176E301">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（4）本合同及委托人与第三方签订的与实施工程有关的其他合同。</w:t>
      </w:r>
    </w:p>
    <w:p w14:paraId="19248B9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双方根据工程的行业和地域特点，在专用条件中具体约定监理依据。</w:t>
      </w:r>
    </w:p>
    <w:p w14:paraId="4D4A5D9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2.2.2 相关服务依据在专用条件中约定。</w:t>
      </w:r>
    </w:p>
    <w:p w14:paraId="6B164F76">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2.3 项目监理机构和人员</w:t>
      </w:r>
    </w:p>
    <w:p w14:paraId="5D8A77A1">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2.3.1 监理人应组建满足工作需要的项目监理机构，配备必要的检测设备。项目监理机构的主要人员应具有相应的资格条件。</w:t>
      </w:r>
    </w:p>
    <w:p w14:paraId="211880B0">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2.3.2本合同履行过程中，总监理工程师及重要岗位监理人员应保持相对稳定，以保证监理工作正常进行。</w:t>
      </w:r>
    </w:p>
    <w:p w14:paraId="1E2DAC96">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2.3.3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14:paraId="56925F86">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2.3.4 监理人应及时更换有下列情形之一的监理人员：</w:t>
      </w:r>
    </w:p>
    <w:p w14:paraId="06921A78">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（1）严重过失行为的；</w:t>
      </w:r>
    </w:p>
    <w:p w14:paraId="64752A53">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（2）有违法行为不能履行职责的；</w:t>
      </w:r>
    </w:p>
    <w:p w14:paraId="610F3473">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（3）涉嫌犯罪的；</w:t>
      </w:r>
    </w:p>
    <w:p w14:paraId="3D817FBD">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（4）不能胜任岗位职责的；</w:t>
      </w:r>
    </w:p>
    <w:p w14:paraId="6A4C8F9E">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（5）严重违反职业道德的；</w:t>
      </w:r>
    </w:p>
    <w:p w14:paraId="5BD5E99B">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（6）专用条件约定的其他情形。</w:t>
      </w:r>
    </w:p>
    <w:p w14:paraId="6B6D3440">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2.3.5 委托人可要求监理人更换不能胜任本职工作的项目监理机构人员。</w:t>
      </w:r>
    </w:p>
    <w:p w14:paraId="4889F777">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2.4 履行职责</w:t>
      </w:r>
    </w:p>
    <w:p w14:paraId="4863A0D6">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监理人应遵循职业道德准则和行为规范，严格按照法律法规、工程建设有关标准及本合同履行职责。</w:t>
      </w:r>
    </w:p>
    <w:p w14:paraId="4A38508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2.4.1 在监理与相关服务范围内，委托人和承包人提出的意见和要求，监理人应及时提出处置意见。当委托人与承包人之间发生合同争议时，监理人应协助委托人、承包人协商解决。</w:t>
      </w:r>
    </w:p>
    <w:p w14:paraId="5D52B9FC">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2.4.2 当委托人与承包人之间的合同争议提交仲裁机构仲裁或人民法院审理时，监理人应提供必要的证明资料。</w:t>
      </w:r>
    </w:p>
    <w:p w14:paraId="1DC24F8D">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2.4.3 监理人应在专用条件约定的授权范围内，处理委托人与承包人所签订合同的变更事宜。如果变更超过授权范围，应以书面形式报委托人批准。</w:t>
      </w:r>
    </w:p>
    <w:p w14:paraId="34B0300B">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在紧急情况下，为了保护财产和人身安全，监理人所发出的指令未能事先报委托人批准时，应在发出指令后的24小时内以书面形式报委托人。</w:t>
      </w:r>
    </w:p>
    <w:p w14:paraId="7CEC8E58">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2.4.4 除专用条件另有约定外，监理人发现承包人的人员不能胜任本职工作的，有权要求承包人予以调换。</w:t>
      </w:r>
    </w:p>
    <w:p w14:paraId="7E6B274E">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2.5 提交报告</w:t>
      </w:r>
    </w:p>
    <w:p w14:paraId="2093BC41">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监理人应按专用条件约定的种类、时间和份数向委托人提交监理与相关服务的报告。</w:t>
      </w:r>
    </w:p>
    <w:p w14:paraId="0A20AFC3">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2.6 文件资料</w:t>
      </w:r>
    </w:p>
    <w:p w14:paraId="07CCE3AA">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kern w:val="0"/>
          <w:highlight w:val="none"/>
        </w:rPr>
        <w:t>在本合同履行期内，监理人应在现场保留工作所用的图纸、报告及记录监理工</w:t>
      </w:r>
      <w:r>
        <w:rPr>
          <w:rFonts w:hint="eastAsia" w:ascii="宋体" w:hAnsi="宋体" w:cs="宋体"/>
          <w:color w:val="auto"/>
          <w:highlight w:val="none"/>
        </w:rPr>
        <w:t>作的相关文件。工程竣工后，应当按照档案管理规定将监理有关文件归档。</w:t>
      </w:r>
    </w:p>
    <w:p w14:paraId="45FF5337">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2.7 使用委托人的财产</w:t>
      </w:r>
    </w:p>
    <w:p w14:paraId="70B137D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监理人无偿使用附录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14:paraId="0928A6C8">
      <w:pPr>
        <w:spacing w:line="500" w:lineRule="exact"/>
        <w:rPr>
          <w:rFonts w:hint="eastAsia" w:ascii="宋体" w:hAnsi="宋体" w:cs="宋体"/>
          <w:b/>
          <w:color w:val="auto"/>
          <w:kern w:val="0"/>
          <w:highlight w:val="none"/>
        </w:rPr>
      </w:pPr>
      <w:r>
        <w:rPr>
          <w:rFonts w:hint="eastAsia" w:ascii="宋体" w:hAnsi="宋体" w:cs="宋体"/>
          <w:b/>
          <w:color w:val="auto"/>
          <w:kern w:val="0"/>
          <w:highlight w:val="none"/>
        </w:rPr>
        <w:t>3．委托人的义务</w:t>
      </w:r>
    </w:p>
    <w:p w14:paraId="62047892">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3.1 告知</w:t>
      </w:r>
    </w:p>
    <w:p w14:paraId="142CB53D">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highlight w:val="none"/>
        </w:rPr>
        <w:t>委托人应在委托人与承包人签订的合同中明确监理人</w:t>
      </w:r>
      <w:r>
        <w:rPr>
          <w:rFonts w:hint="eastAsia" w:ascii="宋体" w:hAnsi="宋体" w:cs="宋体"/>
          <w:color w:val="auto"/>
          <w:kern w:val="0"/>
          <w:highlight w:val="none"/>
        </w:rPr>
        <w:t>、总监理工程师和授予项目监理机构的权限。如有变更，应及时通知承包人。</w:t>
      </w:r>
    </w:p>
    <w:p w14:paraId="630E0489">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3.2 提供资料</w:t>
      </w:r>
    </w:p>
    <w:p w14:paraId="4517A5FD">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委托人应按照附录约定</w:t>
      </w:r>
      <w:r>
        <w:rPr>
          <w:rFonts w:hint="eastAsia" w:ascii="宋体" w:hAnsi="宋体" w:cs="宋体"/>
          <w:color w:val="auto"/>
          <w:kern w:val="0"/>
          <w:highlight w:val="none"/>
        </w:rPr>
        <w:t>，无偿向监理人提供工程有关的资料。</w:t>
      </w:r>
      <w:r>
        <w:rPr>
          <w:rFonts w:hint="eastAsia" w:ascii="宋体" w:hAnsi="宋体" w:cs="宋体"/>
          <w:color w:val="auto"/>
          <w:highlight w:val="none"/>
        </w:rPr>
        <w:t>在本合同履行过程中，委托人应及时向监理人提供最新的与工程有关的资料。</w:t>
      </w:r>
    </w:p>
    <w:p w14:paraId="420BF5AC">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3.3 提供工作条件</w:t>
      </w:r>
    </w:p>
    <w:p w14:paraId="7E2AD9D2">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委托人应为监理人完成监理与相关服务提供必要的条件。</w:t>
      </w:r>
    </w:p>
    <w:p w14:paraId="508E57BE">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kern w:val="0"/>
          <w:highlight w:val="none"/>
        </w:rPr>
        <w:t xml:space="preserve">3.3.1 </w:t>
      </w:r>
      <w:r>
        <w:rPr>
          <w:rFonts w:hint="eastAsia" w:ascii="宋体" w:hAnsi="宋体" w:cs="宋体"/>
          <w:color w:val="auto"/>
          <w:highlight w:val="none"/>
        </w:rPr>
        <w:t>委托人应按照附录约定，派遣相应的人员，提供房屋、设备，供监理人</w:t>
      </w:r>
      <w:r>
        <w:rPr>
          <w:rFonts w:hint="eastAsia" w:ascii="宋体" w:hAnsi="宋体" w:cs="宋体"/>
          <w:color w:val="auto"/>
          <w:kern w:val="0"/>
          <w:highlight w:val="none"/>
        </w:rPr>
        <w:t>无偿</w:t>
      </w:r>
      <w:r>
        <w:rPr>
          <w:rFonts w:hint="eastAsia" w:ascii="宋体" w:hAnsi="宋体" w:cs="宋体"/>
          <w:color w:val="auto"/>
          <w:highlight w:val="none"/>
        </w:rPr>
        <w:t>使用。</w:t>
      </w:r>
    </w:p>
    <w:p w14:paraId="445E26A7">
      <w:pPr>
        <w:adjustRightInd w:val="0"/>
        <w:snapToGrid w:val="0"/>
        <w:spacing w:line="500" w:lineRule="exact"/>
        <w:ind w:firstLine="420" w:firstLineChars="200"/>
        <w:rPr>
          <w:rFonts w:hint="eastAsia"/>
        </w:rPr>
      </w:pPr>
      <w:r>
        <w:rPr>
          <w:rFonts w:hint="eastAsia" w:ascii="宋体" w:hAnsi="宋体" w:cs="宋体"/>
          <w:color w:val="auto"/>
          <w:kern w:val="0"/>
          <w:highlight w:val="none"/>
        </w:rPr>
        <w:t xml:space="preserve">3.3.2 </w:t>
      </w:r>
      <w:r>
        <w:rPr>
          <w:rFonts w:hint="eastAsia" w:ascii="宋体" w:hAnsi="宋体" w:cs="宋体"/>
          <w:color w:val="auto"/>
          <w:highlight w:val="none"/>
        </w:rPr>
        <w:t>委托人应负责协调工程建设中所有外部关系，为监理人履行本合同提供必要的外部条件。但监理人就外部协调事项应提前</w:t>
      </w:r>
      <w:r>
        <w:rPr>
          <w:rFonts w:hint="eastAsia" w:ascii="宋体" w:hAnsi="宋体" w:cs="宋体"/>
          <w:color w:val="auto"/>
          <w:highlight w:val="none"/>
          <w:lang w:val="en-US" w:eastAsia="zh-CN"/>
        </w:rPr>
        <w:t>15</w:t>
      </w:r>
      <w:r>
        <w:rPr>
          <w:rFonts w:hint="eastAsia" w:ascii="宋体" w:hAnsi="宋体" w:cs="宋体"/>
          <w:color w:val="auto"/>
          <w:highlight w:val="none"/>
        </w:rPr>
        <w:t>日向委托人提交书面协调申请。</w:t>
      </w:r>
    </w:p>
    <w:p w14:paraId="1C3E5B50">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3.4 委托人代表</w:t>
      </w:r>
    </w:p>
    <w:p w14:paraId="3D2A279B">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委托人应授权一名熟悉工程情况的代表，负责与监理人联系。委托人应在双方签订本合同后7天内，将委托人代表的姓名和职责书面告知监理人。当委托人更换委托人代表时，应提前7天通知监理人。</w:t>
      </w:r>
    </w:p>
    <w:p w14:paraId="5BEEB528">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3.5 委托人意见或要求</w:t>
      </w:r>
    </w:p>
    <w:p w14:paraId="60A14BC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在本合同约定的监理与相关服务工作范围内，委托人对承包人的任何意见或要求应通知监理人，由监理人向承包人发出相应指令。</w:t>
      </w:r>
    </w:p>
    <w:p w14:paraId="74CAA765">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3.6 答复</w:t>
      </w:r>
    </w:p>
    <w:p w14:paraId="007E0B3B">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委托人应在专用条件约定的时间内，对监理人以书面形式提交并要求作出决定的事宜，给予书面答复。</w:t>
      </w:r>
    </w:p>
    <w:p w14:paraId="3C2471CA">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3.7 支付</w:t>
      </w:r>
    </w:p>
    <w:p w14:paraId="39AD8ED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委托人应按本合同约定，向监理人支付酬金。</w:t>
      </w:r>
    </w:p>
    <w:p w14:paraId="2DE76DF9">
      <w:pPr>
        <w:snapToGrid w:val="0"/>
        <w:spacing w:line="500" w:lineRule="exact"/>
        <w:rPr>
          <w:rFonts w:hint="eastAsia" w:ascii="宋体" w:hAnsi="宋体" w:cs="宋体"/>
          <w:b/>
          <w:bCs/>
          <w:color w:val="auto"/>
          <w:highlight w:val="none"/>
        </w:rPr>
      </w:pPr>
      <w:r>
        <w:rPr>
          <w:rFonts w:hint="eastAsia" w:ascii="宋体" w:hAnsi="宋体" w:cs="宋体"/>
          <w:b/>
          <w:bCs/>
          <w:color w:val="auto"/>
          <w:highlight w:val="none"/>
        </w:rPr>
        <w:t>4. 违约责任</w:t>
      </w:r>
    </w:p>
    <w:p w14:paraId="05D309DE">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4.1 监理人的违约责任</w:t>
      </w:r>
    </w:p>
    <w:p w14:paraId="3B1C7CA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监理人未履行本合同义务的</w:t>
      </w:r>
      <w:r>
        <w:rPr>
          <w:rFonts w:hint="eastAsia" w:ascii="宋体" w:hAnsi="宋体" w:cs="宋体"/>
          <w:color w:val="auto"/>
          <w:kern w:val="0"/>
          <w:highlight w:val="none"/>
        </w:rPr>
        <w:t>，应承担相应的责任。</w:t>
      </w:r>
    </w:p>
    <w:p w14:paraId="33BF2E1D">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 xml:space="preserve">4.1.1 </w:t>
      </w:r>
      <w:r>
        <w:rPr>
          <w:rFonts w:hint="eastAsia" w:ascii="宋体" w:hAnsi="宋体" w:cs="宋体"/>
          <w:color w:val="auto"/>
          <w:highlight w:val="none"/>
        </w:rPr>
        <w:t>因监理人违反本合同约定给委托人造成损失的，监理人应当赔偿委托人损失</w:t>
      </w:r>
      <w:r>
        <w:rPr>
          <w:rFonts w:hint="eastAsia" w:ascii="宋体" w:hAnsi="宋体" w:cs="宋体"/>
          <w:color w:val="auto"/>
          <w:kern w:val="0"/>
          <w:highlight w:val="none"/>
        </w:rPr>
        <w:t>。</w:t>
      </w:r>
      <w:r>
        <w:rPr>
          <w:rFonts w:hint="eastAsia" w:ascii="宋体" w:hAnsi="宋体" w:cs="宋体"/>
          <w:color w:val="auto"/>
          <w:highlight w:val="none"/>
        </w:rPr>
        <w:t>赔偿金额的确定方法在专用条件中约定</w:t>
      </w:r>
      <w:r>
        <w:rPr>
          <w:rFonts w:hint="eastAsia" w:ascii="宋体" w:hAnsi="宋体" w:cs="宋体"/>
          <w:color w:val="auto"/>
          <w:kern w:val="0"/>
          <w:highlight w:val="none"/>
        </w:rPr>
        <w:t>。监理人承担部分赔偿责任的，其承担赔偿金额由双方协商确定。</w:t>
      </w:r>
    </w:p>
    <w:p w14:paraId="256963AD">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 xml:space="preserve">4.1.2 </w:t>
      </w:r>
      <w:r>
        <w:rPr>
          <w:rFonts w:hint="eastAsia" w:ascii="宋体" w:hAnsi="宋体" w:cs="宋体"/>
          <w:color w:val="auto"/>
          <w:highlight w:val="none"/>
        </w:rPr>
        <w:t>监理人向委托人的索赔不成立时</w:t>
      </w:r>
      <w:r>
        <w:rPr>
          <w:rFonts w:hint="eastAsia" w:ascii="宋体" w:hAnsi="宋体" w:cs="宋体"/>
          <w:color w:val="auto"/>
          <w:kern w:val="0"/>
          <w:highlight w:val="none"/>
        </w:rPr>
        <w:t>，监理人应赔偿委托人由此发生的费用。</w:t>
      </w:r>
    </w:p>
    <w:p w14:paraId="54E56E26">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4.2 委托人的违约责任</w:t>
      </w:r>
    </w:p>
    <w:p w14:paraId="1D2219D4">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highlight w:val="none"/>
        </w:rPr>
        <w:t>委托人未履行本合同义务的</w:t>
      </w:r>
      <w:r>
        <w:rPr>
          <w:rFonts w:hint="eastAsia" w:ascii="宋体" w:hAnsi="宋体" w:cs="宋体"/>
          <w:color w:val="auto"/>
          <w:kern w:val="0"/>
          <w:highlight w:val="none"/>
        </w:rPr>
        <w:t>，应承担相应的责任。</w:t>
      </w:r>
    </w:p>
    <w:p w14:paraId="2A4C2D5B">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4.3 除外责任</w:t>
      </w:r>
    </w:p>
    <w:p w14:paraId="161913DC">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highlight w:val="none"/>
        </w:rPr>
        <w:t>因非监理人的原因</w:t>
      </w:r>
      <w:r>
        <w:rPr>
          <w:rFonts w:hint="eastAsia" w:ascii="宋体" w:hAnsi="宋体" w:cs="宋体"/>
          <w:color w:val="auto"/>
          <w:kern w:val="0"/>
          <w:highlight w:val="none"/>
        </w:rPr>
        <w:t>，且监理人无过错，发生工程质量事故、安全事故、工期延误等造成的损失，</w:t>
      </w:r>
      <w:r>
        <w:rPr>
          <w:rFonts w:hint="eastAsia" w:ascii="宋体" w:hAnsi="宋体" w:cs="宋体"/>
          <w:color w:val="auto"/>
          <w:highlight w:val="none"/>
        </w:rPr>
        <w:t>监理人不承担赔偿责任</w:t>
      </w:r>
      <w:r>
        <w:rPr>
          <w:rFonts w:hint="eastAsia" w:ascii="宋体" w:hAnsi="宋体" w:cs="宋体"/>
          <w:color w:val="auto"/>
          <w:kern w:val="0"/>
          <w:highlight w:val="none"/>
        </w:rPr>
        <w:t>。</w:t>
      </w:r>
    </w:p>
    <w:p w14:paraId="314BC79B">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highlight w:val="none"/>
        </w:rPr>
        <w:t>因不可抗力导致本合同全部或部分不能履行时</w:t>
      </w:r>
      <w:r>
        <w:rPr>
          <w:rFonts w:hint="eastAsia" w:ascii="宋体" w:hAnsi="宋体" w:cs="宋体"/>
          <w:color w:val="auto"/>
          <w:kern w:val="0"/>
          <w:highlight w:val="none"/>
        </w:rPr>
        <w:t>，双方各自承担其因此而造成的损失、损害。</w:t>
      </w:r>
    </w:p>
    <w:p w14:paraId="3F5C204B">
      <w:pPr>
        <w:snapToGrid w:val="0"/>
        <w:spacing w:line="500" w:lineRule="exact"/>
        <w:rPr>
          <w:rFonts w:hint="eastAsia" w:ascii="宋体" w:hAnsi="宋体" w:cs="宋体"/>
          <w:b/>
          <w:bCs/>
          <w:color w:val="auto"/>
          <w:highlight w:val="none"/>
        </w:rPr>
      </w:pPr>
      <w:r>
        <w:rPr>
          <w:rFonts w:hint="eastAsia" w:ascii="宋体" w:hAnsi="宋体" w:cs="宋体"/>
          <w:b/>
          <w:bCs/>
          <w:color w:val="auto"/>
          <w:highlight w:val="none"/>
        </w:rPr>
        <w:t>5. 支付</w:t>
      </w:r>
    </w:p>
    <w:p w14:paraId="4E6E6BB0">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5.1 支付货币</w:t>
      </w:r>
    </w:p>
    <w:p w14:paraId="44C7F0D7">
      <w:pPr>
        <w:adjustRightInd w:val="0"/>
        <w:snapToGrid w:val="0"/>
        <w:spacing w:line="500" w:lineRule="exact"/>
        <w:ind w:firstLine="420" w:firstLineChars="200"/>
        <w:rPr>
          <w:rFonts w:hint="eastAsia" w:ascii="宋体" w:hAnsi="宋体" w:cs="宋体"/>
          <w:bCs/>
          <w:color w:val="auto"/>
          <w:highlight w:val="none"/>
        </w:rPr>
      </w:pPr>
      <w:r>
        <w:rPr>
          <w:rFonts w:hint="eastAsia" w:ascii="宋体" w:hAnsi="宋体" w:cs="宋体"/>
          <w:color w:val="auto"/>
          <w:highlight w:val="none"/>
        </w:rPr>
        <w:t>除专用条件另有约定外，酬金均以人民币支付。涉及外币支付的，所采用的货币种类、比例和汇率在专用条件中约定。</w:t>
      </w:r>
    </w:p>
    <w:p w14:paraId="063BB6CF">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5.2 支付申请</w:t>
      </w:r>
    </w:p>
    <w:p w14:paraId="69C1D86E">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监理人应在本合同约定的每次应付款时间的7天前，向委托人提交支付申请书。支付申请书应当说明当期应付款总额，并列出当期应支付的款项及其金额。</w:t>
      </w:r>
    </w:p>
    <w:p w14:paraId="1FD18503">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5.3 支付酬金</w:t>
      </w:r>
    </w:p>
    <w:p w14:paraId="562D8611">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支付的酬金包括正常工作酬金、附加工作酬金、合理化建议奖励金额及费用。</w:t>
      </w:r>
    </w:p>
    <w:p w14:paraId="6868456A">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5.4 有争议部分的付款</w:t>
      </w:r>
    </w:p>
    <w:p w14:paraId="7740ACD1">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委托人对监理人提交的支付申请书有异议时，应当在收到监理人提交的支付申请书后7天内，以书面形式向监理人发出异议通知。无异议部分的款项应按期支付，有异议部分的款项按第7条约定办理。</w:t>
      </w:r>
    </w:p>
    <w:p w14:paraId="1EA4D035">
      <w:pPr>
        <w:snapToGrid w:val="0"/>
        <w:spacing w:line="500" w:lineRule="exact"/>
        <w:rPr>
          <w:rFonts w:hint="eastAsia" w:ascii="宋体" w:hAnsi="宋体" w:cs="宋体"/>
          <w:b/>
          <w:bCs/>
          <w:color w:val="auto"/>
          <w:highlight w:val="none"/>
        </w:rPr>
      </w:pPr>
      <w:r>
        <w:rPr>
          <w:rFonts w:hint="eastAsia" w:ascii="宋体" w:hAnsi="宋体" w:cs="宋体"/>
          <w:b/>
          <w:bCs/>
          <w:color w:val="auto"/>
          <w:highlight w:val="none"/>
        </w:rPr>
        <w:t>6. 合同生效、变更、暂停、解除与终止</w:t>
      </w:r>
    </w:p>
    <w:p w14:paraId="12955F9C">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6.1生效</w:t>
      </w:r>
    </w:p>
    <w:p w14:paraId="3FC70F1E">
      <w:pPr>
        <w:adjustRightInd w:val="0"/>
        <w:snapToGrid w:val="0"/>
        <w:spacing w:line="500" w:lineRule="exact"/>
        <w:ind w:firstLine="630" w:firstLineChars="300"/>
        <w:rPr>
          <w:rFonts w:hint="eastAsia" w:ascii="宋体" w:hAnsi="宋体" w:cs="宋体"/>
          <w:color w:val="auto"/>
          <w:highlight w:val="none"/>
        </w:rPr>
      </w:pPr>
      <w:r>
        <w:rPr>
          <w:rFonts w:hint="eastAsia" w:ascii="宋体" w:hAnsi="宋体" w:cs="宋体"/>
          <w:color w:val="auto"/>
          <w:highlight w:val="none"/>
        </w:rPr>
        <w:t>除法律另有规定或者专用条件另有约定外，委托人和监理人的法定代表人或其授权代理人在协议书上签字并盖单位章后本合同生效。</w:t>
      </w:r>
    </w:p>
    <w:p w14:paraId="7FC00172">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6.2变更</w:t>
      </w:r>
    </w:p>
    <w:p w14:paraId="5B0CE18D">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6.2.1 任何一方提出变更请求时，双方经协商一致后可进行变更。</w:t>
      </w:r>
    </w:p>
    <w:p w14:paraId="3CC22E73">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6.2.2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14:paraId="4A817B3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6.2.3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28天。</w:t>
      </w:r>
    </w:p>
    <w:p w14:paraId="1B0036E2">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6.2.4合同签订后，遇有与工程相关的法律法规、标准颁布或修订的，双方应遵照执行。由此引起监理与相关服务的范围、时间、酬金变化的，双方应通过协商进行相应调整。</w:t>
      </w:r>
    </w:p>
    <w:p w14:paraId="25DE1F63">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6.2.5 因非监理人原因造成工程概算投资额或建筑安装工程费增加时，正常工作酬金应</w:t>
      </w:r>
      <w:r>
        <w:rPr>
          <w:rFonts w:hint="eastAsia" w:ascii="宋体" w:hAnsi="宋体" w:cs="宋体"/>
          <w:color w:val="auto"/>
          <w:highlight w:val="none"/>
          <w:lang w:eastAsia="zh-CN"/>
        </w:rPr>
        <w:t>做</w:t>
      </w:r>
      <w:r>
        <w:rPr>
          <w:rFonts w:hint="eastAsia" w:ascii="宋体" w:hAnsi="宋体" w:cs="宋体"/>
          <w:color w:val="auto"/>
          <w:highlight w:val="none"/>
        </w:rPr>
        <w:t>相应调整。调整方法在专用条件中约定。</w:t>
      </w:r>
    </w:p>
    <w:p w14:paraId="78D527D3">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6.2.6 因工程规模、监理范围的变化导致监理人的正常工作量减少时，正常工作酬金应</w:t>
      </w:r>
      <w:r>
        <w:rPr>
          <w:rFonts w:hint="eastAsia" w:ascii="宋体" w:hAnsi="宋体" w:cs="宋体"/>
          <w:color w:val="auto"/>
          <w:highlight w:val="none"/>
          <w:lang w:eastAsia="zh-CN"/>
        </w:rPr>
        <w:t>做</w:t>
      </w:r>
      <w:r>
        <w:rPr>
          <w:rFonts w:hint="eastAsia" w:ascii="宋体" w:hAnsi="宋体" w:cs="宋体"/>
          <w:color w:val="auto"/>
          <w:highlight w:val="none"/>
        </w:rPr>
        <w:t>相应调整。调整方法在专用条件中约定。</w:t>
      </w:r>
    </w:p>
    <w:p w14:paraId="6F98A411">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6.3 暂停与解除</w:t>
      </w:r>
    </w:p>
    <w:p w14:paraId="767DCBC1">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除双方协商一致可以解除本合同外，当一方无正当理由未履行本合同约定的义务时，另一方可以根据本合同约定暂停履行本合同直至解除本合同。</w:t>
      </w:r>
    </w:p>
    <w:p w14:paraId="5FB4D791">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6.3.1 在本合同有效期内，由于双方无法预见和控制的原因导致本合同全部或部分无法继续履行或继续履行已无意义，经双方协商一致，可以解除本合同或监理人的部分义务。在解除之前，监理人应</w:t>
      </w:r>
      <w:r>
        <w:rPr>
          <w:rFonts w:hint="eastAsia" w:ascii="宋体" w:hAnsi="宋体" w:cs="宋体"/>
          <w:color w:val="auto"/>
          <w:highlight w:val="none"/>
          <w:lang w:eastAsia="zh-CN"/>
        </w:rPr>
        <w:t>做出</w:t>
      </w:r>
      <w:r>
        <w:rPr>
          <w:rFonts w:hint="eastAsia" w:ascii="宋体" w:hAnsi="宋体" w:cs="宋体"/>
          <w:color w:val="auto"/>
          <w:highlight w:val="none"/>
        </w:rPr>
        <w:t>合理安排，使开支减至最小。</w:t>
      </w:r>
    </w:p>
    <w:p w14:paraId="0B779336">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解除本合同的协议必须采取书面形式，协议未达成之前，本合同仍然有效。</w:t>
      </w:r>
    </w:p>
    <w:p w14:paraId="4785DA03">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6.3.2 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14:paraId="7D2C486B">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暂停部分监理与相关服务时间超过182天，监理人可发出解除本合同约定的该部分义务的通知；暂停全部工作时间超过182天，监理人可发出解除本合同的通知，本合同自通知到达委托人时解除。委托人应将监理与相关服务的酬金支付至本合同解除日，且应承担第4.2款约定的责任。</w:t>
      </w:r>
    </w:p>
    <w:p w14:paraId="0AD350D8">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6.3.3 当监理人无正当理由未履行本合同约定的义务时，委托人应通知监理人限期改正。若委托人在监理人接到通知后的7天内未收到监理人书面形式的合理解释，则可在7天内发出解除本合同的通知，自通知到达监理人时本合同解除。委托人应将监理与相关服务的酬金支付至限期改正通知到达监理人之日，但监理人应承担第4.1款约定的责任。</w:t>
      </w:r>
    </w:p>
    <w:p w14:paraId="789CAD78">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6.3.4 监理人在专用条件5.3中约定的支付之日起28天后仍未收到委托人按本合同约定应付的款项，可向委托人发出催付通知。</w:t>
      </w:r>
    </w:p>
    <w:p w14:paraId="16BD2FD0">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6.3.5 因不可抗力导致监理服务期延长的，监理人不得要求增加酬金，且应继续行合同义务直至工程竣工验收。</w:t>
      </w:r>
    </w:p>
    <w:p w14:paraId="400DF4B0">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6.3.6 委托人发现监理人存在虚报监理日志、伪造验收记录等弄虚作假行为时，有权立即解除本合同并追究法律责任。</w:t>
      </w:r>
    </w:p>
    <w:p w14:paraId="72A7136D">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lang w:val="en-US" w:eastAsia="zh-CN"/>
        </w:rPr>
        <w:t>6.3.7</w:t>
      </w:r>
      <w:r>
        <w:rPr>
          <w:rFonts w:hint="eastAsia" w:ascii="宋体" w:hAnsi="宋体" w:cs="宋体"/>
          <w:color w:val="auto"/>
          <w:highlight w:val="none"/>
        </w:rPr>
        <w:t>本合同解除后，本合同约定的有关结算、清理、争议解决方式的条件仍然有效。</w:t>
      </w:r>
    </w:p>
    <w:p w14:paraId="6AE5F3C3">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6.4 终止</w:t>
      </w:r>
    </w:p>
    <w:p w14:paraId="256E80A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以下条件全部满足时，本合同即告终止：</w:t>
      </w:r>
    </w:p>
    <w:p w14:paraId="70875809">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（1）监理人完成本合同约定的全部工作；</w:t>
      </w:r>
    </w:p>
    <w:p w14:paraId="5BFFEE2A">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（2）委托人与监理人结清并支付全部酬金。</w:t>
      </w:r>
    </w:p>
    <w:p w14:paraId="5F5422BB">
      <w:pPr>
        <w:snapToGrid w:val="0"/>
        <w:spacing w:line="500" w:lineRule="exact"/>
        <w:rPr>
          <w:rFonts w:hint="eastAsia" w:ascii="宋体" w:hAnsi="宋体" w:cs="宋体"/>
          <w:b/>
          <w:bCs/>
          <w:color w:val="auto"/>
          <w:highlight w:val="none"/>
        </w:rPr>
      </w:pPr>
      <w:r>
        <w:rPr>
          <w:rFonts w:hint="eastAsia" w:ascii="宋体" w:hAnsi="宋体" w:cs="宋体"/>
          <w:b/>
          <w:bCs/>
          <w:color w:val="auto"/>
          <w:highlight w:val="none"/>
        </w:rPr>
        <w:t>7. 争议解决</w:t>
      </w:r>
    </w:p>
    <w:p w14:paraId="4873FCE0">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7.1协商</w:t>
      </w:r>
    </w:p>
    <w:p w14:paraId="799D6F50">
      <w:pPr>
        <w:adjustRightInd w:val="0"/>
        <w:snapToGrid w:val="0"/>
        <w:spacing w:line="500" w:lineRule="exact"/>
        <w:ind w:firstLine="420" w:firstLineChars="200"/>
        <w:rPr>
          <w:rFonts w:hint="eastAsia" w:ascii="宋体" w:hAnsi="宋体" w:cs="宋体"/>
          <w:bCs/>
          <w:color w:val="auto"/>
          <w:highlight w:val="none"/>
        </w:rPr>
      </w:pPr>
      <w:r>
        <w:rPr>
          <w:rFonts w:hint="eastAsia" w:ascii="宋体" w:hAnsi="宋体" w:cs="宋体"/>
          <w:color w:val="auto"/>
          <w:highlight w:val="none"/>
        </w:rPr>
        <w:t>双方应本着诚信原则协商解决彼此间的争议。</w:t>
      </w:r>
    </w:p>
    <w:p w14:paraId="793CE986">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7.2调解</w:t>
      </w:r>
    </w:p>
    <w:p w14:paraId="33FC6A57">
      <w:pPr>
        <w:adjustRightInd w:val="0"/>
        <w:snapToGrid w:val="0"/>
        <w:spacing w:line="500" w:lineRule="exact"/>
        <w:ind w:firstLine="420" w:firstLineChars="200"/>
        <w:rPr>
          <w:rFonts w:hint="eastAsia" w:ascii="宋体" w:hAnsi="宋体" w:cs="宋体"/>
          <w:bCs/>
          <w:color w:val="auto"/>
          <w:highlight w:val="none"/>
        </w:rPr>
      </w:pPr>
      <w:r>
        <w:rPr>
          <w:rFonts w:hint="eastAsia" w:ascii="宋体" w:hAnsi="宋体" w:cs="宋体"/>
          <w:color w:val="auto"/>
          <w:highlight w:val="none"/>
        </w:rPr>
        <w:t>如果双方不能在14天内或双方商定的其他时间内解决本合同争议，可以将其提交给专用条件约定的或事后达成协议的调解人进行调解。</w:t>
      </w:r>
    </w:p>
    <w:p w14:paraId="3B5955A2">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7.3仲裁或诉讼</w:t>
      </w:r>
    </w:p>
    <w:p w14:paraId="761FFF73">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双方均有权不经调解直接向专用条件约定的仲裁机构申请仲裁或向有管辖权的人民法院提起诉讼。</w:t>
      </w:r>
    </w:p>
    <w:p w14:paraId="58D735E7">
      <w:pPr>
        <w:snapToGrid w:val="0"/>
        <w:spacing w:line="500" w:lineRule="exact"/>
        <w:rPr>
          <w:rFonts w:hint="eastAsia" w:ascii="宋体" w:hAnsi="宋体" w:cs="宋体"/>
          <w:b/>
          <w:bCs/>
          <w:color w:val="auto"/>
          <w:highlight w:val="none"/>
        </w:rPr>
      </w:pPr>
      <w:r>
        <w:rPr>
          <w:rFonts w:hint="eastAsia" w:ascii="宋体" w:hAnsi="宋体" w:cs="宋体"/>
          <w:b/>
          <w:bCs/>
          <w:color w:val="auto"/>
          <w:highlight w:val="none"/>
        </w:rPr>
        <w:t>8. 其他</w:t>
      </w:r>
    </w:p>
    <w:p w14:paraId="2C8F0B69">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8.1 外出考察费用</w:t>
      </w:r>
    </w:p>
    <w:p w14:paraId="31B79995">
      <w:pPr>
        <w:adjustRightInd w:val="0"/>
        <w:snapToGrid w:val="0"/>
        <w:spacing w:line="500" w:lineRule="exact"/>
        <w:ind w:firstLine="420" w:firstLineChars="200"/>
        <w:rPr>
          <w:rFonts w:hint="eastAsia" w:ascii="宋体" w:hAnsi="宋体" w:cs="宋体"/>
          <w:bCs/>
          <w:color w:val="auto"/>
          <w:highlight w:val="none"/>
        </w:rPr>
      </w:pPr>
      <w:r>
        <w:rPr>
          <w:rFonts w:hint="eastAsia" w:ascii="宋体" w:hAnsi="宋体" w:cs="宋体"/>
          <w:color w:val="auto"/>
          <w:highlight w:val="none"/>
        </w:rPr>
        <w:t>经委托人同意，监理人员外出考察发生的费用由委托人审核后支付。</w:t>
      </w:r>
    </w:p>
    <w:p w14:paraId="385CDEE3">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8.2 检测费用</w:t>
      </w:r>
    </w:p>
    <w:p w14:paraId="666AD2C5">
      <w:pPr>
        <w:adjustRightInd w:val="0"/>
        <w:snapToGrid w:val="0"/>
        <w:spacing w:line="500" w:lineRule="exact"/>
        <w:ind w:firstLine="420" w:firstLineChars="200"/>
        <w:rPr>
          <w:rFonts w:hint="eastAsia" w:ascii="宋体" w:hAnsi="宋体" w:cs="宋体"/>
          <w:bCs/>
          <w:color w:val="auto"/>
          <w:highlight w:val="none"/>
        </w:rPr>
      </w:pPr>
      <w:r>
        <w:rPr>
          <w:rFonts w:hint="eastAsia" w:ascii="宋体" w:hAnsi="宋体" w:cs="宋体"/>
          <w:color w:val="auto"/>
          <w:highlight w:val="none"/>
        </w:rPr>
        <w:t>委托人要求监理人进行的材料和设备检测所发生的费用，由委托人支付，支付时间在专用条件中约定。</w:t>
      </w:r>
    </w:p>
    <w:p w14:paraId="6D38B6CB">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8.3 咨询费用</w:t>
      </w:r>
    </w:p>
    <w:p w14:paraId="7B990E90">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经委托人同意，根据工程需要由监理人组织的相关咨询论证会以及聘请相关专家等发生的费用由委托人支付，支付时间在专用条件中约定。</w:t>
      </w:r>
    </w:p>
    <w:p w14:paraId="3C5AB7FF">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8.4 奖励</w:t>
      </w:r>
    </w:p>
    <w:p w14:paraId="4F8E3CD2">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监理人在服务过程中提出的合理化建议，使委托人获得经济效益的，双方在专用条件中约定奖励金额的确定方法。奖励金额在合理化建议被采纳后，与最近一期的正常工作酬金同期支付。</w:t>
      </w:r>
    </w:p>
    <w:p w14:paraId="1C44C4B6">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8.5 守法诚信</w:t>
      </w:r>
    </w:p>
    <w:p w14:paraId="692792E9">
      <w:pPr>
        <w:adjustRightInd w:val="0"/>
        <w:snapToGrid w:val="0"/>
        <w:spacing w:line="500" w:lineRule="exact"/>
        <w:ind w:firstLine="420" w:firstLineChars="200"/>
        <w:rPr>
          <w:rFonts w:hint="eastAsia" w:ascii="宋体" w:hAnsi="宋体" w:cs="宋体"/>
          <w:bCs/>
          <w:color w:val="auto"/>
          <w:highlight w:val="none"/>
        </w:rPr>
      </w:pPr>
      <w:r>
        <w:rPr>
          <w:rFonts w:hint="eastAsia" w:ascii="宋体" w:hAnsi="宋体" w:cs="宋体"/>
          <w:color w:val="auto"/>
          <w:highlight w:val="none"/>
        </w:rPr>
        <w:t>监理人及其工作人员不得从与实施工程有关的第三方处获得任何经济利益。</w:t>
      </w:r>
    </w:p>
    <w:p w14:paraId="4B839C42">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8.6 保密</w:t>
      </w:r>
    </w:p>
    <w:p w14:paraId="46722AB9">
      <w:pPr>
        <w:adjustRightInd w:val="0"/>
        <w:snapToGrid w:val="0"/>
        <w:spacing w:line="500" w:lineRule="exact"/>
        <w:ind w:firstLine="420" w:firstLineChars="200"/>
        <w:rPr>
          <w:rFonts w:hint="eastAsia" w:ascii="宋体" w:hAnsi="宋体" w:cs="宋体"/>
          <w:bCs/>
          <w:color w:val="auto"/>
          <w:highlight w:val="none"/>
        </w:rPr>
      </w:pPr>
      <w:r>
        <w:rPr>
          <w:rFonts w:hint="eastAsia" w:ascii="宋体" w:hAnsi="宋体" w:cs="宋体"/>
          <w:color w:val="auto"/>
          <w:highlight w:val="none"/>
        </w:rPr>
        <w:t>双方不得泄露对方申明的保密资料，亦不得泄露与实施工程有关的第三方所提供的保密资料，保密事项在专用条件中约定。</w:t>
      </w:r>
    </w:p>
    <w:p w14:paraId="11A64096">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8.7 通知</w:t>
      </w:r>
    </w:p>
    <w:p w14:paraId="08BA35E2">
      <w:pPr>
        <w:adjustRightInd w:val="0"/>
        <w:snapToGrid w:val="0"/>
        <w:spacing w:line="500" w:lineRule="exact"/>
        <w:ind w:firstLine="420" w:firstLineChars="200"/>
        <w:rPr>
          <w:rFonts w:hint="eastAsia" w:ascii="宋体" w:hAnsi="宋体" w:cs="宋体"/>
          <w:bCs/>
          <w:color w:val="auto"/>
          <w:highlight w:val="none"/>
        </w:rPr>
      </w:pPr>
      <w:r>
        <w:rPr>
          <w:rFonts w:hint="eastAsia" w:ascii="宋体" w:hAnsi="宋体" w:cs="宋体"/>
          <w:color w:val="auto"/>
          <w:highlight w:val="none"/>
        </w:rPr>
        <w:t>本合同涉及的通知均应当采用书面形式，并在送达对方时生效，收件人应书面签收。</w:t>
      </w:r>
    </w:p>
    <w:p w14:paraId="1F22CD52">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8.8 著作权</w:t>
      </w:r>
    </w:p>
    <w:p w14:paraId="722D502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监理人对其编制的文件拥有著作权。</w:t>
      </w:r>
    </w:p>
    <w:p w14:paraId="60C5F53B">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14:paraId="6DD8FD92">
      <w:pPr>
        <w:adjustRightInd w:val="0"/>
        <w:snapToGrid w:val="0"/>
        <w:spacing w:line="500" w:lineRule="exact"/>
        <w:ind w:firstLine="420" w:firstLineChars="200"/>
        <w:rPr>
          <w:rFonts w:hint="eastAsia" w:ascii="宋体" w:hAnsi="宋体" w:cs="宋体"/>
          <w:color w:val="auto"/>
          <w:highlight w:val="none"/>
        </w:rPr>
      </w:pPr>
    </w:p>
    <w:p w14:paraId="34569A6C">
      <w:pPr>
        <w:spacing w:line="500" w:lineRule="exact"/>
        <w:jc w:val="center"/>
        <w:rPr>
          <w:rFonts w:hint="eastAsia" w:ascii="宋体" w:hAnsi="宋体" w:cs="宋体"/>
          <w:b/>
          <w:color w:val="auto"/>
          <w:highlight w:val="none"/>
        </w:rPr>
      </w:pPr>
      <w:r>
        <w:rPr>
          <w:rFonts w:hint="eastAsia" w:ascii="宋体" w:hAnsi="宋体" w:cs="宋体"/>
          <w:b/>
          <w:color w:val="auto"/>
          <w:highlight w:val="none"/>
        </w:rPr>
        <w:br w:type="page"/>
      </w:r>
      <w:r>
        <w:rPr>
          <w:rFonts w:hint="eastAsia" w:ascii="宋体" w:hAnsi="宋体" w:cs="宋体"/>
          <w:b/>
          <w:color w:val="auto"/>
          <w:highlight w:val="none"/>
        </w:rPr>
        <w:t>第三部分  专用条件</w:t>
      </w:r>
    </w:p>
    <w:p w14:paraId="5EC9F054">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1. 定义与解释</w:t>
      </w:r>
    </w:p>
    <w:p w14:paraId="4725149C">
      <w:pPr>
        <w:adjustRightInd w:val="0"/>
        <w:snapToGrid w:val="0"/>
        <w:spacing w:line="500" w:lineRule="exact"/>
        <w:rPr>
          <w:rFonts w:hint="eastAsia" w:ascii="宋体" w:hAnsi="宋体" w:cs="宋体"/>
          <w:b/>
          <w:color w:val="auto"/>
          <w:highlight w:val="none"/>
        </w:rPr>
      </w:pPr>
      <w:r>
        <w:rPr>
          <w:rFonts w:hint="eastAsia" w:ascii="宋体" w:hAnsi="宋体" w:cs="宋体"/>
          <w:b/>
          <w:color w:val="auto"/>
          <w:highlight w:val="none"/>
        </w:rPr>
        <w:t>1.2  解释</w:t>
      </w:r>
    </w:p>
    <w:p w14:paraId="147005F5">
      <w:pPr>
        <w:adjustRightInd w:val="0"/>
        <w:snapToGrid w:val="0"/>
        <w:spacing w:line="500" w:lineRule="exact"/>
        <w:ind w:firstLine="420" w:firstLineChars="200"/>
        <w:rPr>
          <w:rFonts w:hint="eastAsia" w:ascii="宋体" w:hAnsi="宋体" w:cs="宋体"/>
          <w:snapToGrid w:val="0"/>
          <w:color w:val="auto"/>
          <w:kern w:val="0"/>
          <w:highlight w:val="none"/>
        </w:rPr>
      </w:pPr>
      <w:r>
        <w:rPr>
          <w:rFonts w:hint="eastAsia" w:ascii="宋体" w:hAnsi="宋体" w:cs="宋体"/>
          <w:snapToGrid w:val="0"/>
          <w:color w:val="auto"/>
          <w:kern w:val="0"/>
          <w:highlight w:val="none"/>
        </w:rPr>
        <w:t>1.2.1 本合同文件使用中文。</w:t>
      </w:r>
    </w:p>
    <w:p w14:paraId="3C6649EB">
      <w:pPr>
        <w:adjustRightInd w:val="0"/>
        <w:snapToGrid w:val="0"/>
        <w:spacing w:line="500" w:lineRule="exact"/>
        <w:ind w:firstLine="420" w:firstLineChars="200"/>
        <w:rPr>
          <w:rFonts w:hint="eastAsia" w:ascii="宋体" w:hAnsi="宋体" w:cs="宋体"/>
          <w:snapToGrid w:val="0"/>
          <w:color w:val="auto"/>
          <w:kern w:val="0"/>
          <w:highlight w:val="none"/>
        </w:rPr>
      </w:pPr>
      <w:r>
        <w:rPr>
          <w:rFonts w:hint="eastAsia" w:ascii="宋体" w:hAnsi="宋体" w:cs="宋体"/>
          <w:snapToGrid w:val="0"/>
          <w:color w:val="auto"/>
          <w:kern w:val="0"/>
          <w:highlight w:val="none"/>
        </w:rPr>
        <w:t>1.2.2 约定本合同文件的解释顺序为：</w:t>
      </w:r>
    </w:p>
    <w:p w14:paraId="1DBB6110">
      <w:pPr>
        <w:adjustRightInd w:val="0"/>
        <w:snapToGrid w:val="0"/>
        <w:spacing w:line="500" w:lineRule="exact"/>
        <w:ind w:firstLine="420" w:firstLineChars="200"/>
        <w:rPr>
          <w:rFonts w:hint="eastAsia" w:ascii="宋体" w:hAnsi="宋体" w:cs="宋体"/>
          <w:snapToGrid w:val="0"/>
          <w:color w:val="auto"/>
          <w:kern w:val="0"/>
          <w:highlight w:val="none"/>
        </w:rPr>
      </w:pPr>
      <w:r>
        <w:rPr>
          <w:rFonts w:hint="eastAsia" w:ascii="宋体" w:hAnsi="宋体" w:cs="宋体"/>
          <w:snapToGrid w:val="0"/>
          <w:color w:val="auto"/>
          <w:kern w:val="0"/>
          <w:highlight w:val="none"/>
        </w:rPr>
        <w:t>1.2.2.1本合同协议书(建设工程委托监理合同)；</w:t>
      </w:r>
    </w:p>
    <w:p w14:paraId="3896878A">
      <w:pPr>
        <w:adjustRightInd w:val="0"/>
        <w:snapToGrid w:val="0"/>
        <w:spacing w:line="500" w:lineRule="exact"/>
        <w:ind w:firstLine="420" w:firstLineChars="200"/>
        <w:rPr>
          <w:rFonts w:hint="eastAsia" w:ascii="宋体" w:hAnsi="宋体" w:cs="宋体"/>
          <w:snapToGrid w:val="0"/>
          <w:color w:val="auto"/>
          <w:kern w:val="0"/>
          <w:highlight w:val="none"/>
        </w:rPr>
      </w:pPr>
      <w:r>
        <w:rPr>
          <w:rFonts w:hint="eastAsia" w:ascii="宋体" w:hAnsi="宋体" w:cs="宋体"/>
          <w:snapToGrid w:val="0"/>
          <w:color w:val="auto"/>
          <w:kern w:val="0"/>
          <w:highlight w:val="none"/>
        </w:rPr>
        <w:t>1.2.2.2本合同专用条件；</w:t>
      </w:r>
    </w:p>
    <w:p w14:paraId="0B0D4BB5">
      <w:pPr>
        <w:adjustRightInd w:val="0"/>
        <w:snapToGrid w:val="0"/>
        <w:spacing w:line="500" w:lineRule="exact"/>
        <w:ind w:firstLine="420" w:firstLineChars="200"/>
        <w:rPr>
          <w:rFonts w:hint="eastAsia" w:ascii="宋体" w:hAnsi="宋体" w:cs="宋体"/>
          <w:snapToGrid w:val="0"/>
          <w:color w:val="auto"/>
          <w:kern w:val="0"/>
          <w:highlight w:val="none"/>
        </w:rPr>
      </w:pPr>
      <w:r>
        <w:rPr>
          <w:rFonts w:hint="eastAsia" w:ascii="宋体" w:hAnsi="宋体" w:cs="宋体"/>
          <w:snapToGrid w:val="0"/>
          <w:color w:val="auto"/>
          <w:kern w:val="0"/>
          <w:highlight w:val="none"/>
        </w:rPr>
        <w:t>1.2.2.3本合同通用条件；</w:t>
      </w:r>
    </w:p>
    <w:p w14:paraId="43773F6D">
      <w:pPr>
        <w:adjustRightInd w:val="0"/>
        <w:snapToGrid w:val="0"/>
        <w:spacing w:line="500" w:lineRule="exact"/>
        <w:ind w:firstLine="420" w:firstLineChars="200"/>
        <w:rPr>
          <w:rFonts w:hint="eastAsia" w:ascii="宋体" w:hAnsi="宋体" w:cs="宋体"/>
          <w:snapToGrid w:val="0"/>
          <w:color w:val="auto"/>
          <w:kern w:val="0"/>
          <w:highlight w:val="none"/>
        </w:rPr>
      </w:pPr>
      <w:r>
        <w:rPr>
          <w:rFonts w:hint="eastAsia" w:ascii="宋体" w:hAnsi="宋体" w:cs="宋体"/>
          <w:snapToGrid w:val="0"/>
          <w:color w:val="auto"/>
          <w:kern w:val="0"/>
          <w:highlight w:val="none"/>
        </w:rPr>
        <w:t>1.2.2.4中标通知书；</w:t>
      </w:r>
    </w:p>
    <w:p w14:paraId="354E4718">
      <w:pPr>
        <w:adjustRightInd w:val="0"/>
        <w:snapToGrid w:val="0"/>
        <w:spacing w:line="500" w:lineRule="exact"/>
        <w:ind w:firstLine="420" w:firstLineChars="200"/>
        <w:rPr>
          <w:rFonts w:hint="eastAsia" w:ascii="宋体" w:hAnsi="宋体" w:cs="宋体"/>
          <w:snapToGrid w:val="0"/>
          <w:color w:val="auto"/>
          <w:kern w:val="0"/>
          <w:highlight w:val="none"/>
        </w:rPr>
      </w:pPr>
      <w:r>
        <w:rPr>
          <w:rFonts w:hint="eastAsia" w:ascii="宋体" w:hAnsi="宋体" w:cs="宋体"/>
          <w:snapToGrid w:val="0"/>
          <w:color w:val="auto"/>
          <w:kern w:val="0"/>
          <w:highlight w:val="none"/>
        </w:rPr>
        <w:t>1.2.2.5投标书及其附件；</w:t>
      </w:r>
    </w:p>
    <w:p w14:paraId="2AE4B513">
      <w:pPr>
        <w:adjustRightInd w:val="0"/>
        <w:snapToGrid w:val="0"/>
        <w:spacing w:line="500" w:lineRule="exact"/>
        <w:ind w:firstLine="420" w:firstLineChars="200"/>
        <w:rPr>
          <w:rFonts w:hint="eastAsia" w:ascii="宋体" w:hAnsi="宋体" w:cs="宋体"/>
          <w:snapToGrid w:val="0"/>
          <w:color w:val="auto"/>
          <w:kern w:val="0"/>
          <w:highlight w:val="none"/>
        </w:rPr>
      </w:pPr>
      <w:r>
        <w:rPr>
          <w:rFonts w:hint="eastAsia" w:ascii="宋体" w:hAnsi="宋体" w:cs="宋体"/>
          <w:snapToGrid w:val="0"/>
          <w:color w:val="auto"/>
          <w:kern w:val="0"/>
          <w:highlight w:val="none"/>
        </w:rPr>
        <w:t>1.2.2.6招标文件及答疑纪要；</w:t>
      </w:r>
    </w:p>
    <w:p w14:paraId="39E840FE">
      <w:pPr>
        <w:adjustRightInd w:val="0"/>
        <w:snapToGrid w:val="0"/>
        <w:spacing w:line="500" w:lineRule="exact"/>
        <w:ind w:firstLine="420" w:firstLineChars="200"/>
        <w:rPr>
          <w:rFonts w:hint="eastAsia" w:ascii="宋体" w:hAnsi="宋体" w:cs="宋体"/>
          <w:snapToGrid w:val="0"/>
          <w:color w:val="auto"/>
          <w:kern w:val="0"/>
          <w:highlight w:val="none"/>
        </w:rPr>
      </w:pPr>
      <w:r>
        <w:rPr>
          <w:rFonts w:hint="eastAsia" w:ascii="宋体" w:hAnsi="宋体" w:cs="宋体"/>
          <w:snapToGrid w:val="0"/>
          <w:color w:val="auto"/>
          <w:kern w:val="0"/>
          <w:highlight w:val="none"/>
        </w:rPr>
        <w:t>1.2.2.7施工图纸；</w:t>
      </w:r>
    </w:p>
    <w:p w14:paraId="48BD14BE">
      <w:pPr>
        <w:adjustRightInd w:val="0"/>
        <w:snapToGrid w:val="0"/>
        <w:spacing w:line="500" w:lineRule="exact"/>
        <w:ind w:firstLine="420" w:firstLineChars="200"/>
        <w:rPr>
          <w:rFonts w:hint="eastAsia" w:ascii="宋体" w:hAnsi="宋体" w:cs="宋体"/>
          <w:snapToGrid w:val="0"/>
          <w:color w:val="auto"/>
          <w:kern w:val="0"/>
          <w:highlight w:val="none"/>
        </w:rPr>
      </w:pPr>
      <w:r>
        <w:rPr>
          <w:rFonts w:hint="eastAsia" w:ascii="宋体" w:hAnsi="宋体" w:cs="宋体"/>
          <w:snapToGrid w:val="0"/>
          <w:color w:val="auto"/>
          <w:kern w:val="0"/>
          <w:highlight w:val="none"/>
        </w:rPr>
        <w:t>1.2.2.8标准、规范及有关技术文件。</w:t>
      </w:r>
    </w:p>
    <w:p w14:paraId="388FACCC">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2. 监理人义务</w:t>
      </w:r>
    </w:p>
    <w:p w14:paraId="0F89625C">
      <w:pPr>
        <w:adjustRightInd w:val="0"/>
        <w:snapToGrid w:val="0"/>
        <w:spacing w:line="500" w:lineRule="exact"/>
        <w:rPr>
          <w:rFonts w:hint="eastAsia" w:ascii="宋体" w:hAnsi="宋体" w:cs="宋体"/>
          <w:b/>
          <w:color w:val="auto"/>
          <w:highlight w:val="none"/>
        </w:rPr>
      </w:pPr>
      <w:r>
        <w:rPr>
          <w:rFonts w:hint="eastAsia" w:ascii="宋体" w:hAnsi="宋体" w:cs="宋体"/>
          <w:b/>
          <w:color w:val="auto"/>
          <w:highlight w:val="none"/>
        </w:rPr>
        <w:t>2.1 监理的范围和内容</w:t>
      </w:r>
    </w:p>
    <w:p w14:paraId="7E2A490C">
      <w:pPr>
        <w:adjustRightInd w:val="0"/>
        <w:snapToGrid w:val="0"/>
        <w:spacing w:line="500" w:lineRule="exact"/>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2.1.1监理范围：</w:t>
      </w:r>
      <w:r>
        <w:rPr>
          <w:rFonts w:hint="eastAsia" w:ascii="宋体" w:hAnsi="宋体" w:cs="宋体"/>
          <w:color w:val="000000" w:themeColor="text1"/>
          <w:highlight w:val="none"/>
          <w:u w:val="single"/>
          <w:lang w:val="en-US" w:eastAsia="zh-CN"/>
          <w14:textFill>
            <w14:solidFill>
              <w14:schemeClr w14:val="tx1"/>
            </w14:solidFill>
          </w14:textFill>
        </w:rPr>
        <w:t>包括</w:t>
      </w:r>
      <w:r>
        <w:rPr>
          <w:rFonts w:hint="eastAsia" w:ascii="宋体" w:hAnsi="宋体" w:cs="宋体"/>
          <w:color w:val="000000" w:themeColor="text1"/>
          <w:highlight w:val="none"/>
          <w:u w:val="single"/>
          <w14:textFill>
            <w14:solidFill>
              <w14:schemeClr w14:val="tx1"/>
            </w14:solidFill>
          </w14:textFill>
        </w:rPr>
        <w:t>施工</w:t>
      </w:r>
      <w:r>
        <w:rPr>
          <w:rFonts w:hint="eastAsia" w:ascii="宋体" w:hAnsi="宋体" w:cs="宋体"/>
          <w:color w:val="000000" w:themeColor="text1"/>
          <w:highlight w:val="none"/>
          <w:u w:val="single"/>
          <w:lang w:val="en-US" w:eastAsia="zh-CN"/>
          <w14:textFill>
            <w14:solidFill>
              <w14:schemeClr w14:val="tx1"/>
            </w14:solidFill>
          </w14:textFill>
        </w:rPr>
        <w:t>期间及工程竣工验收期间</w:t>
      </w:r>
      <w:r>
        <w:rPr>
          <w:rFonts w:hint="eastAsia" w:ascii="宋体" w:hAnsi="宋体" w:cs="宋体"/>
          <w:color w:val="000000" w:themeColor="text1"/>
          <w:highlight w:val="none"/>
          <w:u w:val="single"/>
          <w14:textFill>
            <w14:solidFill>
              <w14:schemeClr w14:val="tx1"/>
            </w14:solidFill>
          </w14:textFill>
        </w:rPr>
        <w:t>的全过程监理服务</w:t>
      </w:r>
      <w:r>
        <w:rPr>
          <w:rFonts w:hint="eastAsia" w:ascii="宋体" w:hAnsi="宋体" w:cs="宋体"/>
          <w:color w:val="000000" w:themeColor="text1"/>
          <w:highlight w:val="none"/>
          <w:u w:val="single"/>
          <w:lang w:eastAsia="zh-CN"/>
          <w14:textFill>
            <w14:solidFill>
              <w14:schemeClr w14:val="tx1"/>
            </w14:solidFill>
          </w14:textFill>
        </w:rPr>
        <w:t>。</w:t>
      </w:r>
      <w:r>
        <w:rPr>
          <w:rFonts w:hint="eastAsia" w:ascii="宋体" w:hAnsi="宋体" w:cs="宋体"/>
          <w:color w:val="000000" w:themeColor="text1"/>
          <w:highlight w:val="none"/>
          <w:u w:val="single"/>
          <w:lang w:val="en-US" w:eastAsia="zh-CN"/>
          <w14:textFill>
            <w14:solidFill>
              <w14:schemeClr w14:val="tx1"/>
            </w14:solidFill>
          </w14:textFill>
        </w:rPr>
        <w:t>即</w:t>
      </w:r>
      <w:r>
        <w:rPr>
          <w:rFonts w:hint="eastAsia" w:ascii="宋体" w:hAnsi="宋体" w:cs="宋体"/>
          <w:color w:val="000000" w:themeColor="text1"/>
          <w:highlight w:val="none"/>
          <w:u w:val="single"/>
          <w14:textFill>
            <w14:solidFill>
              <w14:schemeClr w14:val="tx1"/>
            </w14:solidFill>
          </w14:textFill>
        </w:rPr>
        <w:t>项目开展过程中的质量、进度、费用控制、安全生产监督管理、合同、信息等方面的协调管理。具体以招标文件和发包人要求为准。</w:t>
      </w:r>
    </w:p>
    <w:p w14:paraId="5384935E">
      <w:pPr>
        <w:snapToGrid w:val="0"/>
        <w:spacing w:line="500" w:lineRule="exact"/>
        <w:ind w:firstLine="420" w:firstLineChars="200"/>
        <w:rPr>
          <w:rFonts w:hint="eastAsia" w:ascii="宋体" w:hAnsi="宋体" w:eastAsia="宋体" w:cs="宋体"/>
          <w:color w:val="000000" w:themeColor="text1"/>
          <w:highlight w:val="none"/>
          <w:u w:val="single"/>
          <w:lang w:eastAsia="zh-CN"/>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2.1.2 监理工作内容包括：</w:t>
      </w:r>
      <w:r>
        <w:rPr>
          <w:rFonts w:hint="eastAsia" w:ascii="宋体" w:hAnsi="宋体" w:cs="宋体"/>
          <w:color w:val="000000" w:themeColor="text1"/>
          <w:highlight w:val="none"/>
          <w:u w:val="single"/>
          <w14:textFill>
            <w14:solidFill>
              <w14:schemeClr w14:val="tx1"/>
            </w14:solidFill>
          </w14:textFill>
        </w:rPr>
        <w:t>施工阶段监理包括施工过程中的质量、进度、造价控制，安全生产监督管理、合同、信息</w:t>
      </w:r>
      <w:r>
        <w:rPr>
          <w:rFonts w:hint="eastAsia" w:ascii="宋体" w:hAnsi="宋体" w:cs="宋体"/>
          <w:color w:val="000000" w:themeColor="text1"/>
          <w:highlight w:val="none"/>
          <w:u w:val="single"/>
          <w:lang w:eastAsia="zh-CN"/>
          <w14:textFill>
            <w14:solidFill>
              <w14:schemeClr w14:val="tx1"/>
            </w14:solidFill>
          </w14:textFill>
        </w:rPr>
        <w:t>，以及</w:t>
      </w:r>
      <w:r>
        <w:rPr>
          <w:rFonts w:hint="eastAsia" w:ascii="宋体" w:hAnsi="宋体" w:cs="宋体"/>
          <w:color w:val="000000" w:themeColor="text1"/>
          <w:highlight w:val="none"/>
          <w:u w:val="single"/>
          <w14:textFill>
            <w14:solidFill>
              <w14:schemeClr w14:val="tx1"/>
            </w14:solidFill>
          </w14:textFill>
        </w:rPr>
        <w:t>与有关设计人、承包人及设备材料供应商等</w:t>
      </w:r>
      <w:r>
        <w:rPr>
          <w:rFonts w:hint="eastAsia" w:ascii="宋体" w:hAnsi="宋体" w:cs="宋体"/>
          <w:color w:val="000000" w:themeColor="text1"/>
          <w:highlight w:val="none"/>
          <w:u w:val="single"/>
          <w:lang w:eastAsia="zh-CN"/>
          <w14:textFill>
            <w14:solidFill>
              <w14:schemeClr w14:val="tx1"/>
            </w14:solidFill>
          </w14:textFill>
        </w:rPr>
        <w:t>其他</w:t>
      </w:r>
      <w:r>
        <w:rPr>
          <w:rFonts w:hint="eastAsia" w:ascii="宋体" w:hAnsi="宋体" w:cs="宋体"/>
          <w:color w:val="000000" w:themeColor="text1"/>
          <w:highlight w:val="none"/>
          <w:u w:val="single"/>
          <w14:textFill>
            <w14:solidFill>
              <w14:schemeClr w14:val="tx1"/>
            </w14:solidFill>
          </w14:textFill>
        </w:rPr>
        <w:t>第三方的协调工作，涵盖本次招标的全部专业工程范围</w:t>
      </w:r>
      <w:r>
        <w:rPr>
          <w:rFonts w:hint="eastAsia" w:ascii="宋体" w:hAnsi="宋体" w:cs="宋体"/>
          <w:color w:val="000000" w:themeColor="text1"/>
          <w:highlight w:val="none"/>
          <w:u w:val="single"/>
          <w:lang w:eastAsia="zh-CN"/>
          <w14:textFill>
            <w14:solidFill>
              <w14:schemeClr w14:val="tx1"/>
            </w14:solidFill>
          </w14:textFill>
        </w:rPr>
        <w:t>。</w:t>
      </w:r>
    </w:p>
    <w:p w14:paraId="621BA592">
      <w:pPr>
        <w:snapToGrid w:val="0"/>
        <w:spacing w:line="500" w:lineRule="exact"/>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具体工作如下：</w:t>
      </w:r>
    </w:p>
    <w:p w14:paraId="76DAB488">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000000" w:themeColor="text1"/>
          <w:highlight w:val="none"/>
          <w:u w:val="single"/>
          <w14:textFill>
            <w14:solidFill>
              <w14:schemeClr w14:val="tx1"/>
            </w14:solidFill>
          </w14:textFill>
        </w:rPr>
        <w:t>(1)根据项目的实际情况，</w:t>
      </w:r>
      <w:r>
        <w:rPr>
          <w:rFonts w:hint="eastAsia" w:ascii="宋体" w:hAnsi="宋体" w:cs="宋体"/>
          <w:color w:val="auto"/>
          <w:highlight w:val="none"/>
          <w:u w:val="single"/>
        </w:rPr>
        <w:t>及时调整监理规划，并按调整后的监理规划组织实施。</w:t>
      </w:r>
    </w:p>
    <w:p w14:paraId="75256095">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(2)审查承包人各项施工准备工作，在征得委托人同意后下达开工指令。</w:t>
      </w:r>
    </w:p>
    <w:p w14:paraId="319041E2">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(3)参加设计交底和图纸会审，对发现的问题及时与发包人设计部门协调沟通。</w:t>
      </w:r>
    </w:p>
    <w:p w14:paraId="61DEA89B">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(4)督促承包人各项管理制度和质量安全保证体系的建立、健全与实施。</w:t>
      </w:r>
    </w:p>
    <w:p w14:paraId="10522684">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(5)负责审查承包人编制的总施工进度计划、年度施工进度计划、月施工进度计划，将审查结果报送委托人审批，并督促承包人按审批计划实施。</w:t>
      </w:r>
    </w:p>
    <w:p w14:paraId="7DD6DAC0">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(6)审查承包人编制的施工组织设计、施工方案并督促其实施。</w:t>
      </w:r>
    </w:p>
    <w:p w14:paraId="0DFDDA9E">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(7)审查承包人或委托人提供的材料、设备进场计划，并督促其按计划进场。</w:t>
      </w:r>
    </w:p>
    <w:p w14:paraId="55DECF23">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(8)督促、检查承包人严格执行合同，并按照国家有关技术规范、规程、标准、设计图纸和相关文件的要求进行施工活动，督促其完善各阶段工程技术资料。</w:t>
      </w:r>
    </w:p>
    <w:p w14:paraId="5E32FD14">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(9)主持工程质量的工序验收、中间验收和阶段性验收，提出整改意见，并检查整改结果。</w:t>
      </w:r>
    </w:p>
    <w:p w14:paraId="7DBA8082">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(10)对工程施工质量负监督责任，按照工程施工质量标准、规范和合同要求，实施施工质量监督。派驻现场的监理人员应通过旁站、巡视、检测、隐蔽验收、中间验收和整体验收等手段全面监督、检查和严格控制工程质量，对违反国家有关规定的施工行为和质量不合格工程拥有否决权。</w:t>
      </w:r>
    </w:p>
    <w:p w14:paraId="79AB7036">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(11)实施施工进度监督，协调交叉施工问题。</w:t>
      </w:r>
    </w:p>
    <w:p w14:paraId="4B969BAF">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(12)对不能全面履行合同，质量低劣，管理混乱，因自身原因造成施工进度严重滞后且未采取有效弥补措施等承包人严重违约行为，根据合同规定，向委托人提交处理意见。</w:t>
      </w:r>
    </w:p>
    <w:p w14:paraId="3776AA64">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(13)监督检查承包人施工现场的安全生产和文明施工工地保证体系，监督承包人严格按照《西安市扬尘污染防治条例》相应要求执行到位，并督促其实施。</w:t>
      </w:r>
    </w:p>
    <w:p w14:paraId="1FA845FE">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(14)负责合格工程的月进度工程量计量工作，并建立工程量计量</w:t>
      </w:r>
      <w:r>
        <w:rPr>
          <w:rFonts w:hint="eastAsia" w:ascii="宋体" w:hAnsi="宋体" w:cs="宋体"/>
          <w:color w:val="auto"/>
          <w:highlight w:val="none"/>
          <w:u w:val="single"/>
          <w:lang w:eastAsia="zh-CN"/>
        </w:rPr>
        <w:t>台账</w:t>
      </w:r>
      <w:r>
        <w:rPr>
          <w:rFonts w:hint="eastAsia" w:ascii="宋体" w:hAnsi="宋体" w:cs="宋体"/>
          <w:color w:val="auto"/>
          <w:highlight w:val="none"/>
          <w:u w:val="single"/>
        </w:rPr>
        <w:t>。</w:t>
      </w:r>
    </w:p>
    <w:p w14:paraId="20F8AFF3">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(15)积极配合委托人的成本管理工作，建立健全各种</w:t>
      </w:r>
      <w:r>
        <w:rPr>
          <w:rFonts w:hint="eastAsia" w:ascii="宋体" w:hAnsi="宋体" w:cs="宋体"/>
          <w:color w:val="auto"/>
          <w:highlight w:val="none"/>
          <w:u w:val="single"/>
          <w:lang w:eastAsia="zh-CN"/>
        </w:rPr>
        <w:t>管理台账</w:t>
      </w:r>
      <w:r>
        <w:rPr>
          <w:rFonts w:hint="eastAsia" w:ascii="宋体" w:hAnsi="宋体" w:cs="宋体"/>
          <w:color w:val="auto"/>
          <w:highlight w:val="none"/>
          <w:u w:val="single"/>
        </w:rPr>
        <w:t>及做好指标分析。</w:t>
      </w:r>
    </w:p>
    <w:p w14:paraId="3DF448F0">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(16)按照发包人的相关管理办法，审核工程实施过程中的变更和签证，严格控制工程成本。</w:t>
      </w:r>
    </w:p>
    <w:p w14:paraId="7D6FEA53">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(17)对进场材料、构配件和设备的规格、品牌、数量、进场时间及质量负有监督责任，严格审核其进场报验资料。</w:t>
      </w:r>
    </w:p>
    <w:p w14:paraId="10465862">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①结合施工图纸、设计变更及招投标文件等资料，严格核对进场报验资料所列的规格、品牌、数量等，出现实际进场材料与报验清单不一致或报验清单与施工图纸、设计变更及招投标文件等相关资料要求不一致的情况，应及时向委托人汇报，并提出处理意见。</w:t>
      </w:r>
    </w:p>
    <w:p w14:paraId="348401DD">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②审核用于工程的材料、构配件和设备的</w:t>
      </w:r>
      <w:r>
        <w:rPr>
          <w:rFonts w:hint="eastAsia" w:ascii="宋体" w:hAnsi="宋体" w:cs="宋体"/>
          <w:color w:val="auto"/>
          <w:highlight w:val="none"/>
          <w:u w:val="single"/>
          <w:lang w:eastAsia="zh-CN"/>
        </w:rPr>
        <w:t>出厂</w:t>
      </w:r>
      <w:r>
        <w:rPr>
          <w:rFonts w:hint="eastAsia" w:ascii="宋体" w:hAnsi="宋体" w:cs="宋体"/>
          <w:color w:val="auto"/>
          <w:highlight w:val="none"/>
          <w:u w:val="single"/>
        </w:rPr>
        <w:t>合格证及检验试验报告等质量证明文件。按照有关工程质量监督管理规定，对进场的材料、构配件和设备见证取样，并责成承包人按规定送有资质的实验室进行检验。</w:t>
      </w:r>
    </w:p>
    <w:p w14:paraId="6E19E547">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③对验收不合格的工程材料、构配件和设备，监理人员应拒绝签认，并签发不合格通知单，书面通知承包单位或委托人，限期将不合格的工程材料、构配件及设备撤出现场。严防不合格的材料、构件和设备用于工程。</w:t>
      </w:r>
    </w:p>
    <w:p w14:paraId="028CD17D">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(18)工程竣工验收，审查承包人竣工资料，保证其完整、规范和符合要求。</w:t>
      </w:r>
    </w:p>
    <w:p w14:paraId="57A5654F">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(19)单项工程竣工后，监理人成立专门的审核小组负责审核竣工图纸和竣工结算资料，对其内容的完整性和正确性负责，出具工程内容甩项清单，保证现场实际施工内容、竣工图纸和结算内容三者一致。</w:t>
      </w:r>
    </w:p>
    <w:p w14:paraId="2867529E">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(20)负责配合建设单位开展竣工结算管理工作。</w:t>
      </w:r>
    </w:p>
    <w:p w14:paraId="14E06188">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①监理人应负责竣工结算管理工作，编制竣工结算计划并报项目管理单位、建设单位批准和备案；</w:t>
      </w:r>
    </w:p>
    <w:p w14:paraId="3C9AE2B5">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②监理人负责依据委托合同开展竣工结算组织、审核竣工结算工作，督促承包人按计划节点落实竣工结算工作；</w:t>
      </w:r>
    </w:p>
    <w:p w14:paraId="4BD6AAC3">
      <w:pPr>
        <w:adjustRightInd w:val="0"/>
        <w:snapToGrid w:val="0"/>
        <w:spacing w:line="500" w:lineRule="exact"/>
        <w:ind w:firstLine="420" w:firstLineChars="200"/>
        <w:jc w:val="both"/>
        <w:rPr>
          <w:rFonts w:hint="eastAsia" w:ascii="宋体" w:hAnsi="宋体" w:eastAsia="宋体" w:cs="宋体"/>
          <w:color w:val="FF0000"/>
          <w:highlight w:val="none"/>
          <w:u w:val="single"/>
          <w:lang w:val="en-US" w:eastAsia="zh-CN"/>
        </w:rPr>
      </w:pPr>
      <w:r>
        <w:rPr>
          <w:rFonts w:hint="eastAsia" w:ascii="宋体" w:hAnsi="宋体" w:cs="宋体"/>
          <w:color w:val="000000" w:themeColor="text1"/>
          <w:highlight w:val="none"/>
          <w:u w:val="single"/>
          <w14:textFill>
            <w14:solidFill>
              <w14:schemeClr w14:val="tx1"/>
            </w14:solidFill>
          </w14:textFill>
        </w:rPr>
        <w:t>③监理人应坚持实事求是原则审核，认真审核竣工结算相关文件时坚持不得弄虚作假</w:t>
      </w:r>
      <w:r>
        <w:rPr>
          <w:rFonts w:hint="eastAsia" w:ascii="宋体" w:hAnsi="宋体" w:cs="宋体"/>
          <w:color w:val="000000" w:themeColor="text1"/>
          <w:highlight w:val="none"/>
          <w:u w:val="single"/>
          <w:lang w:eastAsia="zh-CN"/>
          <w14:textFill>
            <w14:solidFill>
              <w14:schemeClr w14:val="tx1"/>
            </w14:solidFill>
          </w14:textFill>
        </w:rPr>
        <w:t>；</w:t>
      </w:r>
    </w:p>
    <w:p w14:paraId="3A0168E7">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④确保有专职造价人员督促、审核本工程竣工结算工作；</w:t>
      </w:r>
    </w:p>
    <w:p w14:paraId="5CE3EFD4">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⑤按照结算工作计划规定的</w:t>
      </w:r>
      <w:r>
        <w:rPr>
          <w:rFonts w:hint="eastAsia" w:ascii="宋体" w:hAnsi="宋体" w:cs="宋体"/>
          <w:color w:val="auto"/>
          <w:highlight w:val="none"/>
          <w:u w:val="single"/>
          <w:lang w:eastAsia="zh-CN"/>
        </w:rPr>
        <w:t>时效</w:t>
      </w:r>
      <w:r>
        <w:rPr>
          <w:rFonts w:hint="eastAsia" w:ascii="宋体" w:hAnsi="宋体" w:cs="宋体"/>
          <w:color w:val="auto"/>
          <w:highlight w:val="none"/>
          <w:u w:val="single"/>
        </w:rPr>
        <w:t>审核竣工结算文件(签证、竣工图、结算书等文件),不得无故拖延，否则委托人有权处罚；</w:t>
      </w:r>
    </w:p>
    <w:p w14:paraId="343F8CFA">
      <w:pPr>
        <w:adjustRightInd w:val="0"/>
        <w:snapToGrid w:val="0"/>
        <w:spacing w:line="500" w:lineRule="exact"/>
        <w:ind w:firstLine="420" w:firstLineChars="200"/>
        <w:rPr>
          <w:rFonts w:hint="eastAsia" w:ascii="宋体" w:hAnsi="宋体" w:cs="宋体"/>
          <w:color w:val="000000" w:themeColor="text1"/>
          <w:highlight w:val="none"/>
          <w:u w:val="single"/>
          <w:lang w:eastAsia="zh-CN"/>
          <w14:textFill>
            <w14:solidFill>
              <w14:schemeClr w14:val="tx1"/>
            </w14:solidFill>
          </w14:textFill>
        </w:rPr>
      </w:pPr>
      <w:r>
        <w:rPr>
          <w:rFonts w:hint="eastAsia" w:ascii="宋体" w:hAnsi="宋体" w:cs="宋体"/>
          <w:color w:val="000000" w:themeColor="text1"/>
          <w:highlight w:val="none"/>
          <w:u w:val="single"/>
          <w14:textFill>
            <w14:solidFill>
              <w14:schemeClr w14:val="tx1"/>
            </w14:solidFill>
          </w14:textFill>
        </w:rPr>
        <w:t>⑥在竣工验收合格后，因监理人原因未能按结算计划完成竣工结算文件审核等工作，监理人</w:t>
      </w:r>
      <w:r>
        <w:rPr>
          <w:rFonts w:hint="eastAsia" w:ascii="宋体" w:hAnsi="宋体" w:cs="宋体"/>
          <w:color w:val="000000" w:themeColor="text1"/>
          <w:highlight w:val="none"/>
          <w:u w:val="single"/>
          <w:lang w:val="en-US" w:eastAsia="zh-CN"/>
          <w14:textFill>
            <w14:solidFill>
              <w14:schemeClr w14:val="tx1"/>
            </w14:solidFill>
          </w14:textFill>
        </w:rPr>
        <w:t>应</w:t>
      </w:r>
      <w:r>
        <w:rPr>
          <w:rFonts w:hint="eastAsia" w:ascii="宋体" w:hAnsi="宋体" w:cs="宋体"/>
          <w:color w:val="000000" w:themeColor="text1"/>
          <w:highlight w:val="none"/>
          <w:u w:val="single"/>
          <w14:textFill>
            <w14:solidFill>
              <w14:schemeClr w14:val="tx1"/>
            </w14:solidFill>
          </w14:textFill>
        </w:rPr>
        <w:t>承担管理责任</w:t>
      </w:r>
      <w:r>
        <w:rPr>
          <w:rFonts w:hint="eastAsia" w:ascii="宋体" w:hAnsi="宋体" w:cs="宋体"/>
          <w:color w:val="000000" w:themeColor="text1"/>
          <w:highlight w:val="none"/>
          <w:u w:val="single"/>
          <w:lang w:eastAsia="zh-CN"/>
          <w14:textFill>
            <w14:solidFill>
              <w14:schemeClr w14:val="tx1"/>
            </w14:solidFill>
          </w14:textFill>
        </w:rPr>
        <w:t>；</w:t>
      </w:r>
    </w:p>
    <w:p w14:paraId="56037635">
      <w:pPr>
        <w:adjustRightInd w:val="0"/>
        <w:snapToGrid w:val="0"/>
        <w:spacing w:line="500" w:lineRule="exact"/>
        <w:ind w:firstLine="420" w:firstLineChars="200"/>
        <w:rPr>
          <w:rFonts w:hint="eastAsia" w:ascii="宋体" w:hAnsi="宋体" w:cs="宋体"/>
          <w:color w:val="000000" w:themeColor="text1"/>
          <w:highlight w:val="none"/>
          <w:u w:val="single"/>
          <w14:textFill>
            <w14:solidFill>
              <w14:schemeClr w14:val="tx1"/>
            </w14:solidFill>
          </w14:textFill>
        </w:rPr>
      </w:pPr>
      <w:r>
        <w:rPr>
          <w:rFonts w:hint="eastAsia" w:ascii="宋体" w:hAnsi="宋体" w:cs="宋体"/>
          <w:color w:val="000000" w:themeColor="text1"/>
          <w:highlight w:val="none"/>
          <w:u w:val="single"/>
          <w14:textFill>
            <w14:solidFill>
              <w14:schemeClr w14:val="tx1"/>
            </w14:solidFill>
          </w14:textFill>
        </w:rPr>
        <w:t xml:space="preserve">⑦监理人结算资料审查要求：  </w:t>
      </w:r>
    </w:p>
    <w:p w14:paraId="705632F3">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000000" w:themeColor="text1"/>
          <w:highlight w:val="none"/>
          <w:u w:val="single"/>
          <w14:textFill>
            <w14:solidFill>
              <w14:schemeClr w14:val="tx1"/>
            </w14:solidFill>
          </w14:textFill>
        </w:rPr>
        <w:t>1)在具</w:t>
      </w:r>
      <w:r>
        <w:rPr>
          <w:rFonts w:hint="eastAsia" w:ascii="宋体" w:hAnsi="宋体" w:cs="宋体"/>
          <w:color w:val="auto"/>
          <w:highlight w:val="none"/>
          <w:u w:val="single"/>
        </w:rPr>
        <w:t>备工程结算条件后，先由监理人审核，出具结算资料审核报告报委托人</w:t>
      </w:r>
      <w:r>
        <w:rPr>
          <w:rFonts w:hint="eastAsia" w:ascii="宋体" w:hAnsi="宋体" w:cs="宋体"/>
          <w:color w:val="auto"/>
          <w:highlight w:val="none"/>
          <w:u w:val="single"/>
          <w:lang w:eastAsia="zh-CN"/>
        </w:rPr>
        <w:t>项目部</w:t>
      </w:r>
      <w:r>
        <w:rPr>
          <w:rFonts w:hint="eastAsia" w:ascii="宋体" w:hAnsi="宋体" w:cs="宋体"/>
          <w:color w:val="auto"/>
          <w:highlight w:val="none"/>
          <w:u w:val="single"/>
        </w:rPr>
        <w:t>复审。</w:t>
      </w:r>
    </w:p>
    <w:p w14:paraId="5DBB8F71">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2)协助委托人及质监站对工程进行竣工验收，并在工程交付使用后3个月内督促承包人上报结算资料，并协助委托人办理结算资料的审核。</w:t>
      </w:r>
    </w:p>
    <w:p w14:paraId="7BF3CB5D">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3)负责对施工现场的竣工图、工作联系单、工程签证单等成本文件进行审核批复。</w:t>
      </w:r>
    </w:p>
    <w:p w14:paraId="5AD2705D">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4)监理人应严格按照要求的内容及时限督促承包人上报并及时审核结算资料，相应的</w:t>
      </w:r>
      <w:r>
        <w:rPr>
          <w:rFonts w:hint="eastAsia" w:ascii="宋体" w:hAnsi="宋体" w:cs="宋体"/>
          <w:color w:val="auto"/>
          <w:highlight w:val="none"/>
          <w:u w:val="single"/>
          <w:lang w:val="en-US" w:eastAsia="zh-CN"/>
        </w:rPr>
        <w:t>处</w:t>
      </w:r>
      <w:r>
        <w:rPr>
          <w:rFonts w:hint="eastAsia" w:ascii="宋体" w:hAnsi="宋体" w:cs="宋体"/>
          <w:color w:val="auto"/>
          <w:highlight w:val="none"/>
          <w:u w:val="single"/>
        </w:rPr>
        <w:t>罚则按照合同执行。</w:t>
      </w:r>
    </w:p>
    <w:p w14:paraId="385CF7FC">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5)关于监理人及委托人</w:t>
      </w:r>
      <w:r>
        <w:rPr>
          <w:rFonts w:hint="eastAsia" w:ascii="宋体" w:hAnsi="宋体" w:cs="宋体"/>
          <w:color w:val="auto"/>
          <w:highlight w:val="none"/>
          <w:u w:val="single"/>
          <w:lang w:eastAsia="zh-CN"/>
        </w:rPr>
        <w:t>项目部</w:t>
      </w:r>
      <w:r>
        <w:rPr>
          <w:rFonts w:hint="eastAsia" w:ascii="宋体" w:hAnsi="宋体" w:cs="宋体"/>
          <w:color w:val="auto"/>
          <w:highlight w:val="none"/>
          <w:u w:val="single"/>
        </w:rPr>
        <w:t>审核的重点内容：</w:t>
      </w:r>
    </w:p>
    <w:p w14:paraId="1E4A1E02">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重点包括：工程结算申报表填报的格式、内容是否正确，承包人是否盖章；开竣工报告、移交单，合同等结算资料是否齐全、有效；审核签证单是否齐全、属实；变更部分是否齐全，是否实施或完全按指令实施；是否有现场变更减少项目；比对竣工结算图纸与变更签证资料是否有重复部分；工期、质量是否符合合同约定，并对于与合同不符的内容签署处理意见、是否有奖金和罚款，竣工资料是否移交齐全、与</w:t>
      </w:r>
      <w:r>
        <w:rPr>
          <w:rFonts w:hint="eastAsia" w:ascii="宋体" w:hAnsi="宋体" w:cs="宋体"/>
          <w:color w:val="auto"/>
          <w:highlight w:val="none"/>
          <w:u w:val="single"/>
          <w:lang w:eastAsia="zh-CN"/>
        </w:rPr>
        <w:t>其他</w:t>
      </w:r>
      <w:r>
        <w:rPr>
          <w:rFonts w:hint="eastAsia" w:ascii="宋体" w:hAnsi="宋体" w:cs="宋体"/>
          <w:color w:val="auto"/>
          <w:highlight w:val="none"/>
          <w:u w:val="single"/>
        </w:rPr>
        <w:t>承包人是否有相互索赔或代工关系，核对检查是否有未施工项目，水、电费是否已结清；承包人报送竣工结算书签字盖章是否齐全，金额是否有异常等；委托人项目部认为需要审核的其他方面。上述内容要求监理工程师(</w:t>
      </w:r>
      <w:r>
        <w:rPr>
          <w:rFonts w:hint="eastAsia" w:ascii="宋体" w:hAnsi="宋体" w:cs="宋体"/>
          <w:color w:val="auto"/>
          <w:highlight w:val="none"/>
          <w:u w:val="single"/>
          <w:lang w:eastAsia="zh-CN"/>
        </w:rPr>
        <w:t>项目</w:t>
      </w:r>
      <w:r>
        <w:rPr>
          <w:rFonts w:hint="eastAsia" w:ascii="宋体" w:hAnsi="宋体" w:cs="宋体"/>
          <w:color w:val="auto"/>
          <w:highlight w:val="none"/>
          <w:u w:val="single"/>
        </w:rPr>
        <w:t>总监)、委托人专业工程师、委托人</w:t>
      </w:r>
      <w:r>
        <w:rPr>
          <w:rFonts w:hint="eastAsia" w:ascii="宋体" w:hAnsi="宋体" w:cs="宋体"/>
          <w:color w:val="auto"/>
          <w:highlight w:val="none"/>
          <w:u w:val="single"/>
          <w:lang w:eastAsia="zh-CN"/>
        </w:rPr>
        <w:t>项目部</w:t>
      </w:r>
      <w:r>
        <w:rPr>
          <w:rFonts w:hint="eastAsia" w:ascii="宋体" w:hAnsi="宋体" w:cs="宋体"/>
          <w:color w:val="auto"/>
          <w:highlight w:val="none"/>
          <w:u w:val="single"/>
        </w:rPr>
        <w:t>负责人均需签署意见。</w:t>
      </w:r>
    </w:p>
    <w:p w14:paraId="4D0E7CB7">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(21)协调、监督工程质量责任期内的工程质量缺陷的处理。</w:t>
      </w:r>
    </w:p>
    <w:p w14:paraId="0C279A14">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(22)监理人会同承包人按工程档案管理标准，整理、完善和编撰工程资料和监理资料，向发包人提交完整、合格的工程建设竣工资料。</w:t>
      </w:r>
    </w:p>
    <w:p w14:paraId="25F68C6B">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 xml:space="preserve">(23)监理人应协助委托人处理以下工作：  </w:t>
      </w:r>
    </w:p>
    <w:p w14:paraId="3D62FD25">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①协助委托人与城市规划、市容、环境、交通、治安及水电供应等有关部门的协调，以确保工程施工的正常进行；</w:t>
      </w:r>
    </w:p>
    <w:p w14:paraId="2601B8EB">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②协助委托人与设计人沟通联系，及时解决工程实施过程中的相关设计问题，完善设计变更等。</w:t>
      </w:r>
    </w:p>
    <w:p w14:paraId="10FAA721">
      <w:pPr>
        <w:adjustRightInd w:val="0"/>
        <w:snapToGrid w:val="0"/>
        <w:spacing w:line="500" w:lineRule="exact"/>
        <w:ind w:firstLine="420" w:firstLineChars="200"/>
        <w:rPr>
          <w:rFonts w:hint="eastAsia" w:ascii="宋体" w:hAnsi="宋体" w:cs="宋体"/>
          <w:snapToGrid w:val="0"/>
          <w:color w:val="auto"/>
          <w:kern w:val="0"/>
          <w:highlight w:val="none"/>
          <w:u w:val="single"/>
        </w:rPr>
      </w:pPr>
      <w:r>
        <w:rPr>
          <w:rFonts w:hint="eastAsia" w:ascii="宋体" w:hAnsi="宋体" w:cs="宋体"/>
          <w:color w:val="auto"/>
          <w:highlight w:val="none"/>
          <w:u w:val="single"/>
        </w:rPr>
        <w:t>(24)协助委托人督促承包人暂定价材料及专业工程暂估价</w:t>
      </w:r>
      <w:r>
        <w:rPr>
          <w:rFonts w:hint="eastAsia" w:ascii="宋体" w:hAnsi="宋体" w:cs="宋体"/>
          <w:color w:val="auto"/>
          <w:highlight w:val="none"/>
          <w:u w:val="single"/>
          <w:lang w:eastAsia="zh-CN"/>
        </w:rPr>
        <w:t>项目</w:t>
      </w:r>
      <w:r>
        <w:rPr>
          <w:rFonts w:hint="eastAsia" w:ascii="宋体" w:hAnsi="宋体" w:cs="宋体"/>
          <w:color w:val="auto"/>
          <w:highlight w:val="none"/>
          <w:u w:val="single"/>
        </w:rPr>
        <w:t>按省市及委托人上级主管部门相关规定进行招标。</w:t>
      </w:r>
    </w:p>
    <w:p w14:paraId="275C7D5D">
      <w:pPr>
        <w:adjustRightInd w:val="0"/>
        <w:snapToGrid w:val="0"/>
        <w:spacing w:line="500" w:lineRule="exact"/>
        <w:rPr>
          <w:rFonts w:hint="eastAsia" w:ascii="宋体" w:hAnsi="宋体" w:cs="宋体"/>
          <w:b/>
          <w:color w:val="auto"/>
          <w:highlight w:val="none"/>
        </w:rPr>
      </w:pPr>
      <w:r>
        <w:rPr>
          <w:rFonts w:hint="eastAsia" w:ascii="宋体" w:hAnsi="宋体" w:cs="宋体"/>
          <w:b/>
          <w:color w:val="auto"/>
          <w:highlight w:val="none"/>
        </w:rPr>
        <w:t>2.2 监理与相关服务依据</w:t>
      </w:r>
    </w:p>
    <w:p w14:paraId="606AA8EA">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rPr>
        <w:t>2.2.1 监理依据包括：</w:t>
      </w:r>
    </w:p>
    <w:p w14:paraId="66F9ADBE">
      <w:pPr>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1、国家和地方有关工程建设监理的</w:t>
      </w:r>
      <w:r>
        <w:rPr>
          <w:rFonts w:hint="eastAsia" w:ascii="宋体" w:hAnsi="宋体" w:cs="宋体"/>
          <w:color w:val="auto"/>
          <w:highlight w:val="none"/>
          <w:u w:val="single"/>
          <w:lang w:eastAsia="zh-CN"/>
        </w:rPr>
        <w:t>法律法规</w:t>
      </w:r>
      <w:r>
        <w:rPr>
          <w:rFonts w:hint="eastAsia" w:ascii="宋体" w:hAnsi="宋体" w:cs="宋体"/>
          <w:color w:val="auto"/>
          <w:highlight w:val="none"/>
          <w:u w:val="single"/>
        </w:rPr>
        <w:t>及规范；</w:t>
      </w:r>
    </w:p>
    <w:p w14:paraId="4C42D842">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2、工程技术标准，施工验收规范；</w:t>
      </w:r>
    </w:p>
    <w:p w14:paraId="2686FA04">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3、经批准的该项目建设的有关文件、可行性研究报告、初步设计文件</w:t>
      </w:r>
      <w:r>
        <w:rPr>
          <w:rFonts w:hint="eastAsia" w:ascii="宋体" w:hAnsi="宋体" w:cs="宋体"/>
          <w:color w:val="auto"/>
          <w:highlight w:val="none"/>
          <w:u w:val="single"/>
          <w:lang w:eastAsia="zh-CN"/>
        </w:rPr>
        <w:t>及其他有关</w:t>
      </w:r>
      <w:r>
        <w:rPr>
          <w:rFonts w:hint="eastAsia" w:ascii="宋体" w:hAnsi="宋体" w:cs="宋体"/>
          <w:color w:val="auto"/>
          <w:highlight w:val="none"/>
          <w:u w:val="single"/>
        </w:rPr>
        <w:t>文件；</w:t>
      </w:r>
    </w:p>
    <w:p w14:paraId="7DBCF768">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4、所监理工程的设计图纸、有关文件、设计变更及会议纪要；</w:t>
      </w:r>
    </w:p>
    <w:p w14:paraId="38A18471">
      <w:pPr>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5、经委托人审批同意的本工程监理规划；</w:t>
      </w:r>
    </w:p>
    <w:p w14:paraId="22C8E0B8">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6、工程</w:t>
      </w:r>
      <w:r>
        <w:rPr>
          <w:rFonts w:hint="eastAsia" w:ascii="宋体" w:hAnsi="宋体" w:cs="宋体"/>
          <w:color w:val="auto"/>
          <w:highlight w:val="none"/>
          <w:u w:val="single"/>
          <w:lang w:val="en-US" w:eastAsia="zh-CN"/>
        </w:rPr>
        <w:t>委托</w:t>
      </w:r>
      <w:r>
        <w:rPr>
          <w:rFonts w:hint="eastAsia" w:ascii="宋体" w:hAnsi="宋体" w:cs="宋体"/>
          <w:color w:val="auto"/>
          <w:highlight w:val="none"/>
          <w:u w:val="single"/>
        </w:rPr>
        <w:t>监理合同；</w:t>
      </w:r>
    </w:p>
    <w:p w14:paraId="704D23FE">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7、委托人依法与承包人、材料供应商等单位签订的合同或协议等；</w:t>
      </w:r>
    </w:p>
    <w:p w14:paraId="0FAFF4A8">
      <w:pPr>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8、</w:t>
      </w:r>
      <w:r>
        <w:rPr>
          <w:rFonts w:hint="eastAsia" w:ascii="宋体" w:hAnsi="宋体" w:cs="宋体"/>
          <w:color w:val="auto"/>
          <w:highlight w:val="none"/>
          <w:u w:val="single"/>
          <w:lang w:eastAsia="zh-CN"/>
        </w:rPr>
        <w:t>其他</w:t>
      </w:r>
      <w:r>
        <w:rPr>
          <w:rFonts w:hint="eastAsia" w:ascii="宋体" w:hAnsi="宋体" w:cs="宋体"/>
          <w:color w:val="auto"/>
          <w:highlight w:val="none"/>
          <w:u w:val="single"/>
        </w:rPr>
        <w:t>相关</w:t>
      </w:r>
      <w:r>
        <w:rPr>
          <w:rFonts w:hint="eastAsia" w:ascii="宋体" w:hAnsi="宋体" w:cs="宋体"/>
          <w:color w:val="auto"/>
          <w:highlight w:val="none"/>
          <w:u w:val="single"/>
          <w:lang w:eastAsia="zh-CN"/>
        </w:rPr>
        <w:t>法律法规</w:t>
      </w:r>
      <w:r>
        <w:rPr>
          <w:rFonts w:hint="eastAsia" w:ascii="宋体" w:hAnsi="宋体" w:cs="宋体"/>
          <w:color w:val="auto"/>
          <w:highlight w:val="none"/>
          <w:u w:val="single"/>
        </w:rPr>
        <w:t>及规定。</w:t>
      </w:r>
    </w:p>
    <w:p w14:paraId="39CF6DC3">
      <w:pPr>
        <w:adjustRightInd w:val="0"/>
        <w:snapToGrid w:val="0"/>
        <w:spacing w:line="500" w:lineRule="exact"/>
        <w:ind w:firstLine="420" w:firstLineChars="200"/>
        <w:rPr>
          <w:rFonts w:hint="eastAsia" w:ascii="宋体" w:hAnsi="宋体" w:cs="宋体"/>
          <w:dstrike/>
          <w:color w:val="auto"/>
          <w:highlight w:val="none"/>
        </w:rPr>
      </w:pPr>
      <w:r>
        <w:rPr>
          <w:rFonts w:hint="eastAsia" w:ascii="宋体" w:hAnsi="宋体" w:cs="宋体"/>
          <w:color w:val="auto"/>
          <w:highlight w:val="none"/>
        </w:rPr>
        <w:t>2.2.2 相关服务依据包括：</w:t>
      </w:r>
      <w:r>
        <w:rPr>
          <w:rFonts w:hint="eastAsia" w:ascii="宋体" w:hAnsi="宋体" w:cs="宋体"/>
          <w:color w:val="auto"/>
          <w:highlight w:val="none"/>
          <w:u w:val="single"/>
        </w:rPr>
        <w:t xml:space="preserve">      /     </w:t>
      </w:r>
      <w:r>
        <w:rPr>
          <w:rFonts w:hint="eastAsia" w:ascii="宋体" w:hAnsi="宋体" w:cs="宋体"/>
          <w:color w:val="auto"/>
          <w:highlight w:val="none"/>
        </w:rPr>
        <w:t>。</w:t>
      </w:r>
    </w:p>
    <w:p w14:paraId="1DEEA1A2">
      <w:pPr>
        <w:adjustRightInd w:val="0"/>
        <w:snapToGrid w:val="0"/>
        <w:spacing w:line="500" w:lineRule="exact"/>
        <w:rPr>
          <w:rFonts w:hint="eastAsia" w:ascii="宋体" w:hAnsi="宋体" w:cs="宋体"/>
          <w:b/>
          <w:color w:val="000000" w:themeColor="text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2.3项目监理机构和人员</w:t>
      </w:r>
    </w:p>
    <w:p w14:paraId="42C6866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000000" w:themeColor="text1"/>
          <w:highlight w:val="none"/>
          <w14:textFill>
            <w14:solidFill>
              <w14:schemeClr w14:val="tx1"/>
            </w14:solidFill>
          </w14:textFill>
        </w:rPr>
        <w:t>2.3.1、工程中标后，监理单位需按投标时确定的项目监理人员组成监理管理团队；委托人在监理人进场</w:t>
      </w:r>
      <w:r>
        <w:rPr>
          <w:rFonts w:hint="eastAsia" w:ascii="宋体" w:hAnsi="宋体" w:cs="宋体"/>
          <w:color w:val="auto"/>
          <w:highlight w:val="none"/>
        </w:rPr>
        <w:t>时有权对监理团队人员身份、职称、专业资格证书等进行核对确认，如委托人发现监理人进场时私自更换总监工程师、关键岗位人员的，监理人应在7日内予以更换为原班人员。</w:t>
      </w:r>
    </w:p>
    <w:p w14:paraId="0355315A">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2.3.2、项目总监、各专业监理工程、监理人员必须专职。项目监理部依据现场情况合理安排作息时间，并将作息时间表上报委托人。</w:t>
      </w:r>
    </w:p>
    <w:p w14:paraId="32463818">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2.3.3、本工程施工中监理方不得随意更换投标时所报担任总监理工程师。每更换一次，承担违约金</w:t>
      </w:r>
      <w:r>
        <w:rPr>
          <w:rFonts w:hint="eastAsia" w:ascii="宋体" w:hAnsi="宋体" w:cs="宋体"/>
          <w:color w:val="auto"/>
          <w:highlight w:val="none"/>
          <w:lang w:val="en-US" w:eastAsia="zh-CN"/>
        </w:rPr>
        <w:t>5</w:t>
      </w:r>
      <w:r>
        <w:rPr>
          <w:rFonts w:hint="eastAsia" w:ascii="宋体" w:hAnsi="宋体" w:cs="宋体"/>
          <w:color w:val="auto"/>
          <w:highlight w:val="none"/>
        </w:rPr>
        <w:t>0000（伍万）元整， 同时承担给委托人造成损失的赔偿责任。如因特殊原因更换时须提前15天书面告知委托人，符合总监变更条件的，经委托人同意后到当地监督部门进行备案，备案程序应符合法律法规的相关要求。更换后的新总监应具备与原总监相当</w:t>
      </w:r>
      <w:r>
        <w:rPr>
          <w:rFonts w:hint="eastAsia" w:ascii="宋体" w:hAnsi="宋体" w:cs="宋体"/>
          <w:color w:val="auto"/>
          <w:highlight w:val="none"/>
          <w:lang w:eastAsia="zh-CN"/>
        </w:rPr>
        <w:t>的</w:t>
      </w:r>
      <w:r>
        <w:rPr>
          <w:rFonts w:hint="eastAsia" w:ascii="宋体" w:hAnsi="宋体" w:cs="宋体"/>
          <w:color w:val="auto"/>
          <w:highlight w:val="none"/>
        </w:rPr>
        <w:t>资格与技能。若新总监不能胜任该岗位工作，视同监理人违约，每违约一次，监理人承担违约金</w:t>
      </w:r>
      <w:r>
        <w:rPr>
          <w:rFonts w:hint="eastAsia" w:ascii="宋体" w:hAnsi="宋体" w:cs="宋体"/>
          <w:color w:val="auto"/>
          <w:highlight w:val="none"/>
          <w:lang w:val="en-US" w:eastAsia="zh-CN"/>
        </w:rPr>
        <w:t>2</w:t>
      </w:r>
      <w:r>
        <w:rPr>
          <w:rFonts w:hint="eastAsia" w:ascii="宋体" w:hAnsi="宋体" w:cs="宋体"/>
          <w:color w:val="auto"/>
          <w:highlight w:val="none"/>
        </w:rPr>
        <w:t>0000（</w:t>
      </w:r>
      <w:r>
        <w:rPr>
          <w:rFonts w:hint="eastAsia" w:ascii="宋体" w:hAnsi="宋体" w:cs="宋体"/>
          <w:color w:val="auto"/>
          <w:highlight w:val="none"/>
          <w:lang w:val="en-US" w:eastAsia="zh-CN"/>
        </w:rPr>
        <w:t>贰</w:t>
      </w:r>
      <w:r>
        <w:rPr>
          <w:rFonts w:hint="eastAsia" w:ascii="宋体" w:hAnsi="宋体" w:cs="宋体"/>
          <w:color w:val="auto"/>
          <w:highlight w:val="none"/>
        </w:rPr>
        <w:t>万）元整。情节严重时委托人有权单方终止合同。</w:t>
      </w:r>
    </w:p>
    <w:p w14:paraId="0FCD5B79">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2.3.4、本工程施工中原则上相关专业监理工程师必须专职，不得更换，如需更换，须征得委托人同意，如私自更换，则每更换一次，承担违约金</w:t>
      </w:r>
      <w:r>
        <w:rPr>
          <w:rFonts w:hint="eastAsia" w:ascii="宋体" w:hAnsi="宋体" w:cs="宋体"/>
          <w:color w:val="auto"/>
          <w:highlight w:val="none"/>
          <w:lang w:val="en-US" w:eastAsia="zh-CN"/>
        </w:rPr>
        <w:t>1</w:t>
      </w:r>
      <w:r>
        <w:rPr>
          <w:rFonts w:hint="eastAsia" w:ascii="宋体" w:hAnsi="宋体" w:cs="宋体"/>
          <w:color w:val="auto"/>
          <w:highlight w:val="none"/>
        </w:rPr>
        <w:t>0000（</w:t>
      </w:r>
      <w:r>
        <w:rPr>
          <w:rFonts w:hint="eastAsia" w:ascii="宋体" w:hAnsi="宋体" w:cs="宋体"/>
          <w:color w:val="auto"/>
          <w:highlight w:val="none"/>
          <w:lang w:val="en-US" w:eastAsia="zh-CN"/>
        </w:rPr>
        <w:t>壹</w:t>
      </w:r>
      <w:r>
        <w:rPr>
          <w:rFonts w:hint="eastAsia" w:ascii="宋体" w:hAnsi="宋体" w:cs="宋体"/>
          <w:color w:val="auto"/>
          <w:highlight w:val="none"/>
        </w:rPr>
        <w:t>万）元整，同时承担给委托人造成损失的赔偿责任。</w:t>
      </w:r>
    </w:p>
    <w:p w14:paraId="1C50564F">
      <w:pPr>
        <w:adjustRightInd w:val="0"/>
        <w:snapToGrid w:val="0"/>
        <w:spacing w:line="500" w:lineRule="exact"/>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auto"/>
          <w:highlight w:val="none"/>
        </w:rPr>
        <w:t>2.3.5、委托人有权要求更换不符合委托人要求的监理人员，监理方应在委托人提出更换人员之日起的5天内另派不低于前任</w:t>
      </w:r>
      <w:r>
        <w:rPr>
          <w:rFonts w:hint="eastAsia" w:ascii="宋体" w:hAnsi="宋体" w:cs="宋体"/>
          <w:color w:val="auto"/>
          <w:highlight w:val="none"/>
          <w:lang w:eastAsia="zh-CN"/>
        </w:rPr>
        <w:t>资历</w:t>
      </w:r>
      <w:r>
        <w:rPr>
          <w:rFonts w:hint="eastAsia" w:ascii="宋体" w:hAnsi="宋体" w:cs="宋体"/>
          <w:color w:val="auto"/>
          <w:highlight w:val="none"/>
        </w:rPr>
        <w:t>（资格、经历）的人员接替工作，监理人不予更换时，则自第6日起监理人每人每逾期1天</w:t>
      </w:r>
      <w:r>
        <w:rPr>
          <w:rFonts w:hint="eastAsia" w:ascii="宋体" w:hAnsi="宋体" w:cs="宋体"/>
          <w:color w:val="auto"/>
          <w:highlight w:val="none"/>
          <w:lang w:val="en-US" w:eastAsia="zh-CN"/>
        </w:rPr>
        <w:t>3</w:t>
      </w:r>
      <w:r>
        <w:rPr>
          <w:rFonts w:hint="eastAsia" w:ascii="宋体" w:hAnsi="宋体" w:cs="宋体"/>
          <w:color w:val="auto"/>
          <w:highlight w:val="none"/>
        </w:rPr>
        <w:t>00（</w:t>
      </w:r>
      <w:r>
        <w:rPr>
          <w:rFonts w:hint="eastAsia" w:ascii="宋体" w:hAnsi="宋体" w:cs="宋体"/>
          <w:color w:val="auto"/>
          <w:highlight w:val="none"/>
          <w:lang w:val="en-US" w:eastAsia="zh-CN"/>
        </w:rPr>
        <w:t>叁</w:t>
      </w:r>
      <w:r>
        <w:rPr>
          <w:rFonts w:hint="eastAsia" w:ascii="宋体" w:hAnsi="宋体" w:cs="宋体"/>
          <w:color w:val="auto"/>
          <w:highlight w:val="none"/>
        </w:rPr>
        <w:t xml:space="preserve">佰）元违约金。若新到岗监理人员不能胜任相应工作，视同监理人违约，每违约一次，监理人承担违约金 </w:t>
      </w:r>
      <w:r>
        <w:rPr>
          <w:rFonts w:hint="eastAsia" w:ascii="宋体" w:hAnsi="宋体" w:cs="宋体"/>
          <w:color w:val="auto"/>
          <w:highlight w:val="none"/>
          <w:lang w:val="en-US" w:eastAsia="zh-CN"/>
        </w:rPr>
        <w:t>1</w:t>
      </w:r>
      <w:r>
        <w:rPr>
          <w:rFonts w:hint="eastAsia" w:ascii="宋体" w:hAnsi="宋体" w:cs="宋体"/>
          <w:color w:val="auto"/>
          <w:highlight w:val="none"/>
        </w:rPr>
        <w:t>000（</w:t>
      </w:r>
      <w:r>
        <w:rPr>
          <w:rFonts w:hint="eastAsia" w:ascii="宋体" w:hAnsi="宋体" w:cs="宋体"/>
          <w:color w:val="auto"/>
          <w:highlight w:val="none"/>
          <w:lang w:val="en-US" w:eastAsia="zh-CN"/>
        </w:rPr>
        <w:t>壹</w:t>
      </w:r>
      <w:r>
        <w:rPr>
          <w:rFonts w:hint="eastAsia" w:ascii="宋体" w:hAnsi="宋体" w:cs="宋体"/>
          <w:color w:val="auto"/>
          <w:highlight w:val="none"/>
        </w:rPr>
        <w:t>仟）元整，并继续更换该岗位的</w:t>
      </w:r>
      <w:r>
        <w:rPr>
          <w:rFonts w:hint="eastAsia" w:ascii="宋体" w:hAnsi="宋体" w:cs="宋体"/>
          <w:color w:val="000000" w:themeColor="text1"/>
          <w:highlight w:val="none"/>
          <w14:textFill>
            <w14:solidFill>
              <w14:schemeClr w14:val="tx1"/>
            </w14:solidFill>
          </w14:textFill>
        </w:rPr>
        <w:t>监理人员。</w:t>
      </w:r>
    </w:p>
    <w:p w14:paraId="38E4A258">
      <w:pPr>
        <w:adjustRightInd w:val="0"/>
        <w:snapToGrid w:val="0"/>
        <w:spacing w:line="500" w:lineRule="exact"/>
        <w:ind w:firstLine="420" w:firstLineChars="200"/>
        <w:rPr>
          <w:rFonts w:hint="eastAsia" w:ascii="宋体" w:hAnsi="宋体" w:eastAsia="宋体" w:cs="宋体"/>
          <w:color w:val="000000" w:themeColor="text1"/>
          <w:highlight w:val="none"/>
          <w:lang w:eastAsia="zh-CN"/>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2.3.6、总监理工程师每周到现场工作时间不得少于5个工作日，且每天工作时间不少于8小时</w:t>
      </w:r>
      <w:r>
        <w:rPr>
          <w:rFonts w:hint="eastAsia" w:ascii="宋体" w:hAnsi="宋体" w:cs="宋体"/>
          <w:color w:val="000000" w:themeColor="text1"/>
          <w:highlight w:val="none"/>
          <w:lang w:eastAsia="zh-CN"/>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除总监外其他监理人员应以委托人认可的监理方阶段人员配备计划（监理人进场前提交委托人并经审核批准）为考核依据，保证该阶段到岗人员每人每周工作时间不低于5个工作日。项目监理部在休息日或节假日应合理安排值班人员，确保施工的正常进行</w:t>
      </w:r>
      <w:r>
        <w:rPr>
          <w:rFonts w:hint="eastAsia" w:ascii="宋体" w:hAnsi="宋体" w:cs="宋体"/>
          <w:color w:val="000000" w:themeColor="text1"/>
          <w:highlight w:val="none"/>
          <w:lang w:eastAsia="zh-CN"/>
          <w14:textFill>
            <w14:solidFill>
              <w14:schemeClr w14:val="tx1"/>
            </w14:solidFill>
          </w14:textFill>
        </w:rPr>
        <w:t>。</w:t>
      </w:r>
    </w:p>
    <w:p w14:paraId="761D02C1">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000000" w:themeColor="text1"/>
          <w:highlight w:val="none"/>
          <w14:textFill>
            <w14:solidFill>
              <w14:schemeClr w14:val="tx1"/>
            </w14:solidFill>
          </w14:textFill>
        </w:rPr>
        <w:t>2.3.7、如果监理人员存在以下情况之一，视同监理人违约，委托人有权要求监理人立即更换该监理人员，并且监理</w:t>
      </w:r>
      <w:r>
        <w:rPr>
          <w:rFonts w:hint="eastAsia" w:ascii="宋体" w:hAnsi="宋体" w:cs="宋体"/>
          <w:color w:val="auto"/>
          <w:highlight w:val="none"/>
        </w:rPr>
        <w:t>人应积极配合：</w:t>
      </w:r>
    </w:p>
    <w:p w14:paraId="624897E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（1）严重过失行为；</w:t>
      </w:r>
    </w:p>
    <w:p w14:paraId="595122FC">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（2）多次存在拒不配合委托人提出的合理配合要求且对委托人造成不良影响的；</w:t>
      </w:r>
    </w:p>
    <w:p w14:paraId="36C2789C">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（3）多次未按监理合同履行监理义务，且委托人提出书面要求后仍不改正的；</w:t>
      </w:r>
    </w:p>
    <w:p w14:paraId="3155E0F1">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（4）违法或涉嫌犯罪；</w:t>
      </w:r>
    </w:p>
    <w:p w14:paraId="61E7382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（5）严重违反职业道德。</w:t>
      </w:r>
    </w:p>
    <w:p w14:paraId="50BFB8B4">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每违约一次，监理人承担违约金</w:t>
      </w:r>
      <w:r>
        <w:rPr>
          <w:rFonts w:hint="eastAsia" w:ascii="宋体" w:hAnsi="宋体" w:cs="宋体"/>
          <w:color w:val="auto"/>
          <w:highlight w:val="none"/>
          <w:lang w:val="en-US" w:eastAsia="zh-CN"/>
        </w:rPr>
        <w:t>20</w:t>
      </w:r>
      <w:r>
        <w:rPr>
          <w:rFonts w:hint="eastAsia" w:ascii="宋体" w:hAnsi="宋体" w:cs="宋体"/>
          <w:color w:val="auto"/>
          <w:highlight w:val="none"/>
        </w:rPr>
        <w:t>00（</w:t>
      </w:r>
      <w:r>
        <w:rPr>
          <w:rFonts w:hint="eastAsia" w:ascii="宋体" w:hAnsi="宋体" w:cs="宋体"/>
          <w:color w:val="auto"/>
          <w:highlight w:val="none"/>
          <w:lang w:val="en-US" w:eastAsia="zh-CN"/>
        </w:rPr>
        <w:t>贰</w:t>
      </w:r>
      <w:r>
        <w:rPr>
          <w:rFonts w:hint="eastAsia" w:ascii="宋体" w:hAnsi="宋体" w:cs="宋体"/>
          <w:color w:val="auto"/>
          <w:highlight w:val="none"/>
        </w:rPr>
        <w:t>仟）元整，并继续更换该岗位的监理人员。</w:t>
      </w:r>
    </w:p>
    <w:p w14:paraId="6A044B9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2.3.8、对于监理人的人员配置、进场时间要求等，若因工程需要</w:t>
      </w:r>
      <w:r>
        <w:rPr>
          <w:rFonts w:hint="eastAsia" w:ascii="宋体" w:hAnsi="宋体" w:cs="宋体"/>
          <w:color w:val="auto"/>
          <w:highlight w:val="none"/>
          <w:lang w:eastAsia="zh-CN"/>
        </w:rPr>
        <w:t>做出</w:t>
      </w:r>
      <w:r>
        <w:rPr>
          <w:rFonts w:hint="eastAsia" w:ascii="宋体" w:hAnsi="宋体" w:cs="宋体"/>
          <w:color w:val="auto"/>
          <w:highlight w:val="none"/>
        </w:rPr>
        <w:t xml:space="preserve">变动，以委托人书面通知为准。 </w:t>
      </w:r>
    </w:p>
    <w:p w14:paraId="3ED98274">
      <w:pPr>
        <w:adjustRightInd w:val="0"/>
        <w:snapToGrid w:val="0"/>
        <w:spacing w:line="500" w:lineRule="exact"/>
        <w:rPr>
          <w:rFonts w:hint="eastAsia" w:ascii="宋体" w:hAnsi="宋体" w:cs="宋体"/>
          <w:b/>
          <w:color w:val="auto"/>
          <w:highlight w:val="none"/>
        </w:rPr>
      </w:pPr>
      <w:r>
        <w:rPr>
          <w:rFonts w:hint="eastAsia" w:ascii="宋体" w:hAnsi="宋体" w:cs="宋体"/>
          <w:b/>
          <w:color w:val="auto"/>
          <w:highlight w:val="none"/>
        </w:rPr>
        <w:t>2.4 履行职责</w:t>
      </w:r>
    </w:p>
    <w:p w14:paraId="0FD824FD">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2.4.3 对监理人的授权范围：</w:t>
      </w:r>
      <w:r>
        <w:rPr>
          <w:rFonts w:hint="eastAsia" w:ascii="宋体" w:hAnsi="宋体" w:cs="宋体"/>
          <w:color w:val="auto"/>
          <w:highlight w:val="none"/>
          <w:u w:val="single"/>
        </w:rPr>
        <w:t>监理人</w:t>
      </w:r>
      <w:r>
        <w:rPr>
          <w:rFonts w:hint="eastAsia" w:ascii="宋体" w:hAnsi="宋体" w:cs="宋体"/>
          <w:color w:val="auto"/>
          <w:highlight w:val="none"/>
          <w:u w:val="single"/>
          <w:lang w:eastAsia="zh-CN"/>
        </w:rPr>
        <w:t>需要</w:t>
      </w:r>
      <w:r>
        <w:rPr>
          <w:rFonts w:hint="eastAsia" w:ascii="宋体" w:hAnsi="宋体" w:cs="宋体"/>
          <w:color w:val="auto"/>
          <w:highlight w:val="none"/>
          <w:u w:val="single"/>
        </w:rPr>
        <w:t>取得发包人书面批准才能</w:t>
      </w:r>
      <w:r>
        <w:rPr>
          <w:rFonts w:hint="eastAsia" w:ascii="宋体" w:hAnsi="宋体" w:cs="宋体"/>
          <w:color w:val="auto"/>
          <w:highlight w:val="none"/>
          <w:u w:val="single"/>
          <w:lang w:eastAsia="zh-CN"/>
        </w:rPr>
        <w:t>行使</w:t>
      </w:r>
      <w:r>
        <w:rPr>
          <w:rFonts w:hint="eastAsia" w:ascii="宋体" w:hAnsi="宋体" w:cs="宋体"/>
          <w:color w:val="auto"/>
          <w:highlight w:val="none"/>
          <w:u w:val="single"/>
        </w:rPr>
        <w:t>职权(总监理工程师在根据合同决定以下事项之前需首先得到发包人工程师的批准)</w:t>
      </w:r>
      <w:r>
        <w:rPr>
          <w:rFonts w:hint="eastAsia" w:ascii="宋体" w:hAnsi="宋体" w:cs="宋体"/>
          <w:color w:val="auto"/>
          <w:highlight w:val="none"/>
        </w:rPr>
        <w:t>。</w:t>
      </w:r>
    </w:p>
    <w:p w14:paraId="1B9C3454">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2.4.3.1 顺延工期；</w:t>
      </w:r>
    </w:p>
    <w:p w14:paraId="5AB65F93">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2.4.3.2 停工指令；</w:t>
      </w:r>
    </w:p>
    <w:p w14:paraId="0BA09F76">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2.4.3.3 追加合同价款和费用补偿；</w:t>
      </w:r>
    </w:p>
    <w:p w14:paraId="4301B507">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2.4.3.4 施工图的修改；</w:t>
      </w:r>
    </w:p>
    <w:p w14:paraId="3AC9C57C">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2.4.3.5批准对设计或合同规定的材料设备的代用；</w:t>
      </w:r>
    </w:p>
    <w:p w14:paraId="75CBE3CF">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2.4.3.6 监理范围内，已完工程进度确认、工程洽商、变更签证、索赔文件、结算报告等影响本工程质量、工期、造价和发包人形象的行为，在决策签字之前须征得发包人工程师同意。上述文件在委托人工程师签字后，方可生效，否则视为监理工程师个人行为，委托人不承担因此引起的责任。</w:t>
      </w:r>
    </w:p>
    <w:p w14:paraId="723C9748">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在涉及工程延期的变更，监理人均须请示委托人同意后方可向承包人发布变更通知。</w:t>
      </w:r>
    </w:p>
    <w:p w14:paraId="54C5127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kern w:val="0"/>
          <w:highlight w:val="none"/>
        </w:rPr>
        <w:t>2.4.4 监理人有权要求承包人调换其人员</w:t>
      </w:r>
      <w:r>
        <w:rPr>
          <w:rFonts w:hint="eastAsia" w:ascii="宋体" w:hAnsi="宋体" w:cs="宋体"/>
          <w:color w:val="auto"/>
          <w:highlight w:val="none"/>
        </w:rPr>
        <w:t>的限制条件：</w:t>
      </w:r>
      <w:r>
        <w:rPr>
          <w:rFonts w:hint="eastAsia" w:ascii="宋体" w:hAnsi="宋体" w:cs="宋体"/>
          <w:color w:val="auto"/>
          <w:highlight w:val="none"/>
          <w:u w:val="single"/>
        </w:rPr>
        <w:t>需提供调换承包人人员的依据并经委托人确认</w:t>
      </w:r>
      <w:r>
        <w:rPr>
          <w:rFonts w:hint="eastAsia" w:ascii="宋体" w:hAnsi="宋体" w:cs="宋体"/>
          <w:color w:val="auto"/>
          <w:highlight w:val="none"/>
        </w:rPr>
        <w:t>。</w:t>
      </w:r>
    </w:p>
    <w:p w14:paraId="33331237">
      <w:pPr>
        <w:adjustRightInd w:val="0"/>
        <w:snapToGrid w:val="0"/>
        <w:spacing w:line="500" w:lineRule="exact"/>
        <w:rPr>
          <w:rFonts w:hint="eastAsia" w:ascii="宋体" w:hAnsi="宋体" w:cs="宋体"/>
          <w:b/>
          <w:color w:val="auto"/>
          <w:highlight w:val="none"/>
        </w:rPr>
      </w:pPr>
      <w:r>
        <w:rPr>
          <w:rFonts w:hint="eastAsia" w:ascii="宋体" w:hAnsi="宋体" w:cs="宋体"/>
          <w:b/>
          <w:color w:val="auto"/>
          <w:highlight w:val="none"/>
        </w:rPr>
        <w:t>2.5 提交报告</w:t>
      </w:r>
    </w:p>
    <w:p w14:paraId="7FAE3B84">
      <w:pPr>
        <w:adjustRightInd w:val="0"/>
        <w:snapToGrid w:val="0"/>
        <w:spacing w:line="500" w:lineRule="exact"/>
        <w:ind w:firstLine="525"/>
        <w:rPr>
          <w:rFonts w:hint="eastAsia" w:ascii="宋体" w:hAnsi="宋体" w:cs="宋体"/>
          <w:color w:val="000000" w:themeColor="text1"/>
          <w:highlight w:val="none"/>
          <w:u w:val="singl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监理人应提交报告的种类(</w:t>
      </w:r>
      <w:r>
        <w:rPr>
          <w:rFonts w:hint="eastAsia" w:ascii="宋体" w:hAnsi="宋体" w:cs="宋体"/>
          <w:color w:val="000000" w:themeColor="text1"/>
          <w:kern w:val="0"/>
          <w:highlight w:val="none"/>
          <w14:textFill>
            <w14:solidFill>
              <w14:schemeClr w14:val="tx1"/>
            </w14:solidFill>
          </w14:textFill>
        </w:rPr>
        <w:t>包括监理规划、</w:t>
      </w:r>
      <w:r>
        <w:rPr>
          <w:rFonts w:hint="eastAsia" w:ascii="宋体" w:hAnsi="宋体" w:cs="宋体"/>
          <w:color w:val="000000" w:themeColor="text1"/>
          <w:kern w:val="0"/>
          <w:highlight w:val="none"/>
          <w:lang w:val="en-US" w:eastAsia="zh-CN"/>
          <w14:textFill>
            <w14:solidFill>
              <w14:schemeClr w14:val="tx1"/>
            </w14:solidFill>
          </w14:textFill>
        </w:rPr>
        <w:t>监理例会纪要</w:t>
      </w:r>
      <w:r>
        <w:rPr>
          <w:rFonts w:hint="eastAsia" w:ascii="宋体" w:hAnsi="宋体" w:cs="宋体"/>
          <w:color w:val="000000" w:themeColor="text1"/>
          <w:kern w:val="0"/>
          <w:highlight w:val="none"/>
          <w14:textFill>
            <w14:solidFill>
              <w14:schemeClr w14:val="tx1"/>
            </w14:solidFill>
          </w14:textFill>
        </w:rPr>
        <w:t>及约定的专项报告)</w:t>
      </w:r>
      <w:r>
        <w:rPr>
          <w:rFonts w:hint="eastAsia" w:ascii="宋体" w:hAnsi="宋体" w:cs="宋体"/>
          <w:color w:val="000000" w:themeColor="text1"/>
          <w:highlight w:val="none"/>
          <w14:textFill>
            <w14:solidFill>
              <w14:schemeClr w14:val="tx1"/>
            </w14:solidFill>
          </w14:textFill>
        </w:rPr>
        <w:t>、时间和份数</w:t>
      </w:r>
      <w:r>
        <w:rPr>
          <w:rFonts w:hint="eastAsia" w:ascii="宋体" w:hAnsi="宋体" w:cs="宋体"/>
          <w:color w:val="000000" w:themeColor="text1"/>
          <w:kern w:val="0"/>
          <w:highlight w:val="none"/>
          <w14:textFill>
            <w14:solidFill>
              <w14:schemeClr w14:val="tx1"/>
            </w14:solidFill>
          </w14:textFill>
        </w:rPr>
        <w:t>：</w:t>
      </w:r>
      <w:r>
        <w:rPr>
          <w:rFonts w:hint="eastAsia" w:ascii="宋体" w:hAnsi="宋体" w:cs="宋体"/>
          <w:color w:val="000000" w:themeColor="text1"/>
          <w:highlight w:val="none"/>
          <w:u w:val="single"/>
          <w14:textFill>
            <w14:solidFill>
              <w14:schemeClr w14:val="tx1"/>
            </w14:solidFill>
          </w14:textFill>
        </w:rPr>
        <w:t>进场</w:t>
      </w:r>
      <w:r>
        <w:rPr>
          <w:rFonts w:hint="eastAsia" w:ascii="宋体" w:hAnsi="宋体" w:cs="宋体"/>
          <w:color w:val="000000" w:themeColor="text1"/>
          <w:highlight w:val="none"/>
          <w:u w:val="single"/>
          <w:lang w:val="en-US" w:eastAsia="zh-CN"/>
          <w14:textFill>
            <w14:solidFill>
              <w14:schemeClr w14:val="tx1"/>
            </w14:solidFill>
          </w14:textFill>
        </w:rPr>
        <w:t>后</w:t>
      </w:r>
      <w:r>
        <w:rPr>
          <w:rFonts w:hint="eastAsia" w:ascii="宋体" w:hAnsi="宋体" w:cs="宋体"/>
          <w:color w:val="000000" w:themeColor="text1"/>
          <w:highlight w:val="none"/>
          <w:u w:val="single"/>
          <w14:textFill>
            <w14:solidFill>
              <w14:schemeClr w14:val="tx1"/>
            </w14:solidFill>
          </w14:textFill>
        </w:rPr>
        <w:t>提供监理规划两份；在例会召开后</w:t>
      </w:r>
      <w:r>
        <w:rPr>
          <w:rFonts w:hint="eastAsia" w:ascii="宋体" w:hAnsi="宋体" w:cs="宋体"/>
          <w:color w:val="000000" w:themeColor="text1"/>
          <w:highlight w:val="none"/>
          <w:u w:val="single"/>
          <w:lang w:val="en-US" w:eastAsia="zh-CN"/>
          <w14:textFill>
            <w14:solidFill>
              <w14:schemeClr w14:val="tx1"/>
            </w14:solidFill>
          </w14:textFill>
        </w:rPr>
        <w:t>5</w:t>
      </w:r>
      <w:r>
        <w:rPr>
          <w:rFonts w:hint="eastAsia" w:ascii="宋体" w:hAnsi="宋体" w:cs="宋体"/>
          <w:color w:val="000000" w:themeColor="text1"/>
          <w:highlight w:val="none"/>
          <w:u w:val="single"/>
          <w14:textFill>
            <w14:solidFill>
              <w14:schemeClr w14:val="tx1"/>
            </w14:solidFill>
          </w14:textFill>
        </w:rPr>
        <w:t>天内提供监理会议纪要两份；在专题会召开</w:t>
      </w:r>
      <w:r>
        <w:rPr>
          <w:rFonts w:hint="eastAsia" w:ascii="宋体" w:hAnsi="宋体" w:cs="宋体"/>
          <w:color w:val="000000" w:themeColor="text1"/>
          <w:highlight w:val="none"/>
          <w:u w:val="single"/>
          <w:lang w:val="en-US" w:eastAsia="zh-CN"/>
          <w14:textFill>
            <w14:solidFill>
              <w14:schemeClr w14:val="tx1"/>
            </w14:solidFill>
          </w14:textFill>
        </w:rPr>
        <w:t>后5</w:t>
      </w:r>
      <w:r>
        <w:rPr>
          <w:rFonts w:hint="eastAsia" w:ascii="宋体" w:hAnsi="宋体" w:cs="宋体"/>
          <w:color w:val="000000" w:themeColor="text1"/>
          <w:highlight w:val="none"/>
          <w:u w:val="single"/>
          <w14:textFill>
            <w14:solidFill>
              <w14:schemeClr w14:val="tx1"/>
            </w14:solidFill>
          </w14:textFill>
        </w:rPr>
        <w:t>天内提交</w:t>
      </w:r>
      <w:r>
        <w:rPr>
          <w:rFonts w:hint="eastAsia" w:ascii="宋体" w:hAnsi="宋体" w:cs="宋体"/>
          <w:color w:val="000000" w:themeColor="text1"/>
          <w:highlight w:val="none"/>
          <w:u w:val="single"/>
          <w:lang w:val="en-US" w:eastAsia="zh-CN"/>
          <w14:textFill>
            <w14:solidFill>
              <w14:schemeClr w14:val="tx1"/>
            </w14:solidFill>
          </w14:textFill>
        </w:rPr>
        <w:t>专题会议</w:t>
      </w:r>
      <w:r>
        <w:rPr>
          <w:rFonts w:hint="eastAsia" w:ascii="宋体" w:hAnsi="宋体" w:cs="宋体"/>
          <w:color w:val="000000" w:themeColor="text1"/>
          <w:highlight w:val="none"/>
          <w:u w:val="single"/>
          <w14:textFill>
            <w14:solidFill>
              <w14:schemeClr w14:val="tx1"/>
            </w14:solidFill>
          </w14:textFill>
        </w:rPr>
        <w:t>报告两份；其他依据委托人要求双方协商确定</w:t>
      </w:r>
      <w:r>
        <w:rPr>
          <w:rFonts w:hint="eastAsia" w:ascii="宋体" w:hAnsi="宋体" w:cs="宋体"/>
          <w:color w:val="000000" w:themeColor="text1"/>
          <w:highlight w:val="none"/>
          <w14:textFill>
            <w14:solidFill>
              <w14:schemeClr w14:val="tx1"/>
            </w14:solidFill>
          </w14:textFill>
        </w:rPr>
        <w:t>。</w:t>
      </w:r>
    </w:p>
    <w:p w14:paraId="2A2F148F">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2.7 使用委托人的财产</w:t>
      </w:r>
    </w:p>
    <w:p w14:paraId="670D559A">
      <w:pPr>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highlight w:val="none"/>
        </w:rPr>
        <w:t>由委托人无偿提供的房屋、设备的所有权属于：</w:t>
      </w:r>
      <w:r>
        <w:rPr>
          <w:rFonts w:hint="eastAsia" w:ascii="宋体" w:hAnsi="宋体" w:cs="宋体"/>
          <w:color w:val="auto"/>
          <w:highlight w:val="none"/>
          <w:u w:val="single"/>
        </w:rPr>
        <w:t xml:space="preserve">  委托人 </w:t>
      </w:r>
      <w:r>
        <w:rPr>
          <w:rFonts w:hint="eastAsia" w:ascii="宋体" w:hAnsi="宋体" w:cs="宋体"/>
          <w:color w:val="auto"/>
          <w:highlight w:val="none"/>
        </w:rPr>
        <w:t>。</w:t>
      </w:r>
    </w:p>
    <w:p w14:paraId="4132714B">
      <w:pPr>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highlight w:val="none"/>
        </w:rPr>
        <w:t>监理人应在本合同终止后</w:t>
      </w:r>
      <w:r>
        <w:rPr>
          <w:rFonts w:hint="eastAsia" w:ascii="宋体" w:hAnsi="宋体" w:cs="宋体"/>
          <w:color w:val="auto"/>
          <w:highlight w:val="none"/>
          <w:u w:val="single"/>
        </w:rPr>
        <w:t xml:space="preserve"> 30 </w:t>
      </w:r>
      <w:r>
        <w:rPr>
          <w:rFonts w:hint="eastAsia" w:ascii="宋体" w:hAnsi="宋体" w:cs="宋体"/>
          <w:color w:val="auto"/>
          <w:highlight w:val="none"/>
        </w:rPr>
        <w:t>天内移交委托人无偿提供的房屋、设备，移交的时间和方式为：</w:t>
      </w:r>
      <w:r>
        <w:rPr>
          <w:rFonts w:hint="eastAsia" w:ascii="宋体" w:hAnsi="宋体" w:cs="宋体"/>
          <w:color w:val="auto"/>
          <w:highlight w:val="none"/>
          <w:u w:val="single"/>
        </w:rPr>
        <w:t xml:space="preserve"> </w:t>
      </w:r>
      <w:r>
        <w:rPr>
          <w:rFonts w:hint="eastAsia" w:ascii="宋体" w:hAnsi="宋体" w:cs="宋体"/>
          <w:color w:val="auto"/>
          <w:kern w:val="0"/>
          <w:highlight w:val="none"/>
          <w:u w:val="single"/>
        </w:rPr>
        <w:t>书面移交</w:t>
      </w:r>
      <w:r>
        <w:rPr>
          <w:rFonts w:hint="eastAsia" w:ascii="宋体" w:hAnsi="宋体" w:cs="宋体"/>
          <w:color w:val="auto"/>
          <w:highlight w:val="none"/>
        </w:rPr>
        <w:t>。</w:t>
      </w:r>
    </w:p>
    <w:p w14:paraId="29CAF568">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 xml:space="preserve">3.委托人义务  </w:t>
      </w:r>
    </w:p>
    <w:p w14:paraId="02392748">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3.4 委托人代表</w:t>
      </w:r>
    </w:p>
    <w:p w14:paraId="69AA1D22">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委托人代表为：</w:t>
      </w:r>
      <w:r>
        <w:rPr>
          <w:rFonts w:hint="eastAsia" w:ascii="宋体" w:hAnsi="宋体" w:cs="宋体"/>
          <w:color w:val="auto"/>
          <w:highlight w:val="none"/>
          <w:u w:val="single"/>
        </w:rPr>
        <w:t xml:space="preserve"> </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u w:val="single"/>
        </w:rPr>
        <w:t xml:space="preserve"> </w:t>
      </w:r>
      <w:r>
        <w:rPr>
          <w:rFonts w:hint="eastAsia" w:ascii="宋体" w:hAnsi="宋体" w:cs="宋体"/>
          <w:color w:val="auto"/>
          <w:highlight w:val="none"/>
        </w:rPr>
        <w:t>。</w:t>
      </w:r>
    </w:p>
    <w:p w14:paraId="668DB11D">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3.6 答复</w:t>
      </w:r>
    </w:p>
    <w:p w14:paraId="38F608F3">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在项目实施过程中，根据监理人的书面要求，委托人应在规定时间内对监理人书面提交的事宜作出书面答复。答复时限规定如下：</w:t>
      </w:r>
    </w:p>
    <w:p w14:paraId="04E20DD0">
      <w:pPr>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rPr>
        <w:t>1、确认类答复时限：</w:t>
      </w:r>
      <w:r>
        <w:rPr>
          <w:rFonts w:hint="eastAsia" w:ascii="宋体" w:hAnsi="宋体" w:cs="宋体"/>
          <w:color w:val="auto"/>
          <w:highlight w:val="none"/>
          <w:u w:val="single"/>
        </w:rPr>
        <w:t xml:space="preserve">  3个工作日  </w:t>
      </w:r>
    </w:p>
    <w:p w14:paraId="3936C247">
      <w:pPr>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rPr>
        <w:t>2、批准类答复时限：</w:t>
      </w:r>
      <w:r>
        <w:rPr>
          <w:rFonts w:hint="eastAsia" w:ascii="宋体" w:hAnsi="宋体" w:cs="宋体"/>
          <w:color w:val="auto"/>
          <w:highlight w:val="none"/>
          <w:u w:val="single"/>
        </w:rPr>
        <w:t xml:space="preserve">  5个工作日  </w:t>
      </w:r>
    </w:p>
    <w:p w14:paraId="5CD7C882">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3、决策类答复时限：</w:t>
      </w:r>
      <w:r>
        <w:rPr>
          <w:rFonts w:hint="eastAsia" w:ascii="宋体" w:hAnsi="宋体" w:cs="宋体"/>
          <w:color w:val="auto"/>
          <w:highlight w:val="none"/>
          <w:u w:val="single"/>
        </w:rPr>
        <w:t xml:space="preserve">  10个工作日  </w:t>
      </w:r>
    </w:p>
    <w:p w14:paraId="7FA35D6B">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若在规定时限内，委托人未按时答复，监理人有催促的义务。</w:t>
      </w:r>
    </w:p>
    <w:p w14:paraId="57983500">
      <w:pPr>
        <w:adjustRightInd w:val="0"/>
        <w:snapToGrid w:val="0"/>
        <w:spacing w:line="500" w:lineRule="exact"/>
        <w:rPr>
          <w:rFonts w:hint="eastAsia" w:ascii="宋体" w:hAnsi="宋体" w:cs="宋体"/>
          <w:b/>
          <w:snapToGrid w:val="0"/>
          <w:color w:val="000000" w:themeColor="text1"/>
          <w:kern w:val="0"/>
          <w:highlight w:val="none"/>
          <w14:textFill>
            <w14:solidFill>
              <w14:schemeClr w14:val="tx1"/>
            </w14:solidFill>
          </w14:textFill>
        </w:rPr>
      </w:pPr>
      <w:r>
        <w:rPr>
          <w:rFonts w:hint="eastAsia" w:ascii="宋体" w:hAnsi="宋体" w:cs="宋体"/>
          <w:b/>
          <w:snapToGrid w:val="0"/>
          <w:color w:val="auto"/>
          <w:kern w:val="0"/>
          <w:highlight w:val="none"/>
        </w:rPr>
        <w:t>4. 违</w:t>
      </w:r>
      <w:r>
        <w:rPr>
          <w:rFonts w:hint="eastAsia" w:ascii="宋体" w:hAnsi="宋体" w:cs="宋体"/>
          <w:b/>
          <w:snapToGrid w:val="0"/>
          <w:color w:val="000000" w:themeColor="text1"/>
          <w:kern w:val="0"/>
          <w:highlight w:val="none"/>
          <w14:textFill>
            <w14:solidFill>
              <w14:schemeClr w14:val="tx1"/>
            </w14:solidFill>
          </w14:textFill>
        </w:rPr>
        <w:t>约责任</w:t>
      </w:r>
    </w:p>
    <w:p w14:paraId="610C8A3D">
      <w:pPr>
        <w:adjustRightInd w:val="0"/>
        <w:snapToGrid w:val="0"/>
        <w:spacing w:line="500" w:lineRule="exact"/>
        <w:rPr>
          <w:rFonts w:hint="eastAsia" w:ascii="宋体" w:hAnsi="宋体" w:cs="宋体"/>
          <w:b/>
          <w:snapToGrid w:val="0"/>
          <w:color w:val="000000" w:themeColor="text1"/>
          <w:kern w:val="0"/>
          <w:highlight w:val="none"/>
          <w14:textFill>
            <w14:solidFill>
              <w14:schemeClr w14:val="tx1"/>
            </w14:solidFill>
          </w14:textFill>
        </w:rPr>
      </w:pPr>
      <w:r>
        <w:rPr>
          <w:rFonts w:hint="eastAsia" w:ascii="宋体" w:hAnsi="宋体" w:cs="宋体"/>
          <w:b/>
          <w:snapToGrid w:val="0"/>
          <w:color w:val="000000" w:themeColor="text1"/>
          <w:kern w:val="0"/>
          <w:highlight w:val="none"/>
          <w14:textFill>
            <w14:solidFill>
              <w14:schemeClr w14:val="tx1"/>
            </w14:solidFill>
          </w14:textFill>
        </w:rPr>
        <w:t>4.1 监理人的违约责任</w:t>
      </w:r>
    </w:p>
    <w:p w14:paraId="26B17D4B">
      <w:pPr>
        <w:snapToGrid w:val="0"/>
        <w:spacing w:line="500" w:lineRule="exact"/>
        <w:ind w:firstLine="420" w:firstLineChars="200"/>
        <w:rPr>
          <w:rFonts w:hint="eastAsia" w:ascii="宋体" w:hAnsi="宋体" w:cs="宋体"/>
          <w:color w:val="000000" w:themeColor="text1"/>
          <w:spacing w:val="-4"/>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4.1.</w:t>
      </w:r>
      <w:r>
        <w:rPr>
          <w:rFonts w:hint="eastAsia" w:ascii="宋体" w:hAnsi="宋体" w:cs="宋体"/>
          <w:color w:val="000000" w:themeColor="text1"/>
          <w:kern w:val="0"/>
          <w:highlight w:val="none"/>
          <w:lang w:val="en-US" w:eastAsia="zh-CN"/>
          <w14:textFill>
            <w14:solidFill>
              <w14:schemeClr w14:val="tx1"/>
            </w14:solidFill>
          </w14:textFill>
        </w:rPr>
        <w:t>1</w:t>
      </w:r>
      <w:r>
        <w:rPr>
          <w:rFonts w:hint="eastAsia" w:ascii="宋体" w:hAnsi="宋体" w:cs="宋体"/>
          <w:color w:val="000000" w:themeColor="text1"/>
          <w:spacing w:val="-4"/>
          <w:highlight w:val="none"/>
          <w14:textFill>
            <w14:solidFill>
              <w14:schemeClr w14:val="tx1"/>
            </w14:solidFill>
          </w14:textFill>
        </w:rPr>
        <w:t>监理人应对签证、变更、认质认价审核过程认真负责，应按实际情况签署明确的审核意见，若监理人出现态度不端、签署意见不明确、弄虚作假等现象，委托人有权令其改正并扣除1~2万元监理报酬作为违约金。违约金按单次违约行为计算，同一事项重复违约可叠加执行。</w:t>
      </w:r>
    </w:p>
    <w:p w14:paraId="5F245058">
      <w:pPr>
        <w:snapToGrid w:val="0"/>
        <w:spacing w:line="500" w:lineRule="exact"/>
        <w:ind w:left="420" w:leftChars="200" w:firstLine="0" w:firstLineChars="0"/>
        <w:rPr>
          <w:rFonts w:hint="eastAsia" w:ascii="宋体" w:hAnsi="宋体" w:eastAsia="宋体" w:cs="宋体"/>
          <w:color w:val="000000" w:themeColor="text1"/>
          <w:spacing w:val="-4"/>
          <w:highlight w:val="none"/>
          <w:lang w:val="en-US" w:eastAsia="zh-CN"/>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4.1.</w:t>
      </w:r>
      <w:r>
        <w:rPr>
          <w:rFonts w:hint="eastAsia" w:ascii="宋体" w:hAnsi="宋体" w:cs="宋体"/>
          <w:color w:val="000000" w:themeColor="text1"/>
          <w:kern w:val="0"/>
          <w:highlight w:val="none"/>
          <w:lang w:val="en-US" w:eastAsia="zh-CN"/>
          <w14:textFill>
            <w14:solidFill>
              <w14:schemeClr w14:val="tx1"/>
            </w14:solidFill>
          </w14:textFill>
        </w:rPr>
        <w:t>2</w:t>
      </w:r>
      <w:r>
        <w:rPr>
          <w:rFonts w:hint="eastAsia" w:ascii="宋体" w:hAnsi="宋体" w:cs="宋体"/>
          <w:color w:val="000000" w:themeColor="text1"/>
          <w:spacing w:val="-4"/>
          <w:highlight w:val="none"/>
          <w14:textFill>
            <w14:solidFill>
              <w14:schemeClr w14:val="tx1"/>
            </w14:solidFill>
          </w14:textFill>
        </w:rPr>
        <w:t>监理人必须对进场材料、构配件和设备的规格、品牌、数量和进场时间等严格审核</w:t>
      </w:r>
      <w:r>
        <w:rPr>
          <w:rFonts w:hint="eastAsia" w:ascii="宋体" w:hAnsi="宋体" w:cs="宋体"/>
          <w:color w:val="000000" w:themeColor="text1"/>
          <w:spacing w:val="-4"/>
          <w:highlight w:val="none"/>
          <w:lang w:eastAsia="zh-CN"/>
          <w14:textFill>
            <w14:solidFill>
              <w14:schemeClr w14:val="tx1"/>
            </w14:solidFill>
          </w14:textFill>
        </w:rPr>
        <w:t>。</w:t>
      </w:r>
    </w:p>
    <w:p w14:paraId="70D9983A">
      <w:pPr>
        <w:snapToGrid w:val="0"/>
        <w:spacing w:line="500" w:lineRule="exact"/>
        <w:ind w:firstLine="420" w:firstLineChars="200"/>
        <w:rPr>
          <w:rFonts w:hint="eastAsia" w:ascii="宋体" w:hAnsi="宋体" w:cs="宋体"/>
          <w:color w:val="000000" w:themeColor="text1"/>
          <w:spacing w:val="-4"/>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4.1.</w:t>
      </w:r>
      <w:r>
        <w:rPr>
          <w:rFonts w:hint="eastAsia" w:ascii="宋体" w:hAnsi="宋体" w:cs="宋体"/>
          <w:color w:val="000000" w:themeColor="text1"/>
          <w:kern w:val="0"/>
          <w:highlight w:val="none"/>
          <w:lang w:val="en-US" w:eastAsia="zh-CN"/>
          <w14:textFill>
            <w14:solidFill>
              <w14:schemeClr w14:val="tx1"/>
            </w14:solidFill>
          </w14:textFill>
        </w:rPr>
        <w:t>3</w:t>
      </w:r>
      <w:r>
        <w:rPr>
          <w:rFonts w:hint="eastAsia" w:ascii="宋体" w:hAnsi="宋体" w:cs="宋体"/>
          <w:color w:val="000000" w:themeColor="text1"/>
          <w:spacing w:val="-4"/>
          <w:highlight w:val="none"/>
          <w14:textFill>
            <w14:solidFill>
              <w14:schemeClr w14:val="tx1"/>
            </w14:solidFill>
          </w14:textFill>
        </w:rPr>
        <w:t>若因监理人不认真审核竣工图纸，出现竣工图纸与实际施工内容不相符合的情况，监理人应承担由此给委托人造成的损失，并根据具体情况扣除监理人</w:t>
      </w:r>
      <w:r>
        <w:rPr>
          <w:rFonts w:hint="eastAsia" w:ascii="宋体" w:hAnsi="宋体" w:cs="宋体"/>
          <w:color w:val="000000" w:themeColor="text1"/>
          <w:spacing w:val="-4"/>
          <w:highlight w:val="none"/>
          <w:lang w:val="en-US" w:eastAsia="zh-CN"/>
          <w14:textFill>
            <w14:solidFill>
              <w14:schemeClr w14:val="tx1"/>
            </w14:solidFill>
          </w14:textFill>
        </w:rPr>
        <w:t>1-2</w:t>
      </w:r>
      <w:r>
        <w:rPr>
          <w:rFonts w:hint="eastAsia" w:ascii="宋体" w:hAnsi="宋体" w:cs="宋体"/>
          <w:color w:val="000000" w:themeColor="text1"/>
          <w:spacing w:val="-4"/>
          <w:highlight w:val="none"/>
          <w14:textFill>
            <w14:solidFill>
              <w14:schemeClr w14:val="tx1"/>
            </w14:solidFill>
          </w14:textFill>
        </w:rPr>
        <w:t>万元监理报酬作为违约金，竣工图纸重新据实审查。</w:t>
      </w:r>
    </w:p>
    <w:p w14:paraId="7A37CF66">
      <w:pPr>
        <w:snapToGrid w:val="0"/>
        <w:spacing w:line="500" w:lineRule="exact"/>
        <w:ind w:firstLine="420" w:firstLineChars="200"/>
        <w:rPr>
          <w:rFonts w:hint="eastAsia" w:ascii="宋体" w:hAnsi="宋体" w:cs="宋体"/>
          <w:b w:val="0"/>
          <w:bCs w:val="0"/>
          <w:color w:val="000000" w:themeColor="text1"/>
          <w:kern w:val="0"/>
          <w:highlight w:val="none"/>
          <w14:textFill>
            <w14:solidFill>
              <w14:schemeClr w14:val="tx1"/>
            </w14:solidFill>
          </w14:textFill>
        </w:rPr>
      </w:pPr>
      <w:r>
        <w:rPr>
          <w:rFonts w:hint="eastAsia" w:ascii="宋体" w:hAnsi="宋体" w:cs="宋体"/>
          <w:b w:val="0"/>
          <w:bCs w:val="0"/>
          <w:color w:val="000000" w:themeColor="text1"/>
          <w:kern w:val="0"/>
          <w:highlight w:val="none"/>
          <w14:textFill>
            <w14:solidFill>
              <w14:schemeClr w14:val="tx1"/>
            </w14:solidFill>
          </w14:textFill>
        </w:rPr>
        <w:t>4.1.</w:t>
      </w:r>
      <w:r>
        <w:rPr>
          <w:rFonts w:hint="eastAsia" w:ascii="宋体" w:hAnsi="宋体" w:cs="宋体"/>
          <w:b w:val="0"/>
          <w:bCs w:val="0"/>
          <w:color w:val="000000" w:themeColor="text1"/>
          <w:kern w:val="0"/>
          <w:highlight w:val="none"/>
          <w:lang w:val="en-US" w:eastAsia="zh-CN"/>
          <w14:textFill>
            <w14:solidFill>
              <w14:schemeClr w14:val="tx1"/>
            </w14:solidFill>
          </w14:textFill>
        </w:rPr>
        <w:t>4</w:t>
      </w:r>
      <w:r>
        <w:rPr>
          <w:rFonts w:hint="eastAsia" w:ascii="宋体" w:hAnsi="宋体" w:cs="宋体"/>
          <w:b w:val="0"/>
          <w:bCs w:val="0"/>
          <w:color w:val="000000" w:themeColor="text1"/>
          <w:spacing w:val="-4"/>
          <w:highlight w:val="none"/>
          <w14:textFill>
            <w14:solidFill>
              <w14:schemeClr w14:val="tx1"/>
            </w14:solidFill>
          </w14:textFill>
        </w:rPr>
        <w:t>若监理</w:t>
      </w:r>
      <w:r>
        <w:rPr>
          <w:rFonts w:hint="eastAsia" w:ascii="宋体" w:hAnsi="宋体" w:cs="宋体"/>
          <w:b w:val="0"/>
          <w:bCs w:val="0"/>
          <w:color w:val="000000" w:themeColor="text1"/>
          <w:spacing w:val="-4"/>
          <w:highlight w:val="none"/>
          <w:lang w:val="en-US" w:eastAsia="zh-CN"/>
          <w14:textFill>
            <w14:solidFill>
              <w14:schemeClr w14:val="tx1"/>
            </w14:solidFill>
          </w14:textFill>
        </w:rPr>
        <w:t>人</w:t>
      </w:r>
      <w:r>
        <w:rPr>
          <w:rFonts w:hint="eastAsia" w:ascii="宋体" w:hAnsi="宋体" w:cs="宋体"/>
          <w:b w:val="0"/>
          <w:bCs w:val="0"/>
          <w:color w:val="000000" w:themeColor="text1"/>
          <w:spacing w:val="-4"/>
          <w:highlight w:val="none"/>
          <w14:textFill>
            <w14:solidFill>
              <w14:schemeClr w14:val="tx1"/>
            </w14:solidFill>
          </w14:textFill>
        </w:rPr>
        <w:t>在履行监理职责时未尽职尽责而致使工程施工中发生安全事故，委托人除扣除监理人1~</w:t>
      </w:r>
      <w:r>
        <w:rPr>
          <w:rFonts w:hint="eastAsia" w:ascii="宋体" w:hAnsi="宋体" w:cs="宋体"/>
          <w:b w:val="0"/>
          <w:bCs w:val="0"/>
          <w:color w:val="000000" w:themeColor="text1"/>
          <w:spacing w:val="-4"/>
          <w:highlight w:val="none"/>
          <w:lang w:val="en-US" w:eastAsia="zh-CN"/>
          <w14:textFill>
            <w14:solidFill>
              <w14:schemeClr w14:val="tx1"/>
            </w14:solidFill>
          </w14:textFill>
        </w:rPr>
        <w:t>2</w:t>
      </w:r>
      <w:r>
        <w:rPr>
          <w:rFonts w:hint="eastAsia" w:ascii="宋体" w:hAnsi="宋体" w:cs="宋体"/>
          <w:b w:val="0"/>
          <w:bCs w:val="0"/>
          <w:color w:val="000000" w:themeColor="text1"/>
          <w:spacing w:val="-4"/>
          <w:highlight w:val="none"/>
          <w14:textFill>
            <w14:solidFill>
              <w14:schemeClr w14:val="tx1"/>
            </w14:solidFill>
          </w14:textFill>
        </w:rPr>
        <w:t>万元监理报酬作为违约金，还应追究监理人相应的法律责任。</w:t>
      </w:r>
    </w:p>
    <w:p w14:paraId="24275074">
      <w:pPr>
        <w:adjustRightInd w:val="0"/>
        <w:snapToGrid w:val="0"/>
        <w:spacing w:line="500" w:lineRule="exact"/>
        <w:ind w:firstLine="420" w:firstLineChars="200"/>
        <w:rPr>
          <w:rFonts w:hint="eastAsia"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4.1.</w:t>
      </w:r>
      <w:r>
        <w:rPr>
          <w:rFonts w:hint="eastAsia" w:ascii="宋体" w:hAnsi="宋体" w:cs="宋体"/>
          <w:color w:val="000000" w:themeColor="text1"/>
          <w:kern w:val="0"/>
          <w:highlight w:val="none"/>
          <w:lang w:val="en-US" w:eastAsia="zh-CN"/>
          <w14:textFill>
            <w14:solidFill>
              <w14:schemeClr w14:val="tx1"/>
            </w14:solidFill>
          </w14:textFill>
        </w:rPr>
        <w:t>5</w:t>
      </w:r>
      <w:r>
        <w:rPr>
          <w:rFonts w:hint="eastAsia" w:ascii="宋体" w:hAnsi="宋体" w:cs="宋体"/>
          <w:color w:val="000000" w:themeColor="text1"/>
          <w:kern w:val="0"/>
          <w:highlight w:val="none"/>
          <w14:textFill>
            <w14:solidFill>
              <w14:schemeClr w14:val="tx1"/>
            </w14:solidFill>
          </w14:textFill>
        </w:rPr>
        <w:t>监理人赔偿金额按下列方法确定：</w:t>
      </w:r>
    </w:p>
    <w:p w14:paraId="6DBD7950">
      <w:pPr>
        <w:snapToGrid w:val="0"/>
        <w:spacing w:line="500" w:lineRule="exact"/>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赔偿金=直接经济损失×正常工作酬金÷工程概算投资额(或建筑安装工程费)</w:t>
      </w:r>
    </w:p>
    <w:p w14:paraId="7DBAF4D4">
      <w:pPr>
        <w:snapToGrid w:val="0"/>
        <w:spacing w:line="500" w:lineRule="exact"/>
        <w:ind w:firstLine="420" w:firstLineChars="200"/>
        <w:rPr>
          <w:rFonts w:hint="eastAsia"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监理人违约应支付的违约金、赔偿金，委托人有权在监理报酬中扣除。如报酬不足以弥补委托人损失时，委托人有权向监理人追偿。</w:t>
      </w:r>
    </w:p>
    <w:p w14:paraId="6375848D">
      <w:pPr>
        <w:adjustRightInd w:val="0"/>
        <w:snapToGrid w:val="0"/>
        <w:spacing w:line="500" w:lineRule="exact"/>
        <w:rPr>
          <w:rFonts w:hint="eastAsia" w:ascii="宋体" w:hAnsi="宋体" w:cs="宋体"/>
          <w:b/>
          <w:snapToGrid w:val="0"/>
          <w:color w:val="000000" w:themeColor="text1"/>
          <w:kern w:val="0"/>
          <w:highlight w:val="none"/>
          <w14:textFill>
            <w14:solidFill>
              <w14:schemeClr w14:val="tx1"/>
            </w14:solidFill>
          </w14:textFill>
        </w:rPr>
      </w:pPr>
      <w:r>
        <w:rPr>
          <w:rFonts w:hint="eastAsia" w:ascii="宋体" w:hAnsi="宋体" w:cs="宋体"/>
          <w:b/>
          <w:snapToGrid w:val="0"/>
          <w:color w:val="000000" w:themeColor="text1"/>
          <w:kern w:val="0"/>
          <w:highlight w:val="none"/>
          <w14:textFill>
            <w14:solidFill>
              <w14:schemeClr w14:val="tx1"/>
            </w14:solidFill>
          </w14:textFill>
        </w:rPr>
        <w:t>4.2 委托人的违约责任</w:t>
      </w:r>
    </w:p>
    <w:p w14:paraId="31980A60">
      <w:pPr>
        <w:snapToGrid w:val="0"/>
        <w:spacing w:line="500" w:lineRule="exact"/>
        <w:ind w:firstLine="420" w:firstLineChars="200"/>
        <w:rPr>
          <w:rFonts w:hint="eastAsia" w:ascii="宋体" w:hAnsi="宋体" w:cs="宋体"/>
          <w:color w:val="000000" w:themeColor="text1"/>
          <w:highlight w:val="none"/>
          <w:u w:val="singl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4.2.3 委托人</w:t>
      </w:r>
      <w:r>
        <w:rPr>
          <w:rFonts w:hint="eastAsia" w:ascii="宋体" w:hAnsi="宋体" w:cs="宋体"/>
          <w:color w:val="000000" w:themeColor="text1"/>
          <w:kern w:val="0"/>
          <w:highlight w:val="none"/>
          <w14:textFill>
            <w14:solidFill>
              <w14:schemeClr w14:val="tx1"/>
            </w14:solidFill>
          </w14:textFill>
        </w:rPr>
        <w:t>逾期付款利息按下列方法确定：</w:t>
      </w:r>
      <w:r>
        <w:rPr>
          <w:rFonts w:hint="eastAsia" w:ascii="宋体" w:hAnsi="宋体" w:cs="宋体"/>
          <w:color w:val="000000" w:themeColor="text1"/>
          <w:kern w:val="0"/>
          <w:highlight w:val="none"/>
          <w:u w:val="single"/>
          <w14:textFill>
            <w14:solidFill>
              <w14:schemeClr w14:val="tx1"/>
            </w14:solidFill>
          </w14:textFill>
        </w:rPr>
        <w:t>无</w:t>
      </w:r>
    </w:p>
    <w:p w14:paraId="1DEF2FC9">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5. 支付</w:t>
      </w:r>
    </w:p>
    <w:p w14:paraId="384B30F1">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5.1 支付货币</w:t>
      </w:r>
    </w:p>
    <w:p w14:paraId="585CC9D5">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币种为：</w:t>
      </w:r>
      <w:r>
        <w:rPr>
          <w:rFonts w:hint="eastAsia" w:ascii="宋体" w:hAnsi="宋体" w:cs="宋体"/>
          <w:color w:val="auto"/>
          <w:highlight w:val="none"/>
          <w:u w:val="single"/>
        </w:rPr>
        <w:t xml:space="preserve"> 人民币  </w:t>
      </w:r>
      <w:r>
        <w:rPr>
          <w:rFonts w:hint="eastAsia" w:ascii="宋体" w:hAnsi="宋体" w:cs="宋体"/>
          <w:color w:val="auto"/>
          <w:highlight w:val="none"/>
        </w:rPr>
        <w:t>，比例为：</w:t>
      </w:r>
      <w:r>
        <w:rPr>
          <w:rFonts w:hint="eastAsia" w:ascii="宋体" w:hAnsi="宋体" w:cs="宋体"/>
          <w:color w:val="auto"/>
          <w:highlight w:val="none"/>
          <w:u w:val="single"/>
        </w:rPr>
        <w:t xml:space="preserve">  100%   </w:t>
      </w:r>
      <w:r>
        <w:rPr>
          <w:rFonts w:hint="eastAsia" w:ascii="宋体" w:hAnsi="宋体" w:cs="宋体"/>
          <w:color w:val="auto"/>
          <w:highlight w:val="none"/>
        </w:rPr>
        <w:t>，汇率为：</w:t>
      </w:r>
      <w:r>
        <w:rPr>
          <w:rFonts w:hint="eastAsia" w:ascii="宋体" w:hAnsi="宋体" w:cs="宋体"/>
          <w:color w:val="auto"/>
          <w:highlight w:val="none"/>
          <w:u w:val="single"/>
        </w:rPr>
        <w:t xml:space="preserve">   /   </w:t>
      </w:r>
      <w:r>
        <w:rPr>
          <w:rFonts w:hint="eastAsia" w:ascii="宋体" w:hAnsi="宋体" w:cs="宋体"/>
          <w:color w:val="auto"/>
          <w:highlight w:val="none"/>
        </w:rPr>
        <w:t xml:space="preserve">。 </w:t>
      </w:r>
    </w:p>
    <w:p w14:paraId="66530968">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5.3 支付酬金</w:t>
      </w:r>
    </w:p>
    <w:p w14:paraId="7A8EBEDE">
      <w:pPr>
        <w:snapToGrid w:val="0"/>
        <w:spacing w:line="500" w:lineRule="exact"/>
        <w:ind w:firstLine="420" w:firstLineChars="200"/>
        <w:rPr>
          <w:rFonts w:hint="eastAsia" w:ascii="宋体" w:hAnsi="宋体" w:cs="宋体"/>
          <w:bCs/>
          <w:color w:val="auto"/>
          <w:highlight w:val="none"/>
        </w:rPr>
      </w:pPr>
      <w:r>
        <w:rPr>
          <w:rFonts w:hint="eastAsia" w:ascii="宋体" w:hAnsi="宋体" w:cs="宋体"/>
          <w:bCs/>
          <w:color w:val="auto"/>
          <w:highlight w:val="none"/>
        </w:rPr>
        <w:t>1、监理服务费支付方式：</w:t>
      </w:r>
    </w:p>
    <w:p w14:paraId="2B0BA2E0">
      <w:pPr>
        <w:snapToGrid w:val="0"/>
        <w:spacing w:line="500" w:lineRule="exact"/>
        <w:ind w:firstLine="630" w:firstLineChars="300"/>
        <w:rPr>
          <w:rFonts w:hint="eastAsia" w:ascii="宋体" w:hAnsi="宋体" w:cs="宋体"/>
          <w:bCs/>
          <w:color w:val="000000" w:themeColor="text1"/>
          <w:highlight w:val="none"/>
          <w14:textFill>
            <w14:solidFill>
              <w14:schemeClr w14:val="tx1"/>
            </w14:solidFill>
          </w14:textFill>
        </w:rPr>
      </w:pPr>
      <w:r>
        <w:rPr>
          <w:rFonts w:hint="eastAsia" w:ascii="宋体" w:hAnsi="宋体" w:cs="宋体"/>
          <w:bCs/>
          <w:color w:val="000000" w:themeColor="text1"/>
          <w:highlight w:val="none"/>
          <w:lang w:eastAsia="zh-CN"/>
          <w14:textFill>
            <w14:solidFill>
              <w14:schemeClr w14:val="tx1"/>
            </w14:solidFill>
          </w14:textFill>
        </w:rPr>
        <w:t>合同</w:t>
      </w:r>
      <w:r>
        <w:rPr>
          <w:rFonts w:hint="eastAsia" w:ascii="宋体" w:hAnsi="宋体" w:cs="宋体"/>
          <w:bCs/>
          <w:color w:val="000000" w:themeColor="text1"/>
          <w:highlight w:val="none"/>
          <w:lang w:val="en-US" w:eastAsia="zh-CN"/>
          <w14:textFill>
            <w14:solidFill>
              <w14:schemeClr w14:val="tx1"/>
            </w14:solidFill>
          </w14:textFill>
        </w:rPr>
        <w:t>签订后</w:t>
      </w:r>
      <w:r>
        <w:rPr>
          <w:rFonts w:hint="eastAsia" w:ascii="宋体" w:hAnsi="宋体" w:cs="宋体"/>
          <w:bCs/>
          <w:color w:val="000000" w:themeColor="text1"/>
          <w:highlight w:val="none"/>
          <w:lang w:eastAsia="zh-CN"/>
          <w14:textFill>
            <w14:solidFill>
              <w14:schemeClr w14:val="tx1"/>
            </w14:solidFill>
          </w14:textFill>
        </w:rPr>
        <w:t>，达到付款条件60日内，甲方向乙方支付合同总价款的 30%作为预付款。全部工程量竣工验收合格后60日内付清剩余全部监理费用（合同总价款的</w:t>
      </w:r>
      <w:r>
        <w:rPr>
          <w:rFonts w:hint="eastAsia" w:ascii="宋体" w:hAnsi="宋体" w:cs="宋体"/>
          <w:bCs/>
          <w:color w:val="000000" w:themeColor="text1"/>
          <w:highlight w:val="none"/>
          <w:lang w:val="en-US" w:eastAsia="zh-CN"/>
          <w14:textFill>
            <w14:solidFill>
              <w14:schemeClr w14:val="tx1"/>
            </w14:solidFill>
          </w14:textFill>
        </w:rPr>
        <w:t>7</w:t>
      </w:r>
      <w:r>
        <w:rPr>
          <w:rFonts w:hint="eastAsia" w:ascii="宋体" w:hAnsi="宋体" w:cs="宋体"/>
          <w:bCs/>
          <w:color w:val="000000" w:themeColor="text1"/>
          <w:highlight w:val="none"/>
          <w:lang w:eastAsia="zh-CN"/>
          <w14:textFill>
            <w14:solidFill>
              <w14:schemeClr w14:val="tx1"/>
            </w14:solidFill>
          </w14:textFill>
        </w:rPr>
        <w:t>0%）。</w:t>
      </w:r>
    </w:p>
    <w:p w14:paraId="45BF883D">
      <w:pPr>
        <w:snapToGrid w:val="0"/>
        <w:spacing w:line="500" w:lineRule="exact"/>
        <w:ind w:firstLine="420" w:firstLineChars="200"/>
        <w:rPr>
          <w:rFonts w:hint="eastAsia" w:ascii="宋体" w:hAnsi="宋体" w:cs="宋体"/>
          <w:bCs/>
          <w:color w:val="auto"/>
          <w:highlight w:val="none"/>
        </w:rPr>
      </w:pPr>
      <w:r>
        <w:rPr>
          <w:rFonts w:hint="eastAsia" w:ascii="宋体" w:hAnsi="宋体" w:cs="宋体"/>
          <w:bCs/>
          <w:color w:val="auto"/>
          <w:highlight w:val="none"/>
          <w:lang w:val="en-US" w:eastAsia="zh-CN"/>
        </w:rPr>
        <w:t>2</w:t>
      </w:r>
      <w:r>
        <w:rPr>
          <w:rFonts w:hint="eastAsia" w:ascii="宋体" w:hAnsi="宋体" w:cs="宋体"/>
          <w:bCs/>
          <w:color w:val="auto"/>
          <w:highlight w:val="none"/>
        </w:rPr>
        <w:t>、付款前，监理人应提供符合税法的增值税等额发票，收款收据及其他财务资料。若因监理人未能及时提供付款所需发票，导致支付逾期，委托人概不负责。竣工结算后按监理费结算总额提供发票。如监理人不能按照委托人要求提交发票，委托人不承担付款延误的违约责任。监理人提供的增值税普通发票应真实、合法、有效，监理人应在发票开具之日起3日内派专人或挂号信或特快专递等方式将其合法有效的发票送至委托人。委托人自取得发票经认证比对通过后15日内支付相应款项。</w:t>
      </w:r>
    </w:p>
    <w:p w14:paraId="189FFEA9">
      <w:pPr>
        <w:snapToGrid w:val="0"/>
        <w:spacing w:line="500" w:lineRule="exact"/>
        <w:ind w:firstLine="420" w:firstLineChars="200"/>
        <w:rPr>
          <w:rFonts w:hint="eastAsia" w:ascii="宋体" w:hAnsi="宋体" w:cs="宋体"/>
          <w:bCs/>
          <w:color w:val="auto"/>
          <w:highlight w:val="none"/>
        </w:rPr>
      </w:pPr>
      <w:r>
        <w:rPr>
          <w:rFonts w:hint="eastAsia" w:ascii="宋体" w:hAnsi="宋体" w:cs="宋体"/>
          <w:bCs/>
          <w:color w:val="auto"/>
          <w:highlight w:val="none"/>
        </w:rPr>
        <w:t>进度款支付由委托人以转账形式支付至合同载明的账户，如合同账户和支付方式变更，需签订补充协议另行约定。</w:t>
      </w:r>
    </w:p>
    <w:p w14:paraId="46836916">
      <w:pPr>
        <w:snapToGrid w:val="0"/>
        <w:spacing w:line="500" w:lineRule="exact"/>
        <w:ind w:firstLine="420" w:firstLineChars="200"/>
        <w:rPr>
          <w:rFonts w:hint="eastAsia" w:ascii="宋体" w:hAnsi="宋体" w:cs="宋体"/>
          <w:bCs/>
          <w:color w:val="auto"/>
          <w:highlight w:val="none"/>
        </w:rPr>
      </w:pPr>
      <w:r>
        <w:rPr>
          <w:rFonts w:hint="eastAsia" w:ascii="宋体" w:hAnsi="宋体" w:cs="宋体"/>
          <w:bCs/>
          <w:color w:val="auto"/>
          <w:highlight w:val="none"/>
        </w:rPr>
        <w:t>监理人提供的增值税普通发票应真实、合法、有效，因监理人开具的增值税普通发票不规范、不合法或涉嫌虚开发票引起的税务问题的，监理人需向委托人重新开具增值税普通发票，并向委托人承担赔偿责任，包括但不限于税款、滞纳金、罚款及相关损失等，在合同执行过程中，如遇国家税率政策调整，根据国家最新政策双方同意保持合同约定不含税金额不变，重新计算合同含税总金额即不含税金额*（1+调整后税率），税额即不含税金额*调整后税率。</w:t>
      </w:r>
    </w:p>
    <w:p w14:paraId="543F7D4C">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6. 合同生效、变更、暂停、解除与终止</w:t>
      </w:r>
    </w:p>
    <w:p w14:paraId="141A2C5B">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6.1 生效</w:t>
      </w:r>
    </w:p>
    <w:p w14:paraId="17595664">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本合同生效条件：</w:t>
      </w:r>
      <w:r>
        <w:rPr>
          <w:rFonts w:hint="eastAsia" w:ascii="宋体" w:hAnsi="宋体" w:cs="宋体"/>
          <w:color w:val="auto"/>
          <w:highlight w:val="none"/>
          <w:u w:val="single"/>
        </w:rPr>
        <w:t xml:space="preserve">  自合同签订盖章后生效  </w:t>
      </w:r>
      <w:r>
        <w:rPr>
          <w:rFonts w:hint="eastAsia" w:ascii="宋体" w:hAnsi="宋体" w:cs="宋体"/>
          <w:color w:val="auto"/>
          <w:highlight w:val="none"/>
        </w:rPr>
        <w:t>。</w:t>
      </w:r>
    </w:p>
    <w:p w14:paraId="73772CD2">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6.2 变更</w:t>
      </w:r>
    </w:p>
    <w:p w14:paraId="41CFEDAC">
      <w:pPr>
        <w:snapToGrid w:val="0"/>
        <w:spacing w:line="500" w:lineRule="exact"/>
        <w:rPr>
          <w:rFonts w:hint="eastAsia" w:ascii="宋体" w:hAnsi="宋体" w:cs="宋体"/>
          <w:color w:val="auto"/>
          <w:highlight w:val="none"/>
        </w:rPr>
      </w:pPr>
      <w:r>
        <w:rPr>
          <w:rFonts w:hint="eastAsia" w:ascii="宋体" w:hAnsi="宋体" w:cs="宋体"/>
          <w:color w:val="auto"/>
          <w:highlight w:val="none"/>
        </w:rPr>
        <w:t xml:space="preserve"> 因工程规模、监理范围的变化导致监理人的正常工作量减少时，按减少工作量的比例从协议书约定的正常工作酬金中扣减相同比例的酬金。</w:t>
      </w:r>
    </w:p>
    <w:p w14:paraId="74CD962E">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7. 争议解决</w:t>
      </w:r>
    </w:p>
    <w:p w14:paraId="63672B85">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7.</w:t>
      </w:r>
      <w:r>
        <w:rPr>
          <w:rFonts w:hint="eastAsia" w:ascii="宋体" w:hAnsi="宋体" w:cs="宋体"/>
          <w:b/>
          <w:snapToGrid w:val="0"/>
          <w:color w:val="auto"/>
          <w:kern w:val="0"/>
          <w:highlight w:val="none"/>
          <w:lang w:val="en-US" w:eastAsia="zh-CN"/>
        </w:rPr>
        <w:t>1</w:t>
      </w:r>
      <w:r>
        <w:rPr>
          <w:rFonts w:hint="eastAsia" w:ascii="宋体" w:hAnsi="宋体" w:cs="宋体"/>
          <w:b/>
          <w:snapToGrid w:val="0"/>
          <w:color w:val="auto"/>
          <w:kern w:val="0"/>
          <w:highlight w:val="none"/>
        </w:rPr>
        <w:t>调解</w:t>
      </w:r>
    </w:p>
    <w:p w14:paraId="3BEC88F1">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本合同争议进行调解时，可提交</w:t>
      </w:r>
      <w:r>
        <w:rPr>
          <w:rFonts w:hint="eastAsia" w:ascii="宋体" w:hAnsi="宋体" w:cs="宋体"/>
          <w:color w:val="auto"/>
          <w:highlight w:val="none"/>
          <w:u w:val="single"/>
        </w:rPr>
        <w:t xml:space="preserve"> /  </w:t>
      </w:r>
      <w:r>
        <w:rPr>
          <w:rFonts w:hint="eastAsia" w:ascii="宋体" w:hAnsi="宋体" w:cs="宋体"/>
          <w:color w:val="auto"/>
          <w:highlight w:val="none"/>
        </w:rPr>
        <w:t>进行调解。</w:t>
      </w:r>
    </w:p>
    <w:p w14:paraId="52EC5832">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7.</w:t>
      </w:r>
      <w:r>
        <w:rPr>
          <w:rFonts w:hint="eastAsia" w:ascii="宋体" w:hAnsi="宋体" w:cs="宋体"/>
          <w:b/>
          <w:snapToGrid w:val="0"/>
          <w:color w:val="auto"/>
          <w:kern w:val="0"/>
          <w:highlight w:val="none"/>
          <w:lang w:val="en-US" w:eastAsia="zh-CN"/>
        </w:rPr>
        <w:t>2</w:t>
      </w:r>
      <w:r>
        <w:rPr>
          <w:rFonts w:hint="eastAsia" w:ascii="宋体" w:hAnsi="宋体" w:cs="宋体"/>
          <w:b/>
          <w:snapToGrid w:val="0"/>
          <w:color w:val="auto"/>
          <w:kern w:val="0"/>
          <w:highlight w:val="none"/>
        </w:rPr>
        <w:t xml:space="preserve"> 仲裁或诉讼</w:t>
      </w:r>
    </w:p>
    <w:p w14:paraId="1920E10C">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合同争议的最终解决方式为下列第</w:t>
      </w:r>
      <w:r>
        <w:rPr>
          <w:rFonts w:hint="eastAsia" w:ascii="宋体" w:hAnsi="宋体" w:cs="宋体"/>
          <w:color w:val="auto"/>
          <w:highlight w:val="none"/>
          <w:u w:val="single"/>
        </w:rPr>
        <w:t xml:space="preserve">  2  </w:t>
      </w:r>
      <w:r>
        <w:rPr>
          <w:rFonts w:hint="eastAsia" w:ascii="宋体" w:hAnsi="宋体" w:cs="宋体"/>
          <w:color w:val="auto"/>
          <w:highlight w:val="none"/>
        </w:rPr>
        <w:t>种方式：</w:t>
      </w:r>
    </w:p>
    <w:p w14:paraId="2FF94FDA">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（1）提请</w:t>
      </w:r>
      <w:r>
        <w:rPr>
          <w:rFonts w:hint="eastAsia" w:ascii="宋体" w:hAnsi="宋体" w:cs="宋体"/>
          <w:color w:val="auto"/>
          <w:highlight w:val="none"/>
          <w:u w:val="single"/>
        </w:rPr>
        <w:t xml:space="preserve">  / </w:t>
      </w:r>
      <w:r>
        <w:rPr>
          <w:rFonts w:hint="eastAsia" w:ascii="宋体" w:hAnsi="宋体" w:cs="宋体"/>
          <w:color w:val="auto"/>
          <w:highlight w:val="none"/>
        </w:rPr>
        <w:t>仲裁委员会进行仲裁。</w:t>
      </w:r>
    </w:p>
    <w:p w14:paraId="62D8E87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（2）向</w:t>
      </w:r>
      <w:r>
        <w:rPr>
          <w:rFonts w:hint="eastAsia" w:ascii="宋体" w:hAnsi="宋体" w:cs="宋体"/>
          <w:color w:val="auto"/>
          <w:highlight w:val="none"/>
          <w:u w:val="single"/>
        </w:rPr>
        <w:t xml:space="preserve"> 项目所在地 </w:t>
      </w:r>
      <w:r>
        <w:rPr>
          <w:rFonts w:hint="eastAsia" w:ascii="宋体" w:hAnsi="宋体" w:cs="宋体"/>
          <w:color w:val="auto"/>
          <w:highlight w:val="none"/>
        </w:rPr>
        <w:t>人民法院提起诉讼。</w:t>
      </w:r>
    </w:p>
    <w:p w14:paraId="1F7FE202">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8. 其他</w:t>
      </w:r>
    </w:p>
    <w:p w14:paraId="59281A28">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8.</w:t>
      </w:r>
      <w:r>
        <w:rPr>
          <w:rFonts w:hint="eastAsia" w:ascii="宋体" w:hAnsi="宋体" w:cs="宋体"/>
          <w:b/>
          <w:snapToGrid w:val="0"/>
          <w:color w:val="auto"/>
          <w:kern w:val="0"/>
          <w:highlight w:val="none"/>
          <w:lang w:val="en-US" w:eastAsia="zh-CN"/>
        </w:rPr>
        <w:t>1</w:t>
      </w:r>
      <w:r>
        <w:rPr>
          <w:rFonts w:hint="eastAsia" w:ascii="宋体" w:hAnsi="宋体" w:cs="宋体"/>
          <w:b/>
          <w:snapToGrid w:val="0"/>
          <w:color w:val="auto"/>
          <w:kern w:val="0"/>
          <w:highlight w:val="none"/>
        </w:rPr>
        <w:t xml:space="preserve"> 检测费用</w:t>
      </w:r>
    </w:p>
    <w:p w14:paraId="7E391B76">
      <w:pPr>
        <w:adjustRightInd w:val="0"/>
        <w:snapToGrid w:val="0"/>
        <w:spacing w:line="500" w:lineRule="exact"/>
        <w:rPr>
          <w:rFonts w:hint="eastAsia" w:ascii="宋体" w:hAnsi="宋体" w:cs="宋体"/>
          <w:bCs/>
          <w:color w:val="auto"/>
          <w:highlight w:val="none"/>
        </w:rPr>
      </w:pPr>
      <w:r>
        <w:rPr>
          <w:rFonts w:hint="eastAsia" w:ascii="宋体" w:hAnsi="宋体" w:cs="宋体"/>
          <w:bCs/>
          <w:color w:val="auto"/>
          <w:highlight w:val="none"/>
        </w:rPr>
        <w:t xml:space="preserve">    委托人委托监理人实施本项目监理合同项外的检测工作时，双方另行协商。</w:t>
      </w:r>
    </w:p>
    <w:p w14:paraId="2A73171D">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8.</w:t>
      </w:r>
      <w:r>
        <w:rPr>
          <w:rFonts w:hint="eastAsia" w:ascii="宋体" w:hAnsi="宋体" w:cs="宋体"/>
          <w:b/>
          <w:snapToGrid w:val="0"/>
          <w:color w:val="auto"/>
          <w:kern w:val="0"/>
          <w:highlight w:val="none"/>
          <w:lang w:val="en-US" w:eastAsia="zh-CN"/>
        </w:rPr>
        <w:t>2</w:t>
      </w:r>
      <w:r>
        <w:rPr>
          <w:rFonts w:hint="eastAsia" w:ascii="宋体" w:hAnsi="宋体" w:cs="宋体"/>
          <w:b/>
          <w:snapToGrid w:val="0"/>
          <w:color w:val="auto"/>
          <w:kern w:val="0"/>
          <w:highlight w:val="none"/>
        </w:rPr>
        <w:t xml:space="preserve"> 咨询费用</w:t>
      </w:r>
    </w:p>
    <w:p w14:paraId="3DDEBE07">
      <w:pPr>
        <w:adjustRightInd w:val="0"/>
        <w:snapToGrid w:val="0"/>
        <w:spacing w:line="500" w:lineRule="exact"/>
        <w:rPr>
          <w:rFonts w:hint="eastAsia" w:ascii="宋体" w:hAnsi="宋体" w:cs="宋体"/>
          <w:bCs/>
          <w:color w:val="auto"/>
          <w:highlight w:val="none"/>
        </w:rPr>
      </w:pPr>
      <w:r>
        <w:rPr>
          <w:rFonts w:hint="eastAsia" w:ascii="宋体" w:hAnsi="宋体" w:cs="宋体"/>
          <w:bCs/>
          <w:color w:val="auto"/>
          <w:highlight w:val="none"/>
        </w:rPr>
        <w:t xml:space="preserve">    委托人委托监理人实施本项目监理合同项外的咨询工作时，双方另行协商。</w:t>
      </w:r>
    </w:p>
    <w:p w14:paraId="2FCD9438">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8.</w:t>
      </w:r>
      <w:r>
        <w:rPr>
          <w:rFonts w:hint="eastAsia" w:ascii="宋体" w:hAnsi="宋体" w:cs="宋体"/>
          <w:b/>
          <w:snapToGrid w:val="0"/>
          <w:color w:val="auto"/>
          <w:kern w:val="0"/>
          <w:highlight w:val="none"/>
          <w:lang w:val="en-US" w:eastAsia="zh-CN"/>
        </w:rPr>
        <w:t>3</w:t>
      </w:r>
      <w:r>
        <w:rPr>
          <w:rFonts w:hint="eastAsia" w:ascii="宋体" w:hAnsi="宋体" w:cs="宋体"/>
          <w:b/>
          <w:snapToGrid w:val="0"/>
          <w:color w:val="auto"/>
          <w:kern w:val="0"/>
          <w:highlight w:val="none"/>
        </w:rPr>
        <w:t xml:space="preserve"> 奖励</w:t>
      </w:r>
    </w:p>
    <w:p w14:paraId="58CBFC68">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合理化建议的奖励金额按下列方法</w:t>
      </w:r>
      <w:r>
        <w:rPr>
          <w:rFonts w:hint="eastAsia" w:ascii="宋体" w:hAnsi="宋体" w:cs="宋体"/>
          <w:color w:val="auto"/>
          <w:highlight w:val="none"/>
          <w:lang w:eastAsia="zh-CN"/>
        </w:rPr>
        <w:t>确定</w:t>
      </w:r>
      <w:r>
        <w:rPr>
          <w:rFonts w:hint="eastAsia" w:ascii="宋体" w:hAnsi="宋体" w:cs="宋体"/>
          <w:color w:val="auto"/>
          <w:highlight w:val="none"/>
        </w:rPr>
        <w:t>：</w:t>
      </w:r>
    </w:p>
    <w:p w14:paraId="39C37C16">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奖励金额＝工程投资节省额×奖励金额的比率；</w:t>
      </w:r>
    </w:p>
    <w:p w14:paraId="03CF2D4F">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奖励金额的比率为</w:t>
      </w:r>
      <w:r>
        <w:rPr>
          <w:rFonts w:hint="eastAsia" w:ascii="宋体" w:hAnsi="宋体" w:cs="宋体"/>
          <w:color w:val="auto"/>
          <w:highlight w:val="none"/>
          <w:u w:val="single"/>
        </w:rPr>
        <w:t xml:space="preserve">   /   </w:t>
      </w:r>
      <w:r>
        <w:rPr>
          <w:rFonts w:hint="eastAsia" w:ascii="宋体" w:hAnsi="宋体" w:cs="宋体"/>
          <w:color w:val="auto"/>
          <w:highlight w:val="none"/>
        </w:rPr>
        <w:t>%。</w:t>
      </w:r>
    </w:p>
    <w:p w14:paraId="2463F165">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8.</w:t>
      </w:r>
      <w:r>
        <w:rPr>
          <w:rFonts w:hint="eastAsia" w:ascii="宋体" w:hAnsi="宋体" w:cs="宋体"/>
          <w:b/>
          <w:snapToGrid w:val="0"/>
          <w:color w:val="auto"/>
          <w:kern w:val="0"/>
          <w:highlight w:val="none"/>
          <w:lang w:val="en-US" w:eastAsia="zh-CN"/>
        </w:rPr>
        <w:t>4</w:t>
      </w:r>
      <w:r>
        <w:rPr>
          <w:rFonts w:hint="eastAsia" w:ascii="宋体" w:hAnsi="宋体" w:cs="宋体"/>
          <w:b/>
          <w:snapToGrid w:val="0"/>
          <w:color w:val="auto"/>
          <w:kern w:val="0"/>
          <w:highlight w:val="none"/>
        </w:rPr>
        <w:t xml:space="preserve"> 保密</w:t>
      </w:r>
    </w:p>
    <w:p w14:paraId="391FB4F9">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rPr>
        <w:t>委托人申明的保密事项和期限：</w:t>
      </w:r>
      <w:r>
        <w:rPr>
          <w:rFonts w:hint="eastAsia" w:ascii="宋体" w:hAnsi="宋体" w:cs="宋体"/>
          <w:color w:val="auto"/>
          <w:highlight w:val="none"/>
          <w:u w:val="single"/>
        </w:rPr>
        <w:t>在合同期内或合同终止后，未征得有关方同意，不得泄露与本工程、本合同业务有关的保密资料</w:t>
      </w:r>
      <w:r>
        <w:rPr>
          <w:rFonts w:hint="eastAsia" w:ascii="宋体" w:hAnsi="宋体" w:cs="宋体"/>
          <w:color w:val="auto"/>
          <w:highlight w:val="none"/>
        </w:rPr>
        <w:t>。</w:t>
      </w:r>
    </w:p>
    <w:p w14:paraId="6EAC7E90">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rPr>
        <w:t>监理人申明的保密事项和期限：</w:t>
      </w:r>
      <w:r>
        <w:rPr>
          <w:rFonts w:hint="eastAsia" w:ascii="宋体" w:hAnsi="宋体" w:cs="宋体"/>
          <w:color w:val="auto"/>
          <w:highlight w:val="none"/>
          <w:u w:val="single"/>
        </w:rPr>
        <w:t xml:space="preserve">          /       </w:t>
      </w:r>
      <w:r>
        <w:rPr>
          <w:rFonts w:hint="eastAsia" w:ascii="宋体" w:hAnsi="宋体" w:cs="宋体"/>
          <w:color w:val="auto"/>
          <w:highlight w:val="none"/>
        </w:rPr>
        <w:t>。</w:t>
      </w:r>
    </w:p>
    <w:p w14:paraId="1EFC4290">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rPr>
        <w:t>第三方申明的保密事项和期限：</w:t>
      </w:r>
      <w:r>
        <w:rPr>
          <w:rFonts w:hint="eastAsia" w:ascii="宋体" w:hAnsi="宋体" w:cs="宋体"/>
          <w:color w:val="auto"/>
          <w:highlight w:val="none"/>
          <w:u w:val="single"/>
        </w:rPr>
        <w:t xml:space="preserve">         /        </w:t>
      </w:r>
      <w:r>
        <w:rPr>
          <w:rFonts w:hint="eastAsia" w:ascii="宋体" w:hAnsi="宋体" w:cs="宋体"/>
          <w:color w:val="auto"/>
          <w:highlight w:val="none"/>
        </w:rPr>
        <w:t>。</w:t>
      </w:r>
    </w:p>
    <w:p w14:paraId="12AC5B3B">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9. 补充条款</w:t>
      </w:r>
    </w:p>
    <w:p w14:paraId="436CA6BB">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9.1监理人必须自行监理，不得转包监理业务，否则，委托人有权立即解除监理合同，并要求监理人按监理合同总价的5%支付违约金并赔偿损失。</w:t>
      </w:r>
    </w:p>
    <w:p w14:paraId="4FC95021">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9.2监理人必须对进场材料、构配件和设备的规格、品牌、数量和进场时间等严格审核。</w:t>
      </w:r>
    </w:p>
    <w:p w14:paraId="29CCACE2">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w:t>
      </w:r>
      <w:r>
        <w:rPr>
          <w:rFonts w:hint="eastAsia" w:ascii="宋体" w:hAnsi="宋体" w:cs="宋体"/>
          <w:color w:val="auto"/>
          <w:spacing w:val="-4"/>
          <w:highlight w:val="none"/>
          <w:u w:val="single"/>
          <w:lang w:val="en-US" w:eastAsia="zh-CN"/>
        </w:rPr>
        <w:t>3</w:t>
      </w:r>
      <w:r>
        <w:rPr>
          <w:rFonts w:hint="eastAsia" w:ascii="宋体" w:hAnsi="宋体" w:cs="宋体"/>
          <w:color w:val="auto"/>
          <w:spacing w:val="-4"/>
          <w:highlight w:val="none"/>
          <w:u w:val="single"/>
        </w:rPr>
        <w:t>财务要求：委托人正式付款前，监理人须先提供符合要求的正式增值税专用发票。若监理人不提供或提供的发票不符合委托人要求，委托人有权拒付款项；如监理人提供虚假发票，委托人有权向有关部门举报，同时给予发票面值30%的扣款，给委托人带来的损失，监理人双倍赔偿。</w:t>
      </w:r>
    </w:p>
    <w:p w14:paraId="05C9785D">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w:t>
      </w:r>
      <w:r>
        <w:rPr>
          <w:rFonts w:hint="eastAsia" w:ascii="宋体" w:hAnsi="宋体" w:cs="宋体"/>
          <w:color w:val="auto"/>
          <w:spacing w:val="-4"/>
          <w:highlight w:val="none"/>
          <w:u w:val="single"/>
          <w:lang w:val="en-US" w:eastAsia="zh-CN"/>
        </w:rPr>
        <w:t>4</w:t>
      </w:r>
      <w:r>
        <w:rPr>
          <w:rFonts w:hint="eastAsia" w:ascii="宋体" w:hAnsi="宋体" w:cs="宋体"/>
          <w:color w:val="auto"/>
          <w:spacing w:val="-4"/>
          <w:highlight w:val="none"/>
          <w:u w:val="single"/>
        </w:rPr>
        <w:t>如因项目工期延误等原因导致监理服务期延长，委托人不予补偿。</w:t>
      </w:r>
    </w:p>
    <w:p w14:paraId="30E5D5A2">
      <w:pPr>
        <w:snapToGrid w:val="0"/>
        <w:spacing w:line="500" w:lineRule="exact"/>
        <w:ind w:firstLine="404" w:firstLineChars="200"/>
        <w:rPr>
          <w:rFonts w:hint="eastAsia" w:ascii="宋体" w:hAnsi="宋体" w:cs="宋体"/>
          <w:color w:val="000000" w:themeColor="text1"/>
          <w:spacing w:val="-4"/>
          <w:highlight w:val="none"/>
          <w:u w:val="single"/>
          <w:lang w:val="en-US" w:eastAsia="zh-CN"/>
          <w14:textFill>
            <w14:solidFill>
              <w14:schemeClr w14:val="tx1"/>
            </w14:solidFill>
          </w14:textFill>
        </w:rPr>
      </w:pPr>
      <w:r>
        <w:rPr>
          <w:rFonts w:hint="eastAsia" w:ascii="宋体" w:hAnsi="宋体" w:cs="宋体"/>
          <w:color w:val="000000" w:themeColor="text1"/>
          <w:spacing w:val="-4"/>
          <w:highlight w:val="none"/>
          <w:u w:val="single"/>
          <w14:textFill>
            <w14:solidFill>
              <w14:schemeClr w14:val="tx1"/>
            </w14:solidFill>
          </w14:textFill>
        </w:rPr>
        <w:t>9.</w:t>
      </w:r>
      <w:r>
        <w:rPr>
          <w:rFonts w:hint="eastAsia" w:ascii="宋体" w:hAnsi="宋体" w:cs="宋体"/>
          <w:color w:val="000000" w:themeColor="text1"/>
          <w:spacing w:val="-4"/>
          <w:highlight w:val="none"/>
          <w:u w:val="single"/>
          <w:lang w:val="en-US" w:eastAsia="zh-CN"/>
          <w14:textFill>
            <w14:solidFill>
              <w14:schemeClr w14:val="tx1"/>
            </w14:solidFill>
          </w14:textFill>
        </w:rPr>
        <w:t>5</w:t>
      </w:r>
      <w:r>
        <w:rPr>
          <w:rFonts w:hint="eastAsia" w:ascii="宋体" w:hAnsi="宋体" w:cs="宋体"/>
          <w:color w:val="000000" w:themeColor="text1"/>
          <w:spacing w:val="-4"/>
          <w:highlight w:val="none"/>
          <w:u w:val="single"/>
          <w14:textFill>
            <w14:solidFill>
              <w14:schemeClr w14:val="tx1"/>
            </w14:solidFill>
          </w14:textFill>
        </w:rPr>
        <w:t>建设工程质量是工程建设的根本，监理人作为监控工程建设质量的关键机构，其在实施监理工作时，要严格认真履行监理职责。在验收中，严格执行《工程建设标准强制性条文》、工程施工验收规范、设计要求及委托人的要求</w:t>
      </w:r>
      <w:r>
        <w:rPr>
          <w:rFonts w:hint="eastAsia" w:ascii="宋体" w:hAnsi="宋体" w:cs="宋体"/>
          <w:color w:val="000000" w:themeColor="text1"/>
          <w:spacing w:val="-4"/>
          <w:highlight w:val="none"/>
          <w:u w:val="single"/>
          <w:lang w:val="en-US" w:eastAsia="zh-CN"/>
          <w14:textFill>
            <w14:solidFill>
              <w14:schemeClr w14:val="tx1"/>
            </w14:solidFill>
          </w14:textFill>
        </w:rPr>
        <w:t>对工程质量进行监督管理。</w:t>
      </w:r>
    </w:p>
    <w:p w14:paraId="3547F3C5">
      <w:pPr>
        <w:snapToGrid w:val="0"/>
        <w:spacing w:line="500" w:lineRule="exact"/>
        <w:ind w:firstLine="404" w:firstLineChars="200"/>
        <w:rPr>
          <w:rFonts w:hint="eastAsia" w:ascii="宋体" w:hAnsi="宋体" w:cs="宋体"/>
          <w:color w:val="000000" w:themeColor="text1"/>
          <w:spacing w:val="-4"/>
          <w:highlight w:val="none"/>
          <w:u w:val="single"/>
          <w14:textFill>
            <w14:solidFill>
              <w14:schemeClr w14:val="tx1"/>
            </w14:solidFill>
          </w14:textFill>
        </w:rPr>
      </w:pPr>
      <w:r>
        <w:rPr>
          <w:rFonts w:hint="eastAsia" w:ascii="宋体" w:hAnsi="宋体" w:cs="宋体"/>
          <w:color w:val="000000" w:themeColor="text1"/>
          <w:spacing w:val="-4"/>
          <w:highlight w:val="none"/>
          <w:u w:val="single"/>
          <w14:textFill>
            <w14:solidFill>
              <w14:schemeClr w14:val="tx1"/>
            </w14:solidFill>
          </w14:textFill>
        </w:rPr>
        <w:t>9.</w:t>
      </w:r>
      <w:r>
        <w:rPr>
          <w:rFonts w:hint="eastAsia" w:ascii="宋体" w:hAnsi="宋体" w:cs="宋体"/>
          <w:color w:val="000000" w:themeColor="text1"/>
          <w:spacing w:val="-4"/>
          <w:highlight w:val="none"/>
          <w:u w:val="single"/>
          <w:lang w:val="en-US" w:eastAsia="zh-CN"/>
          <w14:textFill>
            <w14:solidFill>
              <w14:schemeClr w14:val="tx1"/>
            </w14:solidFill>
          </w14:textFill>
        </w:rPr>
        <w:t>6</w:t>
      </w:r>
      <w:r>
        <w:rPr>
          <w:rFonts w:hint="eastAsia" w:ascii="宋体" w:hAnsi="宋体" w:cs="宋体"/>
          <w:color w:val="000000" w:themeColor="text1"/>
          <w:spacing w:val="-4"/>
          <w:highlight w:val="none"/>
          <w:u w:val="single"/>
          <w14:textFill>
            <w14:solidFill>
              <w14:schemeClr w14:val="tx1"/>
            </w14:solidFill>
          </w14:textFill>
        </w:rPr>
        <w:t>对于重点部位和关键工序，监理人应进行旁站监理，确保工程施工质量和安全。</w:t>
      </w:r>
    </w:p>
    <w:p w14:paraId="0D1473D0">
      <w:pPr>
        <w:snapToGrid w:val="0"/>
        <w:spacing w:line="500" w:lineRule="exact"/>
        <w:ind w:firstLine="404" w:firstLineChars="200"/>
        <w:rPr>
          <w:rFonts w:hint="eastAsia" w:ascii="宋体" w:hAnsi="宋体" w:cs="宋体"/>
          <w:color w:val="000000" w:themeColor="text1"/>
          <w:spacing w:val="-4"/>
          <w:highlight w:val="none"/>
          <w:u w:val="single"/>
          <w14:textFill>
            <w14:solidFill>
              <w14:schemeClr w14:val="tx1"/>
            </w14:solidFill>
          </w14:textFill>
        </w:rPr>
      </w:pPr>
      <w:r>
        <w:rPr>
          <w:rFonts w:hint="eastAsia" w:ascii="宋体" w:hAnsi="宋体" w:cs="宋体"/>
          <w:color w:val="000000" w:themeColor="text1"/>
          <w:spacing w:val="-4"/>
          <w:highlight w:val="none"/>
          <w:u w:val="single"/>
          <w14:textFill>
            <w14:solidFill>
              <w14:schemeClr w14:val="tx1"/>
            </w14:solidFill>
          </w14:textFill>
        </w:rPr>
        <w:t>9.</w:t>
      </w:r>
      <w:r>
        <w:rPr>
          <w:rFonts w:hint="eastAsia" w:ascii="宋体" w:hAnsi="宋体" w:cs="宋体"/>
          <w:color w:val="000000" w:themeColor="text1"/>
          <w:spacing w:val="-4"/>
          <w:highlight w:val="none"/>
          <w:u w:val="single"/>
          <w:lang w:val="en-US" w:eastAsia="zh-CN"/>
          <w14:textFill>
            <w14:solidFill>
              <w14:schemeClr w14:val="tx1"/>
            </w14:solidFill>
          </w14:textFill>
        </w:rPr>
        <w:t>7</w:t>
      </w:r>
      <w:r>
        <w:rPr>
          <w:rFonts w:hint="eastAsia" w:ascii="宋体" w:hAnsi="宋体" w:cs="宋体"/>
          <w:color w:val="000000" w:themeColor="text1"/>
          <w:spacing w:val="-4"/>
          <w:highlight w:val="none"/>
          <w:u w:val="single"/>
          <w14:textFill>
            <w14:solidFill>
              <w14:schemeClr w14:val="tx1"/>
            </w14:solidFill>
          </w14:textFill>
        </w:rPr>
        <w:t>审批各段分部工程开工报告，检查核实承包人所报人员、机械设备、材料和试验，审查分部工程的施工方案和施工计划的可行性，确保工程质量和施工安全。</w:t>
      </w:r>
    </w:p>
    <w:p w14:paraId="3DFF0F19">
      <w:pPr>
        <w:snapToGrid w:val="0"/>
        <w:spacing w:line="500" w:lineRule="exact"/>
        <w:ind w:firstLine="404" w:firstLineChars="200"/>
        <w:rPr>
          <w:rFonts w:hint="eastAsia" w:ascii="宋体" w:hAnsi="宋体" w:cs="宋体"/>
          <w:color w:val="000000" w:themeColor="text1"/>
          <w:spacing w:val="-4"/>
          <w:highlight w:val="none"/>
          <w:u w:val="single"/>
          <w14:textFill>
            <w14:solidFill>
              <w14:schemeClr w14:val="tx1"/>
            </w14:solidFill>
          </w14:textFill>
        </w:rPr>
      </w:pPr>
      <w:r>
        <w:rPr>
          <w:rFonts w:hint="eastAsia" w:ascii="宋体" w:hAnsi="宋体" w:cs="宋体"/>
          <w:color w:val="000000" w:themeColor="text1"/>
          <w:spacing w:val="-4"/>
          <w:highlight w:val="none"/>
          <w:u w:val="single"/>
          <w14:textFill>
            <w14:solidFill>
              <w14:schemeClr w14:val="tx1"/>
            </w14:solidFill>
          </w14:textFill>
        </w:rPr>
        <w:t>9.</w:t>
      </w:r>
      <w:r>
        <w:rPr>
          <w:rFonts w:hint="eastAsia" w:ascii="宋体" w:hAnsi="宋体" w:cs="宋体"/>
          <w:color w:val="000000" w:themeColor="text1"/>
          <w:spacing w:val="-4"/>
          <w:highlight w:val="none"/>
          <w:u w:val="single"/>
          <w:lang w:val="en-US" w:eastAsia="zh-CN"/>
          <w14:textFill>
            <w14:solidFill>
              <w14:schemeClr w14:val="tx1"/>
            </w14:solidFill>
          </w14:textFill>
        </w:rPr>
        <w:t>8</w:t>
      </w:r>
      <w:r>
        <w:rPr>
          <w:rFonts w:hint="eastAsia" w:ascii="宋体" w:hAnsi="宋体" w:cs="宋体"/>
          <w:color w:val="000000" w:themeColor="text1"/>
          <w:spacing w:val="-4"/>
          <w:highlight w:val="none"/>
          <w:u w:val="single"/>
          <w14:textFill>
            <w14:solidFill>
              <w14:schemeClr w14:val="tx1"/>
            </w14:solidFill>
          </w14:textFill>
        </w:rPr>
        <w:t>检查督促各承包人按设计图施工，现场作业的机械设备和进场的材料应符合相关标准的规定，检查落实承包人持证上岗的人员，落实各工序的施工工艺。如发现有安全因素时，有责任提醒承包人注意，必要时可以书面通知承包人。</w:t>
      </w:r>
    </w:p>
    <w:p w14:paraId="6A178FE1">
      <w:pPr>
        <w:snapToGrid w:val="0"/>
        <w:spacing w:line="500" w:lineRule="exact"/>
        <w:ind w:firstLine="404" w:firstLineChars="200"/>
        <w:rPr>
          <w:rFonts w:hint="eastAsia" w:ascii="宋体" w:hAnsi="宋体" w:cs="宋体"/>
          <w:color w:val="000000" w:themeColor="text1"/>
          <w:spacing w:val="-4"/>
          <w:highlight w:val="none"/>
          <w:u w:val="single"/>
          <w14:textFill>
            <w14:solidFill>
              <w14:schemeClr w14:val="tx1"/>
            </w14:solidFill>
          </w14:textFill>
        </w:rPr>
      </w:pPr>
      <w:r>
        <w:rPr>
          <w:rFonts w:hint="eastAsia" w:ascii="宋体" w:hAnsi="宋体" w:cs="宋体"/>
          <w:color w:val="000000" w:themeColor="text1"/>
          <w:spacing w:val="-4"/>
          <w:highlight w:val="none"/>
          <w:u w:val="single"/>
          <w14:textFill>
            <w14:solidFill>
              <w14:schemeClr w14:val="tx1"/>
            </w14:solidFill>
          </w14:textFill>
        </w:rPr>
        <w:t>9.</w:t>
      </w:r>
      <w:r>
        <w:rPr>
          <w:rFonts w:hint="eastAsia" w:ascii="宋体" w:hAnsi="宋体" w:cs="宋体"/>
          <w:color w:val="000000" w:themeColor="text1"/>
          <w:spacing w:val="-4"/>
          <w:highlight w:val="none"/>
          <w:u w:val="single"/>
          <w:lang w:val="en-US" w:eastAsia="zh-CN"/>
          <w14:textFill>
            <w14:solidFill>
              <w14:schemeClr w14:val="tx1"/>
            </w14:solidFill>
          </w14:textFill>
        </w:rPr>
        <w:t>9</w:t>
      </w:r>
      <w:r>
        <w:rPr>
          <w:rFonts w:hint="eastAsia" w:ascii="宋体" w:hAnsi="宋体" w:cs="宋体"/>
          <w:color w:val="000000" w:themeColor="text1"/>
          <w:spacing w:val="-4"/>
          <w:highlight w:val="none"/>
          <w:u w:val="single"/>
          <w14:textFill>
            <w14:solidFill>
              <w14:schemeClr w14:val="tx1"/>
            </w14:solidFill>
          </w14:textFill>
        </w:rPr>
        <w:t>监理人在工程施工管理过程中要承担建设工程成本控制的责任，严把签证关，并在合适的条件下，对设计变更提出合理可行的建设性建议，节约成本。</w:t>
      </w:r>
    </w:p>
    <w:p w14:paraId="2EA5B8D3">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000000" w:themeColor="text1"/>
          <w:spacing w:val="-4"/>
          <w:highlight w:val="none"/>
          <w:u w:val="single"/>
          <w14:textFill>
            <w14:solidFill>
              <w14:schemeClr w14:val="tx1"/>
            </w14:solidFill>
          </w14:textFill>
        </w:rPr>
        <w:t>9.</w:t>
      </w:r>
      <w:r>
        <w:rPr>
          <w:rFonts w:hint="eastAsia" w:ascii="宋体" w:hAnsi="宋体" w:cs="宋体"/>
          <w:color w:val="000000" w:themeColor="text1"/>
          <w:spacing w:val="-4"/>
          <w:highlight w:val="none"/>
          <w:u w:val="single"/>
          <w:lang w:val="en-US" w:eastAsia="zh-CN"/>
          <w14:textFill>
            <w14:solidFill>
              <w14:schemeClr w14:val="tx1"/>
            </w14:solidFill>
          </w14:textFill>
        </w:rPr>
        <w:t>10</w:t>
      </w:r>
      <w:r>
        <w:rPr>
          <w:rFonts w:hint="eastAsia" w:ascii="宋体" w:hAnsi="宋体" w:cs="宋体"/>
          <w:color w:val="000000" w:themeColor="text1"/>
          <w:spacing w:val="-4"/>
          <w:highlight w:val="none"/>
          <w:u w:val="single"/>
          <w14:textFill>
            <w14:solidFill>
              <w14:schemeClr w14:val="tx1"/>
            </w14:solidFill>
          </w14:textFill>
        </w:rPr>
        <w:t>签证、变更管理：监理人在</w:t>
      </w:r>
      <w:r>
        <w:rPr>
          <w:rFonts w:hint="eastAsia" w:ascii="宋体" w:hAnsi="宋体" w:cs="宋体"/>
          <w:color w:val="auto"/>
          <w:spacing w:val="-4"/>
          <w:highlight w:val="none"/>
          <w:u w:val="single"/>
        </w:rPr>
        <w:t>收到变更、签证申报单后3天内上报委托人并提出相关意见，经委托人同意后，监理人在上报后3天内办理完毕；监理人对承包人上报的变更、签证单的确认，监理人在收到后3天内(包括组织委托人和承包人对其完工进行确认)进行办理并确认，经委托人现场代表确认后生效。如承包人在事件发生前未及时申报或在完工后3天内未提出确认单，则监理人不予认可。技术变更需经设计院及委托人同意方可生效。监理人签署的停工令、开工令需经委托人项目部同意方可发放。</w:t>
      </w:r>
    </w:p>
    <w:p w14:paraId="6FB0C8D5">
      <w:pPr>
        <w:snapToGrid w:val="0"/>
        <w:spacing w:line="500" w:lineRule="exact"/>
        <w:ind w:firstLine="404" w:firstLineChars="200"/>
        <w:rPr>
          <w:rFonts w:hint="eastAsia" w:ascii="宋体" w:hAnsi="宋体" w:cs="宋体"/>
          <w:color w:val="000000" w:themeColor="text1"/>
          <w:spacing w:val="-4"/>
          <w:highlight w:val="none"/>
          <w:u w:val="single"/>
          <w14:textFill>
            <w14:solidFill>
              <w14:schemeClr w14:val="tx1"/>
            </w14:solidFill>
          </w14:textFill>
        </w:rPr>
      </w:pPr>
      <w:r>
        <w:rPr>
          <w:rFonts w:hint="eastAsia" w:ascii="宋体" w:hAnsi="宋体" w:cs="宋体"/>
          <w:color w:val="auto"/>
          <w:spacing w:val="-4"/>
          <w:highlight w:val="none"/>
          <w:u w:val="single"/>
        </w:rPr>
        <w:t>9.</w:t>
      </w:r>
      <w:r>
        <w:rPr>
          <w:rFonts w:hint="eastAsia" w:ascii="宋体" w:hAnsi="宋体" w:cs="宋体"/>
          <w:color w:val="auto"/>
          <w:spacing w:val="-4"/>
          <w:highlight w:val="none"/>
          <w:u w:val="single"/>
          <w:lang w:val="en-US" w:eastAsia="zh-CN"/>
        </w:rPr>
        <w:t>11</w:t>
      </w:r>
      <w:r>
        <w:rPr>
          <w:rFonts w:hint="eastAsia" w:ascii="宋体" w:hAnsi="宋体" w:cs="宋体"/>
          <w:color w:val="auto"/>
          <w:spacing w:val="-4"/>
          <w:highlight w:val="none"/>
          <w:u w:val="single"/>
        </w:rPr>
        <w:t>工程量清单及计价要求：监理人负责对本工程进行月度工程量(包括施工图工程量和设计变更增减工程量)的复核，对已完成工程量及时进行审查，经委托人检查合格后，进行工程进度控制和工程</w:t>
      </w:r>
      <w:r>
        <w:rPr>
          <w:rFonts w:hint="eastAsia" w:ascii="宋体" w:hAnsi="宋体" w:cs="宋体"/>
          <w:color w:val="000000" w:themeColor="text1"/>
          <w:spacing w:val="-4"/>
          <w:highlight w:val="none"/>
          <w:u w:val="single"/>
          <w14:textFill>
            <w14:solidFill>
              <w14:schemeClr w14:val="tx1"/>
            </w14:solidFill>
          </w14:textFill>
        </w:rPr>
        <w:t>造价控制。</w:t>
      </w:r>
    </w:p>
    <w:p w14:paraId="14AD87D5">
      <w:pPr>
        <w:snapToGrid w:val="0"/>
        <w:spacing w:line="500" w:lineRule="exact"/>
        <w:ind w:firstLine="404" w:firstLineChars="200"/>
        <w:rPr>
          <w:rFonts w:hint="eastAsia" w:ascii="宋体" w:hAnsi="宋体" w:eastAsia="宋体" w:cs="宋体"/>
          <w:color w:val="000000" w:themeColor="text1"/>
          <w:spacing w:val="-4"/>
          <w:highlight w:val="none"/>
          <w:u w:val="single"/>
          <w:lang w:val="en-US" w:eastAsia="zh-CN"/>
          <w14:textFill>
            <w14:solidFill>
              <w14:schemeClr w14:val="tx1"/>
            </w14:solidFill>
          </w14:textFill>
        </w:rPr>
      </w:pPr>
      <w:r>
        <w:rPr>
          <w:rFonts w:hint="eastAsia" w:ascii="宋体" w:hAnsi="宋体" w:cs="宋体"/>
          <w:color w:val="000000" w:themeColor="text1"/>
          <w:spacing w:val="-4"/>
          <w:highlight w:val="none"/>
          <w:u w:val="single"/>
          <w14:textFill>
            <w14:solidFill>
              <w14:schemeClr w14:val="tx1"/>
            </w14:solidFill>
          </w14:textFill>
        </w:rPr>
        <w:t>9.1</w:t>
      </w:r>
      <w:r>
        <w:rPr>
          <w:rFonts w:hint="eastAsia" w:ascii="宋体" w:hAnsi="宋体" w:cs="宋体"/>
          <w:color w:val="000000" w:themeColor="text1"/>
          <w:spacing w:val="-4"/>
          <w:highlight w:val="none"/>
          <w:u w:val="single"/>
          <w:lang w:val="en-US" w:eastAsia="zh-CN"/>
          <w14:textFill>
            <w14:solidFill>
              <w14:schemeClr w14:val="tx1"/>
            </w14:solidFill>
          </w14:textFill>
        </w:rPr>
        <w:t>2</w:t>
      </w:r>
      <w:r>
        <w:rPr>
          <w:rFonts w:hint="eastAsia" w:ascii="宋体" w:hAnsi="宋体" w:cs="宋体"/>
          <w:color w:val="000000" w:themeColor="text1"/>
          <w:spacing w:val="-4"/>
          <w:highlight w:val="none"/>
          <w:u w:val="single"/>
          <w14:textFill>
            <w14:solidFill>
              <w14:schemeClr w14:val="tx1"/>
            </w14:solidFill>
          </w14:textFill>
        </w:rPr>
        <w:t>监理人完成监理业务后，按合同规定和相关要求向委托人提交整理监理档案资料</w:t>
      </w:r>
      <w:r>
        <w:rPr>
          <w:rFonts w:hint="eastAsia" w:ascii="宋体" w:hAnsi="宋体" w:cs="宋体"/>
          <w:color w:val="000000" w:themeColor="text1"/>
          <w:spacing w:val="-4"/>
          <w:highlight w:val="none"/>
          <w:u w:val="single"/>
          <w:lang w:eastAsia="zh-CN"/>
          <w14:textFill>
            <w14:solidFill>
              <w14:schemeClr w14:val="tx1"/>
            </w14:solidFill>
          </w14:textFill>
        </w:rPr>
        <w:t>。</w:t>
      </w:r>
    </w:p>
    <w:p w14:paraId="2E79D751">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000000" w:themeColor="text1"/>
          <w:spacing w:val="-4"/>
          <w:highlight w:val="none"/>
          <w:u w:val="single"/>
          <w14:textFill>
            <w14:solidFill>
              <w14:schemeClr w14:val="tx1"/>
            </w14:solidFill>
          </w14:textFill>
        </w:rPr>
        <w:t>9.1</w:t>
      </w:r>
      <w:r>
        <w:rPr>
          <w:rFonts w:hint="eastAsia" w:ascii="宋体" w:hAnsi="宋体" w:cs="宋体"/>
          <w:color w:val="000000" w:themeColor="text1"/>
          <w:spacing w:val="-4"/>
          <w:highlight w:val="none"/>
          <w:u w:val="single"/>
          <w:lang w:val="en-US" w:eastAsia="zh-CN"/>
          <w14:textFill>
            <w14:solidFill>
              <w14:schemeClr w14:val="tx1"/>
            </w14:solidFill>
          </w14:textFill>
        </w:rPr>
        <w:t>3</w:t>
      </w:r>
      <w:r>
        <w:rPr>
          <w:rFonts w:hint="eastAsia" w:ascii="宋体" w:hAnsi="宋体" w:cs="宋体"/>
          <w:color w:val="000000" w:themeColor="text1"/>
          <w:spacing w:val="-4"/>
          <w:highlight w:val="none"/>
          <w:u w:val="single"/>
          <w14:textFill>
            <w14:solidFill>
              <w14:schemeClr w14:val="tx1"/>
            </w14:solidFill>
          </w14:textFill>
        </w:rPr>
        <w:t>监理资料的</w:t>
      </w:r>
      <w:r>
        <w:rPr>
          <w:rFonts w:hint="eastAsia" w:ascii="宋体" w:hAnsi="宋体" w:cs="宋体"/>
          <w:color w:val="auto"/>
          <w:spacing w:val="-4"/>
          <w:highlight w:val="none"/>
          <w:u w:val="single"/>
        </w:rPr>
        <w:t>整理必须与工程形象进度同步</w:t>
      </w:r>
      <w:r>
        <w:rPr>
          <w:rFonts w:hint="eastAsia" w:ascii="宋体" w:hAnsi="宋体" w:cs="宋体"/>
          <w:color w:val="auto"/>
          <w:spacing w:val="-4"/>
          <w:highlight w:val="none"/>
          <w:u w:val="single"/>
          <w:lang w:eastAsia="zh-CN"/>
        </w:rPr>
        <w:t>。</w:t>
      </w:r>
      <w:r>
        <w:rPr>
          <w:rFonts w:hint="eastAsia" w:ascii="宋体" w:hAnsi="宋体" w:cs="宋体"/>
          <w:color w:val="auto"/>
          <w:spacing w:val="-4"/>
          <w:highlight w:val="none"/>
          <w:u w:val="single"/>
        </w:rPr>
        <w:t>监理有义务督促承包人</w:t>
      </w:r>
      <w:r>
        <w:rPr>
          <w:rFonts w:hint="eastAsia" w:ascii="宋体" w:hAnsi="宋体" w:cs="宋体"/>
          <w:color w:val="auto"/>
          <w:spacing w:val="-4"/>
          <w:highlight w:val="none"/>
          <w:u w:val="single"/>
          <w:lang w:val="en-US" w:eastAsia="zh-CN"/>
        </w:rPr>
        <w:t>尽快</w:t>
      </w:r>
      <w:r>
        <w:rPr>
          <w:rFonts w:hint="eastAsia" w:ascii="宋体" w:hAnsi="宋体" w:cs="宋体"/>
          <w:color w:val="auto"/>
          <w:spacing w:val="-4"/>
          <w:highlight w:val="none"/>
          <w:u w:val="single"/>
        </w:rPr>
        <w:t>办理资料。</w:t>
      </w:r>
    </w:p>
    <w:p w14:paraId="7374ECC5">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9.1</w:t>
      </w:r>
      <w:r>
        <w:rPr>
          <w:rFonts w:hint="eastAsia" w:ascii="宋体" w:hAnsi="宋体" w:cs="宋体"/>
          <w:color w:val="auto"/>
          <w:spacing w:val="-4"/>
          <w:highlight w:val="none"/>
          <w:u w:val="single"/>
          <w:lang w:val="en-US" w:eastAsia="zh-CN"/>
        </w:rPr>
        <w:t>4</w:t>
      </w:r>
      <w:r>
        <w:rPr>
          <w:rFonts w:hint="eastAsia" w:ascii="宋体" w:hAnsi="宋体" w:cs="宋体"/>
          <w:color w:val="auto"/>
          <w:spacing w:val="-4"/>
          <w:highlight w:val="none"/>
          <w:u w:val="single"/>
        </w:rPr>
        <w:t>在工程施工阶段，按照要求进行监理，各单体工程施工工期，按照施工合同执行，监理工期按照本合同执行。</w:t>
      </w:r>
    </w:p>
    <w:p w14:paraId="62E8204F">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9.1</w:t>
      </w:r>
      <w:r>
        <w:rPr>
          <w:rFonts w:hint="eastAsia" w:ascii="宋体" w:hAnsi="宋体" w:cs="宋体"/>
          <w:color w:val="auto"/>
          <w:spacing w:val="-4"/>
          <w:highlight w:val="none"/>
          <w:u w:val="single"/>
          <w:lang w:val="en-US" w:eastAsia="zh-CN"/>
        </w:rPr>
        <w:t>5</w:t>
      </w:r>
      <w:r>
        <w:rPr>
          <w:rFonts w:hint="eastAsia" w:ascii="宋体" w:hAnsi="宋体" w:cs="宋体"/>
          <w:color w:val="auto"/>
          <w:spacing w:val="-4"/>
          <w:highlight w:val="none"/>
          <w:u w:val="single"/>
        </w:rPr>
        <w:t>根据西安市人民政府令第65号文件中对西安市农民工工资保障办法及《</w:t>
      </w:r>
      <w:r>
        <w:rPr>
          <w:rFonts w:hint="eastAsia" w:ascii="宋体" w:hAnsi="宋体" w:cs="宋体"/>
          <w:color w:val="auto"/>
          <w:spacing w:val="-4"/>
          <w:highlight w:val="none"/>
          <w:u w:val="single"/>
          <w:lang w:eastAsia="zh-CN"/>
        </w:rPr>
        <w:t>保障农民工工资支付条例</w:t>
      </w:r>
      <w:r>
        <w:rPr>
          <w:rFonts w:hint="eastAsia" w:ascii="宋体" w:hAnsi="宋体" w:cs="宋体"/>
          <w:color w:val="auto"/>
          <w:spacing w:val="-4"/>
          <w:highlight w:val="none"/>
          <w:u w:val="single"/>
        </w:rPr>
        <w:t>》[中华人民共和国国务院令第724号]的有关规定，委托人在对农民工工资支付情况进行监督时监理人必须配合委托人进行督察并协助办理。根据《工程建设领域农民工工资专用账户管理暂行办法》(人社部发〔2021〕53号)的有关规定，监理人应对农民工工资支付进行审核及监督，委托人已经按 约定足额向专用账户拨付资金，但总包单位依然拖欠农民工工资的，监理人应及时报告委托人及有关部门。</w:t>
      </w:r>
    </w:p>
    <w:p w14:paraId="2740F2AE">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p>
    <w:p w14:paraId="31222C2A">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附件：</w:t>
      </w:r>
    </w:p>
    <w:p w14:paraId="5BA7E5FA">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附件1  项目总监委托书</w:t>
      </w:r>
    </w:p>
    <w:p w14:paraId="1AB016C1">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附件2  建设工程廉政合同</w:t>
      </w:r>
    </w:p>
    <w:p w14:paraId="6119BE84">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附件3  安全监理责任合同 </w:t>
      </w:r>
    </w:p>
    <w:p w14:paraId="6C09F1FE">
      <w:pPr>
        <w:keepNext w:val="0"/>
        <w:keepLines w:val="0"/>
        <w:pageBreakBefore w:val="0"/>
        <w:kinsoku/>
        <w:wordWrap/>
        <w:overflowPunct/>
        <w:topLinePunct w:val="0"/>
        <w:autoSpaceDE/>
        <w:autoSpaceDN/>
        <w:bidi w:val="0"/>
        <w:adjustRightInd/>
        <w:snapToGrid/>
        <w:spacing w:line="348" w:lineRule="auto"/>
        <w:ind w:firstLine="420" w:firstLineChars="200"/>
        <w:textAlignment w:val="auto"/>
        <w:outlineLvl w:val="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附件4  本项目监理人员汇总表</w:t>
      </w:r>
    </w:p>
    <w:p w14:paraId="543BAB40">
      <w:pPr>
        <w:snapToGrid w:val="0"/>
        <w:spacing w:line="500" w:lineRule="exact"/>
        <w:rPr>
          <w:rFonts w:hint="eastAsia" w:ascii="宋体" w:hAnsi="宋体" w:cs="宋体"/>
          <w:color w:val="auto"/>
          <w:highlight w:val="none"/>
        </w:rPr>
      </w:pPr>
      <w:r>
        <w:rPr>
          <w:rFonts w:hint="eastAsia" w:ascii="宋体" w:hAnsi="宋体" w:cs="宋体"/>
          <w:color w:val="auto"/>
          <w:highlight w:val="none"/>
        </w:rPr>
        <w:br w:type="page"/>
      </w:r>
      <w:bookmarkStart w:id="0" w:name="_Ref421614472"/>
      <w:bookmarkStart w:id="1" w:name="_Toc481488187"/>
      <w:r>
        <w:rPr>
          <w:rFonts w:hint="eastAsia" w:ascii="宋体" w:hAnsi="宋体" w:cs="宋体"/>
          <w:b/>
          <w:bCs/>
          <w:color w:val="auto"/>
          <w:highlight w:val="none"/>
        </w:rPr>
        <w:t>附录A   相关服务的范围和内容</w:t>
      </w:r>
    </w:p>
    <w:p w14:paraId="05A62622">
      <w:pPr>
        <w:snapToGrid w:val="0"/>
        <w:spacing w:line="500" w:lineRule="exact"/>
        <w:ind w:left="420" w:leftChars="200"/>
        <w:rPr>
          <w:rFonts w:hint="eastAsia" w:ascii="宋体" w:hAnsi="宋体" w:cs="宋体"/>
          <w:color w:val="auto"/>
          <w:highlight w:val="none"/>
        </w:rPr>
      </w:pPr>
    </w:p>
    <w:p w14:paraId="632039AF">
      <w:pPr>
        <w:snapToGrid w:val="0"/>
        <w:spacing w:line="500" w:lineRule="exact"/>
        <w:ind w:left="420" w:leftChars="200"/>
        <w:rPr>
          <w:rFonts w:hint="eastAsia" w:ascii="宋体" w:hAnsi="宋体" w:cs="宋体"/>
          <w:color w:val="auto"/>
          <w:highlight w:val="none"/>
        </w:rPr>
      </w:pPr>
      <w:r>
        <w:rPr>
          <w:rFonts w:hint="eastAsia" w:ascii="宋体" w:hAnsi="宋体" w:cs="宋体"/>
          <w:color w:val="auto"/>
          <w:highlight w:val="none"/>
        </w:rPr>
        <w:t>A-1  勘察阶段：</w:t>
      </w:r>
      <w:r>
        <w:rPr>
          <w:rFonts w:hint="eastAsia" w:ascii="宋体" w:hAnsi="宋体" w:cs="宋体"/>
          <w:color w:val="auto"/>
          <w:highlight w:val="none"/>
          <w:u w:val="single"/>
        </w:rPr>
        <w:t xml:space="preserve">   /     </w:t>
      </w:r>
      <w:r>
        <w:rPr>
          <w:rFonts w:hint="eastAsia" w:ascii="宋体" w:hAnsi="宋体" w:cs="宋体"/>
          <w:color w:val="auto"/>
          <w:highlight w:val="none"/>
        </w:rPr>
        <w:t>。</w:t>
      </w:r>
    </w:p>
    <w:p w14:paraId="59C2E925">
      <w:pPr>
        <w:snapToGrid w:val="0"/>
        <w:spacing w:line="500" w:lineRule="exact"/>
        <w:ind w:left="420" w:leftChars="200"/>
        <w:rPr>
          <w:rFonts w:hint="eastAsia" w:ascii="宋体" w:hAnsi="宋体" w:cs="宋体"/>
          <w:color w:val="auto"/>
          <w:highlight w:val="none"/>
        </w:rPr>
      </w:pPr>
      <w:r>
        <w:rPr>
          <w:rFonts w:hint="eastAsia" w:ascii="宋体" w:hAnsi="宋体" w:cs="宋体"/>
          <w:color w:val="auto"/>
          <w:highlight w:val="none"/>
        </w:rPr>
        <w:t>A-2  设计阶段：</w:t>
      </w:r>
      <w:r>
        <w:rPr>
          <w:rFonts w:hint="eastAsia" w:ascii="宋体" w:hAnsi="宋体" w:cs="宋体"/>
          <w:color w:val="auto"/>
          <w:highlight w:val="none"/>
          <w:u w:val="single"/>
        </w:rPr>
        <w:t xml:space="preserve">   /     </w:t>
      </w:r>
      <w:r>
        <w:rPr>
          <w:rFonts w:hint="eastAsia" w:ascii="宋体" w:hAnsi="宋体" w:cs="宋体"/>
          <w:color w:val="auto"/>
          <w:highlight w:val="none"/>
        </w:rPr>
        <w:t xml:space="preserve">。        </w:t>
      </w:r>
    </w:p>
    <w:p w14:paraId="7C84F6E9">
      <w:pPr>
        <w:snapToGrid w:val="0"/>
        <w:spacing w:line="500" w:lineRule="exact"/>
        <w:ind w:left="420" w:leftChars="200"/>
        <w:rPr>
          <w:rFonts w:hint="eastAsia" w:ascii="宋体" w:hAnsi="宋体" w:cs="宋体"/>
          <w:color w:val="auto"/>
          <w:highlight w:val="none"/>
        </w:rPr>
      </w:pPr>
      <w:r>
        <w:rPr>
          <w:rFonts w:hint="eastAsia" w:ascii="宋体" w:hAnsi="宋体" w:cs="宋体"/>
          <w:color w:val="auto"/>
          <w:highlight w:val="none"/>
        </w:rPr>
        <w:t>A-3  保修阶段：</w:t>
      </w:r>
      <w:r>
        <w:rPr>
          <w:rFonts w:hint="eastAsia" w:ascii="宋体" w:hAnsi="宋体" w:cs="宋体"/>
          <w:color w:val="auto"/>
          <w:highlight w:val="none"/>
          <w:u w:val="single"/>
        </w:rPr>
        <w:t xml:space="preserve">   /     </w:t>
      </w:r>
      <w:r>
        <w:rPr>
          <w:rFonts w:hint="eastAsia" w:ascii="宋体" w:hAnsi="宋体" w:cs="宋体"/>
          <w:color w:val="auto"/>
          <w:highlight w:val="none"/>
        </w:rPr>
        <w:t xml:space="preserve">。        </w:t>
      </w:r>
    </w:p>
    <w:p w14:paraId="7D239B70">
      <w:pPr>
        <w:snapToGrid w:val="0"/>
        <w:spacing w:line="500" w:lineRule="exact"/>
        <w:ind w:left="420" w:leftChars="200"/>
        <w:rPr>
          <w:rFonts w:hint="eastAsia" w:ascii="宋体" w:hAnsi="宋体" w:cs="宋体"/>
          <w:color w:val="auto"/>
          <w:sz w:val="21"/>
          <w:szCs w:val="21"/>
          <w:highlight w:val="none"/>
        </w:rPr>
      </w:pPr>
      <w:r>
        <w:rPr>
          <w:rFonts w:hint="eastAsia" w:ascii="宋体" w:hAnsi="宋体" w:cs="宋体"/>
          <w:color w:val="auto"/>
          <w:highlight w:val="none"/>
        </w:rPr>
        <w:t xml:space="preserve">A-4  其他(专业技术咨询、外部协调工作等): </w:t>
      </w:r>
      <w:r>
        <w:rPr>
          <w:rFonts w:hint="eastAsia" w:ascii="宋体" w:hAnsi="宋体" w:cs="宋体"/>
          <w:color w:val="auto"/>
          <w:highlight w:val="none"/>
          <w:u w:val="single"/>
        </w:rPr>
        <w:t xml:space="preserve"> 双方另行协商。</w:t>
      </w:r>
      <w:r>
        <w:rPr>
          <w:rFonts w:hint="eastAsia" w:ascii="宋体" w:hAnsi="宋体" w:cs="宋体"/>
          <w:color w:val="auto"/>
          <w:sz w:val="21"/>
          <w:szCs w:val="21"/>
          <w:highlight w:val="none"/>
        </w:rPr>
        <w:br w:type="page"/>
      </w:r>
    </w:p>
    <w:bookmarkEnd w:id="0"/>
    <w:bookmarkEnd w:id="1"/>
    <w:p w14:paraId="2CDADD50">
      <w:pPr>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附件1 ：</w:t>
      </w:r>
      <w:r>
        <w:rPr>
          <w:rFonts w:hint="eastAsia" w:ascii="宋体" w:hAnsi="宋体" w:eastAsia="宋体" w:cs="宋体"/>
          <w:color w:val="auto"/>
          <w:sz w:val="21"/>
          <w:szCs w:val="21"/>
          <w:highlight w:val="none"/>
        </w:rPr>
        <w:t xml:space="preserve">           </w:t>
      </w:r>
    </w:p>
    <w:p w14:paraId="209044F8">
      <w:pPr>
        <w:spacing w:line="360" w:lineRule="auto"/>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项目总监委托书</w:t>
      </w:r>
    </w:p>
    <w:p w14:paraId="1EADB3FF">
      <w:pPr>
        <w:spacing w:line="360" w:lineRule="auto"/>
        <w:ind w:firstLine="420" w:firstLineChars="200"/>
        <w:rPr>
          <w:rFonts w:hint="default"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致：</w:t>
      </w:r>
      <w:r>
        <w:rPr>
          <w:rFonts w:hint="eastAsia" w:ascii="宋体" w:hAnsi="宋体" w:cs="宋体"/>
          <w:color w:val="auto"/>
          <w:sz w:val="21"/>
          <w:szCs w:val="21"/>
          <w:highlight w:val="none"/>
          <w:u w:val="single"/>
          <w:lang w:val="en-US" w:eastAsia="zh-CN"/>
        </w:rPr>
        <w:t xml:space="preserve">                    </w:t>
      </w:r>
    </w:p>
    <w:p w14:paraId="0810330A">
      <w:pPr>
        <w:spacing w:line="360" w:lineRule="auto"/>
        <w:ind w:left="1260" w:leftChars="200" w:hanging="840" w:hangingChars="4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的要求，现委托我公司</w:t>
      </w:r>
      <w:r>
        <w:rPr>
          <w:rFonts w:hint="eastAsia" w:ascii="宋体" w:hAnsi="宋体" w:eastAsia="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同志为我公司中标项目</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的总监理工</w:t>
      </w:r>
    </w:p>
    <w:p w14:paraId="185834FA">
      <w:pPr>
        <w:spacing w:line="360" w:lineRule="auto"/>
        <w:ind w:left="1260" w:leftChars="200" w:hanging="840" w:hangingChars="4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程师，并负责处理该工程总监需办理一切监理工作。</w:t>
      </w:r>
    </w:p>
    <w:p w14:paraId="02732AF2">
      <w:pPr>
        <w:spacing w:line="360" w:lineRule="auto"/>
        <w:ind w:firstLine="420" w:firstLineChars="200"/>
        <w:rPr>
          <w:rFonts w:hint="eastAsia" w:ascii="宋体" w:hAnsi="宋体" w:eastAsia="宋体" w:cs="宋体"/>
          <w:color w:val="auto"/>
          <w:sz w:val="21"/>
          <w:szCs w:val="21"/>
          <w:highlight w:val="none"/>
        </w:rPr>
      </w:pPr>
    </w:p>
    <w:p w14:paraId="668F0076">
      <w:pPr>
        <w:spacing w:line="360" w:lineRule="auto"/>
        <w:ind w:firstLine="420" w:firstLineChars="200"/>
        <w:rPr>
          <w:rFonts w:hint="eastAsia" w:ascii="宋体" w:hAnsi="宋体" w:eastAsia="宋体" w:cs="宋体"/>
          <w:color w:val="auto"/>
          <w:sz w:val="21"/>
          <w:szCs w:val="21"/>
          <w:highlight w:val="none"/>
        </w:rPr>
      </w:pPr>
    </w:p>
    <w:p w14:paraId="5A0C776A">
      <w:pPr>
        <w:spacing w:line="360" w:lineRule="auto"/>
        <w:ind w:firstLine="420" w:firstLineChars="200"/>
        <w:rPr>
          <w:rFonts w:hint="eastAsia" w:ascii="宋体" w:hAnsi="宋体" w:eastAsia="宋体" w:cs="宋体"/>
          <w:color w:val="auto"/>
          <w:sz w:val="21"/>
          <w:szCs w:val="21"/>
          <w:highlight w:val="none"/>
        </w:rPr>
      </w:pPr>
    </w:p>
    <w:p w14:paraId="2D2C65F9">
      <w:pPr>
        <w:snapToGrid w:val="0"/>
        <w:spacing w:before="156" w:beforeLines="50" w:after="156" w:afterLines="5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监理人：</w:t>
      </w:r>
      <w:r>
        <w:rPr>
          <w:rFonts w:hint="eastAsia" w:ascii="宋体" w:hAnsi="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rPr>
        <w:t>（公章）</w:t>
      </w:r>
    </w:p>
    <w:p w14:paraId="764B8ED0">
      <w:pPr>
        <w:snapToGrid w:val="0"/>
        <w:spacing w:before="156" w:beforeLines="50" w:after="156" w:afterLines="50"/>
        <w:rPr>
          <w:rFonts w:hint="eastAsia" w:ascii="宋体" w:hAnsi="宋体" w:eastAsia="宋体" w:cs="宋体"/>
          <w:color w:val="auto"/>
          <w:kern w:val="0"/>
          <w:szCs w:val="21"/>
          <w:highlight w:val="none"/>
          <w:u w:val="none"/>
          <w:lang w:eastAsia="zh-CN"/>
        </w:rPr>
      </w:pPr>
      <w:r>
        <w:rPr>
          <w:rFonts w:hint="eastAsia" w:ascii="宋体" w:hAnsi="宋体" w:eastAsia="宋体" w:cs="宋体"/>
          <w:color w:val="auto"/>
          <w:kern w:val="0"/>
          <w:szCs w:val="21"/>
          <w:highlight w:val="none"/>
        </w:rPr>
        <w:t>监理单位法人代表或授权委托人：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none"/>
          <w:lang w:eastAsia="zh-CN"/>
        </w:rPr>
        <w:t>（</w:t>
      </w:r>
      <w:r>
        <w:rPr>
          <w:rFonts w:hint="eastAsia" w:ascii="宋体" w:hAnsi="宋体" w:eastAsia="宋体" w:cs="宋体"/>
          <w:color w:val="auto"/>
          <w:kern w:val="0"/>
          <w:szCs w:val="21"/>
          <w:highlight w:val="none"/>
          <w:u w:val="none"/>
          <w:lang w:val="en-US" w:eastAsia="zh-CN"/>
        </w:rPr>
        <w:t>签字或盖章</w:t>
      </w:r>
      <w:r>
        <w:rPr>
          <w:rFonts w:hint="eastAsia" w:ascii="宋体" w:hAnsi="宋体" w:eastAsia="宋体" w:cs="宋体"/>
          <w:color w:val="auto"/>
          <w:kern w:val="0"/>
          <w:szCs w:val="21"/>
          <w:highlight w:val="none"/>
          <w:u w:val="none"/>
          <w:lang w:eastAsia="zh-CN"/>
        </w:rPr>
        <w:t>）</w:t>
      </w:r>
    </w:p>
    <w:p w14:paraId="09C13F7F">
      <w:pPr>
        <w:snapToGrid w:val="0"/>
        <w:spacing w:before="156" w:beforeLines="50" w:after="156" w:afterLines="5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日    期：</w:t>
      </w:r>
      <w:r>
        <w:rPr>
          <w:rFonts w:hint="eastAsia" w:ascii="宋体" w:hAnsi="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rPr>
        <w:t>年   月   日</w:t>
      </w:r>
    </w:p>
    <w:p w14:paraId="6827101F">
      <w:pPr>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r>
        <w:rPr>
          <w:rFonts w:hint="eastAsia" w:ascii="宋体" w:hAnsi="宋体" w:eastAsia="宋体" w:cs="宋体"/>
          <w:b/>
          <w:bCs/>
          <w:color w:val="auto"/>
          <w:sz w:val="21"/>
          <w:szCs w:val="21"/>
          <w:highlight w:val="none"/>
        </w:rPr>
        <w:t>附件2 ：</w:t>
      </w:r>
      <w:r>
        <w:rPr>
          <w:rFonts w:hint="eastAsia" w:ascii="宋体" w:hAnsi="宋体" w:eastAsia="宋体" w:cs="宋体"/>
          <w:color w:val="auto"/>
          <w:sz w:val="21"/>
          <w:szCs w:val="21"/>
          <w:highlight w:val="none"/>
        </w:rPr>
        <w:t xml:space="preserve">       </w:t>
      </w:r>
    </w:p>
    <w:p w14:paraId="1BFCE2A7">
      <w:pPr>
        <w:snapToGrid w:val="0"/>
        <w:spacing w:before="156" w:beforeLines="50" w:after="156" w:afterLines="50"/>
        <w:jc w:val="center"/>
        <w:rPr>
          <w:rFonts w:hint="eastAsia" w:ascii="宋体" w:hAnsi="宋体" w:eastAsia="宋体" w:cs="宋体"/>
          <w:color w:val="auto"/>
          <w:kern w:val="0"/>
          <w:szCs w:val="21"/>
          <w:highlight w:val="none"/>
        </w:rPr>
      </w:pPr>
      <w:r>
        <w:rPr>
          <w:rFonts w:hint="eastAsia" w:ascii="宋体" w:hAnsi="宋体" w:eastAsia="宋体" w:cs="宋体"/>
          <w:b/>
          <w:bCs/>
          <w:color w:val="auto"/>
          <w:szCs w:val="21"/>
          <w:highlight w:val="none"/>
        </w:rPr>
        <w:t>建设工程廉政协议书</w:t>
      </w:r>
    </w:p>
    <w:p w14:paraId="3829C54F">
      <w:pPr>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根据有关工程建设、廉政建设条规，为做好工程建设中的党风廉政建设，保证工程建设高效优质，保证建设资金的安全和有效使用以及投资效益，</w:t>
      </w:r>
      <w:r>
        <w:rPr>
          <w:rFonts w:hint="eastAsia" w:ascii="宋体" w:hAnsi="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rPr>
        <w:t>、与</w:t>
      </w:r>
      <w:r>
        <w:rPr>
          <w:rFonts w:hint="eastAsia" w:ascii="宋体" w:hAnsi="宋体" w:eastAsia="宋体" w:cs="宋体"/>
          <w:color w:val="auto"/>
          <w:kern w:val="0"/>
          <w:sz w:val="21"/>
          <w:szCs w:val="21"/>
          <w:highlight w:val="none"/>
          <w:u w:val="single"/>
        </w:rPr>
        <w:t xml:space="preserve"> </w:t>
      </w:r>
      <w:r>
        <w:rPr>
          <w:rFonts w:hint="eastAsia" w:ascii="宋体" w:hAnsi="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rPr>
        <w:t>特订立如下廉政协议书。</w:t>
      </w:r>
    </w:p>
    <w:p w14:paraId="3BA66702">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第一条  双方的权利和义务</w:t>
      </w:r>
    </w:p>
    <w:p w14:paraId="0F09EEF9">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（一）严格遵守党和国家有关法律法规的相关廉政规定。</w:t>
      </w:r>
    </w:p>
    <w:p w14:paraId="2D6EB00D">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（二）严格执行</w:t>
      </w:r>
      <w:r>
        <w:rPr>
          <w:rFonts w:hint="eastAsia" w:ascii="宋体" w:hAnsi="宋体" w:eastAsia="宋体" w:cs="宋体"/>
          <w:color w:val="auto"/>
          <w:kern w:val="0"/>
          <w:sz w:val="21"/>
          <w:szCs w:val="21"/>
          <w:highlight w:val="none"/>
          <w:u w:val="single"/>
        </w:rPr>
        <w:t xml:space="preserve"> 高陵区既有住宅小区围墙内雨污分流建设改造项目工程监理 </w:t>
      </w:r>
      <w:r>
        <w:rPr>
          <w:rFonts w:hint="eastAsia" w:ascii="宋体" w:hAnsi="宋体" w:eastAsia="宋体" w:cs="宋体"/>
          <w:color w:val="auto"/>
          <w:kern w:val="0"/>
          <w:sz w:val="21"/>
          <w:szCs w:val="21"/>
          <w:highlight w:val="none"/>
        </w:rPr>
        <w:t>合同文件，自觉按合同办事。</w:t>
      </w:r>
    </w:p>
    <w:p w14:paraId="68E220BD">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（三）双方的业务活动坚持公开、公正、诚信、透明的原则(除法律认定的商业秘密和合同文件另有规定之外)，不得损害国家和双方利益，不得违反工程建设管理规章制度。</w:t>
      </w:r>
    </w:p>
    <w:p w14:paraId="01812D06">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（四）建立健全廉政制度，开展廉政教育，设立廉政告示牌，公布举报电话，监督并认真查处违法违纪行为。</w:t>
      </w:r>
    </w:p>
    <w:p w14:paraId="0C45FD0D">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（五）发现对方在合同履行中有违反廉政规定的行为，有及时提醒对方纠正的权利和义务。</w:t>
      </w:r>
    </w:p>
    <w:p w14:paraId="1B49D51D">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（六）发现对方严重违反本协议义务条款的行为，有向其上级有关部门举报、建议给予处理并要求告知处理结果的权利。</w:t>
      </w:r>
    </w:p>
    <w:p w14:paraId="45B352A5">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第二条  委托人的义务</w:t>
      </w:r>
    </w:p>
    <w:p w14:paraId="37FB25EB">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（一）委托人及其工作人员不得索要或接受监理人的礼金、有价证券和贵重物品，不得在监理人报销任何应由委托人或个人支付的费用。</w:t>
      </w:r>
    </w:p>
    <w:p w14:paraId="0D1DB087">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（二）委托人工作人员不得参加监理人安排的高消费宴请和娱乐活动；不得接受监理人提供的通讯工具、交通工具和高档办公用品。</w:t>
      </w:r>
    </w:p>
    <w:p w14:paraId="14CB586B">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（三）委托人及其工作人员不得要求或者接受监理人为其住房装修、婚丧嫁娶活动、配偶子女的工作安排以及出国出境、旅游等提供方便。</w:t>
      </w:r>
    </w:p>
    <w:p w14:paraId="37148A61">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（四）委托人工作人员的配偶、子女及亲属不得从事与委托人工程有关的监理分包项目。</w:t>
      </w:r>
    </w:p>
    <w:p w14:paraId="3AC7859A">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第三条  监理人义务</w:t>
      </w:r>
    </w:p>
    <w:p w14:paraId="7B0AEC6A">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（一）监理人不得以任何理由向委托人及其工作人员馈赠礼金、有价证券、贵重礼品。</w:t>
      </w:r>
    </w:p>
    <w:p w14:paraId="28D7E458">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（二）监理人不得以任何名义为委托人及其工作人员报销应由委托人或个人支付的任何费用。</w:t>
      </w:r>
    </w:p>
    <w:p w14:paraId="516AFD4C">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（三）监理人不得以任何理由安排委托人工作人员参加高消费宴请及娱乐活动。</w:t>
      </w:r>
    </w:p>
    <w:p w14:paraId="5A61FC92">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（四）监理人不得为委托人和个人购置或提供通讯工具、交通工具和高档办公用品等。</w:t>
      </w:r>
    </w:p>
    <w:p w14:paraId="3C4EC37B">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（五）监理人及其工作人员不得索取或接受承包人的礼金、有价证券和贵重物品，不得在承包人报销任何应由监理人或个人支付的费用。</w:t>
      </w:r>
    </w:p>
    <w:p w14:paraId="45CFDA2C">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（六）监理人及其工作人员不得要求和接受承包人为其住房装修、婚丧嫁娶活动、配偶子女的工作安排以及出国出境、旅游等提供方便。</w:t>
      </w:r>
    </w:p>
    <w:p w14:paraId="2B1D374B">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（七）监理人及其工作人员不得参与承包人安排的高消费宴请和娱乐活动；不得接受承包人提供的通讯工具、交通工具和高档办公用品。</w:t>
      </w:r>
    </w:p>
    <w:p w14:paraId="50FE45EA">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第四条  违约责任</w:t>
      </w:r>
    </w:p>
    <w:p w14:paraId="38058768">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（一）委托人及其工作人员违反本合同第一、二条，按管理权限，依据有关规定给予党纪、政纪或组织处理；涉嫌犯罪的，移交司法机关追究刑事责任；给监理人单位造成经济损失的，应予以赔偿。</w:t>
      </w:r>
    </w:p>
    <w:p w14:paraId="480AF253">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二）监理人及其工作人员违反本合同第一、三条，按管理权限，依据有关规定，给予党纪、政纪或组织处理；给委托人单位造成经济损失的，应予以赔偿；情节严重的，委托人建议工程建设主管部门给予监理人一至三年内不得进入其主管的工程建设市场的处罚。</w:t>
      </w:r>
    </w:p>
    <w:p w14:paraId="756098E0">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第五条  双方约定</w:t>
      </w:r>
    </w:p>
    <w:p w14:paraId="0FB5CF69">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协议由双方或双方上级单位的纪检监察机关负责监督执行。由委托人或委托人上级单位的纪检监察机关约请监理人或监理人上级单位纪检监察机关对本协议执行情况进行检查；提出在本协议规定范围内的裁定意见。</w:t>
      </w:r>
    </w:p>
    <w:p w14:paraId="22E997FB">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第六条  本协议有效期</w:t>
      </w:r>
    </w:p>
    <w:p w14:paraId="55EF72A6">
      <w:pPr>
        <w:spacing w:line="360" w:lineRule="auto"/>
        <w:ind w:firstLine="420" w:firstLineChars="200"/>
        <w:outlineLvl w:val="3"/>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本协议有效期为委托人及监理人双方签署之日起至该工程项目竣工验收后止。</w:t>
      </w:r>
    </w:p>
    <w:p w14:paraId="7CCD8F1F">
      <w:pPr>
        <w:spacing w:line="360" w:lineRule="auto"/>
        <w:ind w:firstLine="420" w:firstLineChars="200"/>
        <w:outlineLvl w:val="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第七条  本合同一式捌份，甲、乙双方各执肆份。</w:t>
      </w:r>
    </w:p>
    <w:tbl>
      <w:tblPr>
        <w:tblStyle w:val="6"/>
        <w:tblW w:w="9879" w:type="dxa"/>
        <w:tblInd w:w="-252" w:type="dxa"/>
        <w:tblLayout w:type="fixed"/>
        <w:tblCellMar>
          <w:top w:w="0" w:type="dxa"/>
          <w:left w:w="108" w:type="dxa"/>
          <w:bottom w:w="0" w:type="dxa"/>
          <w:right w:w="108" w:type="dxa"/>
        </w:tblCellMar>
      </w:tblPr>
      <w:tblGrid>
        <w:gridCol w:w="4916"/>
        <w:gridCol w:w="4963"/>
      </w:tblGrid>
      <w:tr w14:paraId="584660AB">
        <w:tblPrEx>
          <w:tblCellMar>
            <w:top w:w="0" w:type="dxa"/>
            <w:left w:w="108" w:type="dxa"/>
            <w:bottom w:w="0" w:type="dxa"/>
            <w:right w:w="108" w:type="dxa"/>
          </w:tblCellMar>
        </w:tblPrEx>
        <w:tc>
          <w:tcPr>
            <w:tcW w:w="4916" w:type="dxa"/>
          </w:tcPr>
          <w:p w14:paraId="2A789988">
            <w:pP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甲</w:t>
            </w:r>
            <w:r>
              <w:rPr>
                <w:rFonts w:hint="eastAsia" w:ascii="宋体" w:hAnsi="宋体" w:eastAsia="宋体" w:cs="宋体"/>
                <w:color w:val="auto"/>
                <w:sz w:val="21"/>
                <w:szCs w:val="21"/>
                <w:highlight w:val="none"/>
                <w:lang w:eastAsia="zh-CN"/>
              </w:rPr>
              <w:t>方：</w:t>
            </w:r>
            <w:r>
              <w:rPr>
                <w:rFonts w:hint="eastAsia" w:ascii="宋体" w:hAnsi="宋体" w:cs="宋体"/>
                <w:color w:val="auto"/>
                <w:sz w:val="21"/>
                <w:szCs w:val="21"/>
                <w:highlight w:val="none"/>
                <w:lang w:val="en-US" w:eastAsia="zh-CN"/>
              </w:rPr>
              <w:t xml:space="preserve"> </w:t>
            </w:r>
          </w:p>
          <w:p w14:paraId="6617D22B">
            <w:pP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法定代表人或</w:t>
            </w:r>
          </w:p>
          <w:p w14:paraId="103D9EB9">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 xml:space="preserve">其授权的代理人： </w:t>
            </w:r>
            <w:r>
              <w:rPr>
                <w:rFonts w:hint="eastAsia" w:ascii="宋体" w:hAnsi="宋体" w:eastAsia="宋体" w:cs="宋体"/>
                <w:color w:val="auto"/>
                <w:sz w:val="21"/>
                <w:szCs w:val="21"/>
                <w:highlight w:val="none"/>
              </w:rPr>
              <w:t xml:space="preserve">（签字） </w:t>
            </w:r>
          </w:p>
          <w:p w14:paraId="24491D35">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签订日期：    年  月  日</w:t>
            </w:r>
          </w:p>
        </w:tc>
        <w:tc>
          <w:tcPr>
            <w:tcW w:w="4963" w:type="dxa"/>
          </w:tcPr>
          <w:p w14:paraId="149BB061">
            <w:pP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乙方：</w:t>
            </w:r>
            <w:r>
              <w:rPr>
                <w:rFonts w:hint="eastAsia" w:ascii="宋体" w:hAnsi="宋体" w:cs="宋体"/>
                <w:color w:val="auto"/>
                <w:sz w:val="21"/>
                <w:szCs w:val="21"/>
                <w:highlight w:val="none"/>
                <w:lang w:val="en-US" w:eastAsia="zh-CN"/>
              </w:rPr>
              <w:t xml:space="preserve"> </w:t>
            </w:r>
          </w:p>
          <w:p w14:paraId="28FF73E3">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w:t>
            </w:r>
          </w:p>
          <w:p w14:paraId="78A18059">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其授权的代理人： （签字） </w:t>
            </w:r>
          </w:p>
          <w:p w14:paraId="4DCDFC32">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签订日期：    年  月  日</w:t>
            </w:r>
          </w:p>
        </w:tc>
      </w:tr>
    </w:tbl>
    <w:p w14:paraId="68CA5AF4">
      <w:pPr>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r>
        <w:rPr>
          <w:rFonts w:hint="eastAsia" w:ascii="宋体" w:hAnsi="宋体" w:eastAsia="宋体" w:cs="宋体"/>
          <w:b/>
          <w:bCs/>
          <w:color w:val="auto"/>
          <w:sz w:val="21"/>
          <w:szCs w:val="21"/>
          <w:highlight w:val="none"/>
        </w:rPr>
        <w:t xml:space="preserve">附件3：   </w:t>
      </w:r>
      <w:r>
        <w:rPr>
          <w:rFonts w:hint="eastAsia" w:ascii="宋体" w:hAnsi="宋体" w:eastAsia="宋体" w:cs="宋体"/>
          <w:color w:val="auto"/>
          <w:sz w:val="21"/>
          <w:szCs w:val="21"/>
          <w:highlight w:val="none"/>
        </w:rPr>
        <w:t xml:space="preserve">          </w:t>
      </w:r>
    </w:p>
    <w:p w14:paraId="6B5D7112">
      <w:pPr>
        <w:spacing w:line="360" w:lineRule="auto"/>
        <w:ind w:left="0" w:leftChars="0" w:firstLine="0" w:firstLineChars="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安全监理责任合同</w:t>
      </w:r>
    </w:p>
    <w:p w14:paraId="614530D3">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根据国务院《建设工程安全生产管理条例》，为在本项目工程监理服务合同的实施过程中切实搞好本工程的安全生产管理工作，</w:t>
      </w:r>
      <w:r>
        <w:rPr>
          <w:rFonts w:hint="eastAsia" w:ascii="宋体" w:hAnsi="宋体" w:eastAsia="宋体" w:cs="宋体"/>
          <w:color w:val="auto"/>
          <w:kern w:val="0"/>
          <w:sz w:val="21"/>
          <w:szCs w:val="21"/>
          <w:highlight w:val="none"/>
          <w:u w:val="single"/>
        </w:rPr>
        <w:t xml:space="preserve"> </w:t>
      </w:r>
      <w:r>
        <w:rPr>
          <w:rFonts w:hint="eastAsia" w:ascii="宋体" w:hAnsi="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w:t>
      </w:r>
      <w:r>
        <w:rPr>
          <w:rFonts w:hint="eastAsia" w:ascii="宋体" w:hAnsi="宋体" w:eastAsia="宋体" w:cs="宋体"/>
          <w:color w:val="auto"/>
          <w:kern w:val="0"/>
          <w:sz w:val="21"/>
          <w:szCs w:val="21"/>
          <w:highlight w:val="none"/>
          <w:u w:val="none"/>
        </w:rPr>
        <w:t xml:space="preserve">与 </w:t>
      </w:r>
      <w:r>
        <w:rPr>
          <w:rFonts w:hint="eastAsia" w:ascii="宋体" w:hAnsi="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rPr>
        <w:t>签订如下安全监理责任协议书：</w:t>
      </w:r>
    </w:p>
    <w:p w14:paraId="7D157CF6">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一、委托人职责</w:t>
      </w:r>
    </w:p>
    <w:p w14:paraId="4B915FF7">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1．严格遵守国家有关安全生产的法律法规，支持监理人按条例要求对规定的施工安全实施监理。</w:t>
      </w:r>
    </w:p>
    <w:p w14:paraId="62E88175">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2．按照“安全第一、预防为主”和坚持“管生产必须管安全”的原则进行安全生产管理，做到生产与安全工作同时计划、布置、检查、总结和评比。</w:t>
      </w:r>
    </w:p>
    <w:p w14:paraId="521CCD4A">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3．重要的安全设施必须坚持与主体工程“三同时”的原则，即：同时设计、审批，同时施工，同时验收，投入使用。</w:t>
      </w:r>
    </w:p>
    <w:p w14:paraId="58A34ECD">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4．定期召开安全生产调度会，及时传达</w:t>
      </w:r>
      <w:r>
        <w:rPr>
          <w:rFonts w:hint="eastAsia" w:ascii="宋体" w:hAnsi="宋体" w:cs="宋体"/>
          <w:color w:val="auto"/>
          <w:kern w:val="0"/>
          <w:sz w:val="21"/>
          <w:szCs w:val="21"/>
          <w:highlight w:val="none"/>
          <w:lang w:eastAsia="zh-CN"/>
        </w:rPr>
        <w:t>中央和地方</w:t>
      </w:r>
      <w:r>
        <w:rPr>
          <w:rFonts w:hint="eastAsia" w:ascii="宋体" w:hAnsi="宋体" w:eastAsia="宋体" w:cs="宋体"/>
          <w:color w:val="auto"/>
          <w:kern w:val="0"/>
          <w:sz w:val="21"/>
          <w:szCs w:val="21"/>
          <w:highlight w:val="none"/>
        </w:rPr>
        <w:t>有关安全生产的精神。</w:t>
      </w:r>
    </w:p>
    <w:p w14:paraId="53FEFD4B">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5．组织对施工现场的安全生产检查，监督承包人及时处理发现的各项安全隐患。</w:t>
      </w:r>
    </w:p>
    <w:p w14:paraId="6C227039">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二、监理人职责</w:t>
      </w:r>
    </w:p>
    <w:p w14:paraId="3A1F3EB3">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1．督促承包人严格遵守国家有关安全生产的法律法规规定，认真执行工程承包合同中的有关安全要求。</w:t>
      </w:r>
    </w:p>
    <w:p w14:paraId="63C184F4">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坚持“安全第一、预防为主”和“管生产必须管安全”的原则，督促承包人加强安全生产宣传教育，增强全员安全生产意识，建立健全各项安全生产的管理机构和安全生产管理制度，配备专职及兼职安全检查人员，有组织有领导地开展安全生产活动。</w:t>
      </w:r>
    </w:p>
    <w:p w14:paraId="24D02F35">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 建立健全安全监理制度，加强安全知识教育培训，明确各岗位监理人员的安全监理职责，增强安全意识。</w:t>
      </w:r>
    </w:p>
    <w:p w14:paraId="1F3C109D">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4．在审查施工组织设计的同时，要同步审查施工组织设计中的安全技术措施，审查专项施工方案是否符合工程建设强制性标准。</w:t>
      </w:r>
    </w:p>
    <w:p w14:paraId="22AB1B62">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在实施监理过程中，发现存在安全事故隐患的，应立即要求承包人整改；情况严重的，应立即要求承包人停止施工，并及时报告建设单位。承包人拒不整改或不停止施工的，监理人应及时向有关主管部门报告。</w:t>
      </w:r>
    </w:p>
    <w:p w14:paraId="4BCB24C1">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6．监理人及其监理工程师应当按照</w:t>
      </w:r>
      <w:r>
        <w:rPr>
          <w:rFonts w:hint="eastAsia" w:ascii="宋体" w:hAnsi="宋体" w:cs="宋体"/>
          <w:color w:val="auto"/>
          <w:kern w:val="0"/>
          <w:sz w:val="21"/>
          <w:szCs w:val="21"/>
          <w:highlight w:val="none"/>
          <w:lang w:eastAsia="zh-CN"/>
        </w:rPr>
        <w:t>法律法规</w:t>
      </w:r>
      <w:r>
        <w:rPr>
          <w:rFonts w:hint="eastAsia" w:ascii="宋体" w:hAnsi="宋体" w:eastAsia="宋体" w:cs="宋体"/>
          <w:color w:val="auto"/>
          <w:kern w:val="0"/>
          <w:sz w:val="21"/>
          <w:szCs w:val="21"/>
          <w:highlight w:val="none"/>
        </w:rPr>
        <w:t>和工程建设强制性标准实施监理，并对建设工程安全生产承担监理责任。</w:t>
      </w:r>
    </w:p>
    <w:p w14:paraId="275BF07B">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7．监理人应督促承包人按照本工程特点，组织制定本工程实施中的生产安全事故应急救援预案；如果发生安全事故，应按照《国务院关于特大安全事故行政责任追究的规定》</w:t>
      </w:r>
      <w:r>
        <w:rPr>
          <w:rFonts w:hint="eastAsia" w:ascii="宋体" w:hAnsi="宋体" w:cs="宋体"/>
          <w:color w:val="auto"/>
          <w:kern w:val="0"/>
          <w:sz w:val="21"/>
          <w:szCs w:val="21"/>
          <w:highlight w:val="none"/>
          <w:lang w:eastAsia="zh-CN"/>
        </w:rPr>
        <w:t>以及其他</w:t>
      </w:r>
      <w:r>
        <w:rPr>
          <w:rFonts w:hint="eastAsia" w:ascii="宋体" w:hAnsi="宋体" w:eastAsia="宋体" w:cs="宋体"/>
          <w:color w:val="auto"/>
          <w:kern w:val="0"/>
          <w:sz w:val="21"/>
          <w:szCs w:val="21"/>
          <w:highlight w:val="none"/>
        </w:rPr>
        <w:t>有关规定，及时上报有关部门，并坚持“三不放过”的原则，严肃处理相关责任人。</w:t>
      </w:r>
    </w:p>
    <w:p w14:paraId="3F1BD123">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三、违约责任</w:t>
      </w:r>
    </w:p>
    <w:p w14:paraId="4248EE7A">
      <w:pPr>
        <w:snapToGrid w:val="0"/>
        <w:spacing w:line="360" w:lineRule="auto"/>
        <w:ind w:firstLine="420" w:firstLineChars="200"/>
        <w:rPr>
          <w:rFonts w:hint="eastAsia" w:ascii="宋体" w:hAnsi="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监理人违反本协议的约定，除另有约定外，委托人有权根据违约情形要求监理人支付违约金</w:t>
      </w:r>
      <w:r>
        <w:rPr>
          <w:rFonts w:hint="eastAsia" w:ascii="宋体" w:hAnsi="宋体" w:cs="宋体"/>
          <w:color w:val="auto"/>
          <w:kern w:val="0"/>
          <w:sz w:val="21"/>
          <w:szCs w:val="21"/>
          <w:highlight w:val="none"/>
          <w:lang w:eastAsia="zh-CN"/>
        </w:rPr>
        <w:t>。</w:t>
      </w:r>
    </w:p>
    <w:p w14:paraId="00B0172E">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四、其他</w:t>
      </w:r>
    </w:p>
    <w:p w14:paraId="6CD978E4">
      <w:pPr>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rPr>
        <w:t>本合同自双方盖章（公章或合同章）及法定代表人或授权委托人</w:t>
      </w:r>
      <w:r>
        <w:rPr>
          <w:rFonts w:hint="eastAsia" w:ascii="宋体" w:hAnsi="宋体" w:eastAsia="宋体" w:cs="宋体"/>
          <w:color w:val="auto"/>
          <w:sz w:val="21"/>
          <w:szCs w:val="21"/>
          <w:highlight w:val="none"/>
        </w:rPr>
        <w:t>（需有授权委托书）</w:t>
      </w:r>
      <w:r>
        <w:rPr>
          <w:rFonts w:hint="eastAsia" w:ascii="宋体" w:hAnsi="宋体" w:eastAsia="宋体" w:cs="宋体"/>
          <w:bCs/>
          <w:color w:val="auto"/>
          <w:sz w:val="21"/>
          <w:szCs w:val="21"/>
          <w:highlight w:val="none"/>
        </w:rPr>
        <w:t>签字或盖章之日起生效</w:t>
      </w:r>
      <w:r>
        <w:rPr>
          <w:rFonts w:hint="eastAsia" w:ascii="宋体" w:hAnsi="宋体" w:eastAsia="宋体" w:cs="宋体"/>
          <w:color w:val="auto"/>
          <w:kern w:val="0"/>
          <w:sz w:val="21"/>
          <w:szCs w:val="21"/>
          <w:highlight w:val="none"/>
        </w:rPr>
        <w:t>，全部工程竣工验收后终止</w:t>
      </w:r>
      <w:r>
        <w:rPr>
          <w:rFonts w:hint="eastAsia" w:ascii="宋体" w:hAnsi="宋体" w:eastAsia="宋体" w:cs="宋体"/>
          <w:color w:val="auto"/>
          <w:sz w:val="21"/>
          <w:szCs w:val="21"/>
          <w:highlight w:val="none"/>
        </w:rPr>
        <w:t>。</w:t>
      </w:r>
    </w:p>
    <w:p w14:paraId="6E259662">
      <w:pPr>
        <w:spacing w:line="360" w:lineRule="auto"/>
        <w:ind w:firstLine="420" w:firstLineChars="200"/>
        <w:rPr>
          <w:rFonts w:hint="eastAsia" w:ascii="宋体" w:hAnsi="宋体" w:eastAsia="宋体" w:cs="宋体"/>
          <w:color w:val="auto"/>
          <w:sz w:val="21"/>
          <w:szCs w:val="21"/>
          <w:highlight w:val="none"/>
        </w:rPr>
      </w:pPr>
    </w:p>
    <w:tbl>
      <w:tblPr>
        <w:tblStyle w:val="6"/>
        <w:tblW w:w="9776" w:type="dxa"/>
        <w:tblInd w:w="-252" w:type="dxa"/>
        <w:tblLayout w:type="fixed"/>
        <w:tblCellMar>
          <w:top w:w="0" w:type="dxa"/>
          <w:left w:w="108" w:type="dxa"/>
          <w:bottom w:w="0" w:type="dxa"/>
          <w:right w:w="108" w:type="dxa"/>
        </w:tblCellMar>
      </w:tblPr>
      <w:tblGrid>
        <w:gridCol w:w="4680"/>
        <w:gridCol w:w="5096"/>
      </w:tblGrid>
      <w:tr w14:paraId="6EDFFB1E">
        <w:tblPrEx>
          <w:tblCellMar>
            <w:top w:w="0" w:type="dxa"/>
            <w:left w:w="108" w:type="dxa"/>
            <w:bottom w:w="0" w:type="dxa"/>
            <w:right w:w="108" w:type="dxa"/>
          </w:tblCellMar>
        </w:tblPrEx>
        <w:tc>
          <w:tcPr>
            <w:tcW w:w="4680" w:type="dxa"/>
          </w:tcPr>
          <w:p w14:paraId="7E251D87">
            <w:pP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甲方：</w:t>
            </w:r>
            <w:r>
              <w:rPr>
                <w:rFonts w:hint="eastAsia" w:ascii="宋体" w:hAnsi="宋体" w:cs="宋体"/>
                <w:color w:val="auto"/>
                <w:sz w:val="21"/>
                <w:szCs w:val="21"/>
                <w:highlight w:val="none"/>
                <w:lang w:val="en-US" w:eastAsia="zh-CN"/>
              </w:rPr>
              <w:t xml:space="preserve"> </w:t>
            </w:r>
          </w:p>
          <w:p w14:paraId="19AE12E6">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w:t>
            </w:r>
          </w:p>
          <w:p w14:paraId="1159D9AA">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其授权的代理人： </w:t>
            </w:r>
          </w:p>
          <w:p w14:paraId="2BFC1A84">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地址：陕西省西安市高陵区文卫路132号</w:t>
            </w:r>
          </w:p>
          <w:p w14:paraId="3A382C50">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p>
          <w:p w14:paraId="24518A41">
            <w:pPr>
              <w:spacing w:line="360" w:lineRule="auto"/>
              <w:ind w:firstLine="420" w:firstLineChars="200"/>
              <w:rPr>
                <w:rFonts w:hint="eastAsia" w:ascii="宋体" w:hAnsi="宋体" w:eastAsia="宋体" w:cs="宋体"/>
                <w:color w:val="auto"/>
                <w:sz w:val="21"/>
                <w:szCs w:val="21"/>
                <w:highlight w:val="none"/>
              </w:rPr>
            </w:pPr>
          </w:p>
        </w:tc>
        <w:tc>
          <w:tcPr>
            <w:tcW w:w="5096" w:type="dxa"/>
          </w:tcPr>
          <w:p w14:paraId="44AC2E30">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乙方：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w:t>
            </w:r>
          </w:p>
          <w:p w14:paraId="5C65DBC2">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w:t>
            </w:r>
          </w:p>
          <w:p w14:paraId="5BB64180">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其授权的代理人：    </w:t>
            </w:r>
          </w:p>
          <w:p w14:paraId="558BB8AF">
            <w:pPr>
              <w:spacing w:line="360" w:lineRule="auto"/>
              <w:ind w:firstLine="420" w:firstLineChars="200"/>
              <w:rPr>
                <w:rFonts w:hint="eastAsia" w:ascii="宋体" w:hAnsi="宋体" w:cs="宋体"/>
                <w:color w:val="auto"/>
                <w:sz w:val="21"/>
                <w:szCs w:val="21"/>
                <w:highlight w:val="none"/>
                <w:lang w:val="en-US" w:eastAsia="zh-CN"/>
              </w:rPr>
            </w:pPr>
            <w:r>
              <w:rPr>
                <w:rFonts w:hint="eastAsia" w:ascii="宋体" w:hAnsi="宋体" w:eastAsia="宋体" w:cs="宋体"/>
                <w:color w:val="auto"/>
                <w:sz w:val="21"/>
                <w:szCs w:val="21"/>
                <w:highlight w:val="none"/>
              </w:rPr>
              <w:t>地址：</w:t>
            </w:r>
            <w:r>
              <w:rPr>
                <w:rFonts w:hint="eastAsia" w:ascii="宋体" w:hAnsi="宋体" w:cs="宋体"/>
                <w:color w:val="auto"/>
                <w:sz w:val="21"/>
                <w:szCs w:val="21"/>
                <w:highlight w:val="none"/>
                <w:lang w:val="en-US" w:eastAsia="zh-CN"/>
              </w:rPr>
              <w:t xml:space="preserve"> </w:t>
            </w:r>
          </w:p>
          <w:p w14:paraId="26C8D9EA">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p>
          <w:p w14:paraId="5C268C84">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tc>
      </w:tr>
    </w:tbl>
    <w:p w14:paraId="4EF73965">
      <w:pPr>
        <w:spacing w:line="360" w:lineRule="auto"/>
        <w:ind w:firstLine="420" w:firstLineChars="200"/>
        <w:rPr>
          <w:rFonts w:hint="eastAsia" w:ascii="宋体" w:hAnsi="宋体" w:eastAsia="宋体" w:cs="宋体"/>
          <w:color w:val="auto"/>
          <w:sz w:val="21"/>
          <w:szCs w:val="21"/>
          <w:highlight w:val="none"/>
        </w:rPr>
        <w:sectPr>
          <w:pgSz w:w="11906" w:h="16838"/>
          <w:pgMar w:top="1276" w:right="1672" w:bottom="1276" w:left="1672" w:header="851" w:footer="686" w:gutter="0"/>
          <w:pgNumType w:fmt="decimal"/>
          <w:cols w:space="0" w:num="1"/>
          <w:rtlGutter w:val="0"/>
          <w:docGrid w:type="lines" w:linePitch="332" w:charSpace="0"/>
        </w:sectPr>
      </w:pPr>
    </w:p>
    <w:p w14:paraId="3D08CD86">
      <w:pPr>
        <w:spacing w:line="360" w:lineRule="auto"/>
        <w:ind w:left="0" w:leftChars="0" w:firstLine="0" w:firstLineChars="0"/>
        <w:outlineLvl w:val="0"/>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 xml:space="preserve">附件4     </w:t>
      </w:r>
      <w:r>
        <w:rPr>
          <w:rFonts w:hint="eastAsia" w:ascii="宋体" w:hAnsi="宋体" w:eastAsia="宋体" w:cs="宋体"/>
          <w:color w:val="auto"/>
          <w:sz w:val="21"/>
          <w:szCs w:val="21"/>
          <w:highlight w:val="none"/>
        </w:rPr>
        <w:t xml:space="preserve">          </w:t>
      </w:r>
    </w:p>
    <w:p w14:paraId="297F0088">
      <w:pPr>
        <w:spacing w:line="360" w:lineRule="auto"/>
        <w:ind w:left="0" w:leftChars="0" w:firstLine="0" w:firstLineChars="0"/>
        <w:jc w:val="center"/>
        <w:outlineLvl w:val="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本项目监理人员汇总表</w:t>
      </w:r>
    </w:p>
    <w:tbl>
      <w:tblPr>
        <w:tblStyle w:val="7"/>
        <w:tblW w:w="92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8"/>
        <w:gridCol w:w="1826"/>
        <w:gridCol w:w="1559"/>
        <w:gridCol w:w="2410"/>
        <w:gridCol w:w="2729"/>
      </w:tblGrid>
      <w:tr w14:paraId="5753D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748" w:type="dxa"/>
            <w:vAlign w:val="center"/>
          </w:tcPr>
          <w:p w14:paraId="52E5D877">
            <w:pPr>
              <w:spacing w:line="360" w:lineRule="auto"/>
              <w:ind w:left="0" w:leftChars="0" w:firstLine="0" w:firstLineChars="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序号</w:t>
            </w:r>
          </w:p>
        </w:tc>
        <w:tc>
          <w:tcPr>
            <w:tcW w:w="1826" w:type="dxa"/>
            <w:vAlign w:val="center"/>
          </w:tcPr>
          <w:p w14:paraId="3F863E21">
            <w:pPr>
              <w:spacing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岗位</w:t>
            </w:r>
          </w:p>
        </w:tc>
        <w:tc>
          <w:tcPr>
            <w:tcW w:w="1559" w:type="dxa"/>
            <w:vAlign w:val="center"/>
          </w:tcPr>
          <w:p w14:paraId="0592967D">
            <w:pPr>
              <w:spacing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姓名</w:t>
            </w:r>
          </w:p>
        </w:tc>
        <w:tc>
          <w:tcPr>
            <w:tcW w:w="2410" w:type="dxa"/>
            <w:vAlign w:val="center"/>
          </w:tcPr>
          <w:p w14:paraId="0BF59E61">
            <w:pPr>
              <w:spacing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专业</w:t>
            </w:r>
          </w:p>
        </w:tc>
        <w:tc>
          <w:tcPr>
            <w:tcW w:w="2729" w:type="dxa"/>
            <w:vAlign w:val="center"/>
          </w:tcPr>
          <w:p w14:paraId="47009433">
            <w:pPr>
              <w:spacing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资格证书编号</w:t>
            </w:r>
          </w:p>
        </w:tc>
      </w:tr>
      <w:tr w14:paraId="66D6C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03781F7B">
            <w:pPr>
              <w:spacing w:line="360" w:lineRule="auto"/>
              <w:jc w:val="center"/>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w:t>
            </w:r>
          </w:p>
        </w:tc>
        <w:tc>
          <w:tcPr>
            <w:tcW w:w="1826" w:type="dxa"/>
            <w:shd w:val="clear" w:color="auto" w:fill="auto"/>
            <w:vAlign w:val="center"/>
          </w:tcPr>
          <w:p w14:paraId="650C0824">
            <w:pPr>
              <w:spacing w:line="360" w:lineRule="auto"/>
              <w:jc w:val="center"/>
              <w:rPr>
                <w:rFonts w:hint="eastAsia" w:ascii="宋体" w:hAnsi="宋体" w:eastAsia="宋体" w:cs="宋体"/>
                <w:b w:val="0"/>
                <w:bCs w:val="0"/>
                <w:color w:val="auto"/>
                <w:sz w:val="21"/>
                <w:szCs w:val="21"/>
                <w:highlight w:val="none"/>
                <w:lang w:val="en-US" w:eastAsia="zh-CN"/>
              </w:rPr>
            </w:pPr>
          </w:p>
        </w:tc>
        <w:tc>
          <w:tcPr>
            <w:tcW w:w="1559" w:type="dxa"/>
            <w:shd w:val="clear" w:color="auto" w:fill="auto"/>
            <w:vAlign w:val="center"/>
          </w:tcPr>
          <w:p w14:paraId="76815D90">
            <w:pPr>
              <w:spacing w:line="360" w:lineRule="auto"/>
              <w:jc w:val="center"/>
              <w:rPr>
                <w:rFonts w:hint="eastAsia" w:ascii="宋体" w:hAnsi="宋体" w:eastAsia="宋体" w:cs="宋体"/>
                <w:b w:val="0"/>
                <w:bCs w:val="0"/>
                <w:color w:val="auto"/>
                <w:sz w:val="21"/>
                <w:szCs w:val="21"/>
                <w:highlight w:val="none"/>
                <w:lang w:val="en-US" w:eastAsia="zh-CN"/>
              </w:rPr>
            </w:pPr>
          </w:p>
        </w:tc>
        <w:tc>
          <w:tcPr>
            <w:tcW w:w="2410" w:type="dxa"/>
            <w:shd w:val="clear" w:color="auto" w:fill="auto"/>
            <w:vAlign w:val="center"/>
          </w:tcPr>
          <w:p w14:paraId="0B0931B3">
            <w:pPr>
              <w:spacing w:line="360" w:lineRule="auto"/>
              <w:jc w:val="center"/>
              <w:rPr>
                <w:rFonts w:hint="eastAsia" w:ascii="宋体" w:hAnsi="宋体" w:eastAsia="宋体" w:cs="宋体"/>
                <w:b w:val="0"/>
                <w:bCs w:val="0"/>
                <w:color w:val="auto"/>
                <w:sz w:val="21"/>
                <w:szCs w:val="21"/>
                <w:highlight w:val="none"/>
                <w:lang w:val="en-US" w:eastAsia="zh-CN"/>
              </w:rPr>
            </w:pPr>
          </w:p>
        </w:tc>
        <w:tc>
          <w:tcPr>
            <w:tcW w:w="2729" w:type="dxa"/>
            <w:shd w:val="clear" w:color="auto" w:fill="auto"/>
            <w:vAlign w:val="center"/>
          </w:tcPr>
          <w:p w14:paraId="26030806">
            <w:pPr>
              <w:spacing w:line="360" w:lineRule="auto"/>
              <w:jc w:val="center"/>
              <w:rPr>
                <w:rFonts w:hint="eastAsia" w:ascii="宋体" w:hAnsi="宋体" w:eastAsia="宋体" w:cs="宋体"/>
                <w:b w:val="0"/>
                <w:bCs w:val="0"/>
                <w:color w:val="auto"/>
                <w:sz w:val="21"/>
                <w:szCs w:val="21"/>
                <w:highlight w:val="none"/>
                <w:lang w:val="en-US" w:eastAsia="zh-CN"/>
              </w:rPr>
            </w:pPr>
          </w:p>
        </w:tc>
      </w:tr>
      <w:tr w14:paraId="3D367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6C0F4B60">
            <w:pPr>
              <w:spacing w:line="360" w:lineRule="auto"/>
              <w:jc w:val="center"/>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w:t>
            </w:r>
          </w:p>
        </w:tc>
        <w:tc>
          <w:tcPr>
            <w:tcW w:w="1826" w:type="dxa"/>
            <w:shd w:val="clear" w:color="auto" w:fill="auto"/>
            <w:vAlign w:val="center"/>
          </w:tcPr>
          <w:p w14:paraId="68206F6D">
            <w:pPr>
              <w:spacing w:line="360" w:lineRule="auto"/>
              <w:jc w:val="center"/>
              <w:rPr>
                <w:rFonts w:hint="eastAsia" w:ascii="宋体" w:hAnsi="宋体" w:eastAsia="宋体" w:cs="宋体"/>
                <w:b w:val="0"/>
                <w:bCs w:val="0"/>
                <w:color w:val="auto"/>
                <w:sz w:val="21"/>
                <w:szCs w:val="21"/>
                <w:highlight w:val="none"/>
                <w:lang w:val="en-US" w:eastAsia="zh-CN"/>
              </w:rPr>
            </w:pPr>
          </w:p>
        </w:tc>
        <w:tc>
          <w:tcPr>
            <w:tcW w:w="1559" w:type="dxa"/>
            <w:shd w:val="clear" w:color="auto" w:fill="auto"/>
            <w:vAlign w:val="center"/>
          </w:tcPr>
          <w:p w14:paraId="1747FC55">
            <w:pPr>
              <w:spacing w:line="360" w:lineRule="auto"/>
              <w:jc w:val="center"/>
              <w:rPr>
                <w:rFonts w:hint="eastAsia" w:ascii="宋体" w:hAnsi="宋体" w:eastAsia="宋体" w:cs="宋体"/>
                <w:b w:val="0"/>
                <w:bCs w:val="0"/>
                <w:color w:val="auto"/>
                <w:sz w:val="21"/>
                <w:szCs w:val="21"/>
                <w:highlight w:val="none"/>
                <w:lang w:val="en-US" w:eastAsia="zh-CN"/>
              </w:rPr>
            </w:pPr>
          </w:p>
        </w:tc>
        <w:tc>
          <w:tcPr>
            <w:tcW w:w="2410" w:type="dxa"/>
            <w:shd w:val="clear" w:color="auto" w:fill="auto"/>
            <w:vAlign w:val="center"/>
          </w:tcPr>
          <w:p w14:paraId="62E10A56">
            <w:pPr>
              <w:spacing w:line="360" w:lineRule="auto"/>
              <w:jc w:val="center"/>
              <w:rPr>
                <w:rFonts w:hint="eastAsia" w:ascii="宋体" w:hAnsi="宋体" w:eastAsia="宋体" w:cs="宋体"/>
                <w:b w:val="0"/>
                <w:bCs w:val="0"/>
                <w:color w:val="auto"/>
                <w:sz w:val="21"/>
                <w:szCs w:val="21"/>
                <w:highlight w:val="none"/>
                <w:lang w:val="en-US" w:eastAsia="zh-CN"/>
              </w:rPr>
            </w:pPr>
          </w:p>
        </w:tc>
        <w:tc>
          <w:tcPr>
            <w:tcW w:w="2729" w:type="dxa"/>
            <w:shd w:val="clear" w:color="auto" w:fill="auto"/>
            <w:vAlign w:val="center"/>
          </w:tcPr>
          <w:p w14:paraId="3C4C96F5">
            <w:pPr>
              <w:spacing w:line="360" w:lineRule="auto"/>
              <w:jc w:val="center"/>
              <w:rPr>
                <w:rFonts w:hint="eastAsia" w:ascii="宋体" w:hAnsi="宋体" w:eastAsia="宋体" w:cs="宋体"/>
                <w:b w:val="0"/>
                <w:bCs w:val="0"/>
                <w:color w:val="auto"/>
                <w:sz w:val="21"/>
                <w:szCs w:val="21"/>
                <w:highlight w:val="none"/>
                <w:lang w:val="en-US" w:eastAsia="zh-CN"/>
              </w:rPr>
            </w:pPr>
          </w:p>
        </w:tc>
      </w:tr>
      <w:tr w14:paraId="49B71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33174D9E">
            <w:pPr>
              <w:spacing w:line="360" w:lineRule="auto"/>
              <w:jc w:val="center"/>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w:t>
            </w:r>
          </w:p>
        </w:tc>
        <w:tc>
          <w:tcPr>
            <w:tcW w:w="1826" w:type="dxa"/>
            <w:shd w:val="clear" w:color="auto" w:fill="auto"/>
            <w:vAlign w:val="center"/>
          </w:tcPr>
          <w:p w14:paraId="5D1D3A24">
            <w:pPr>
              <w:spacing w:line="360" w:lineRule="auto"/>
              <w:jc w:val="center"/>
              <w:rPr>
                <w:rFonts w:hint="eastAsia" w:ascii="宋体" w:hAnsi="宋体" w:eastAsia="宋体" w:cs="宋体"/>
                <w:b w:val="0"/>
                <w:bCs w:val="0"/>
                <w:color w:val="auto"/>
                <w:sz w:val="21"/>
                <w:szCs w:val="21"/>
                <w:highlight w:val="none"/>
                <w:lang w:val="en-US" w:eastAsia="zh-CN"/>
              </w:rPr>
            </w:pPr>
          </w:p>
        </w:tc>
        <w:tc>
          <w:tcPr>
            <w:tcW w:w="1559" w:type="dxa"/>
            <w:shd w:val="clear" w:color="auto" w:fill="auto"/>
            <w:vAlign w:val="center"/>
          </w:tcPr>
          <w:p w14:paraId="48790E68">
            <w:pPr>
              <w:spacing w:line="360" w:lineRule="auto"/>
              <w:jc w:val="center"/>
              <w:rPr>
                <w:rFonts w:hint="eastAsia" w:ascii="宋体" w:hAnsi="宋体" w:eastAsia="宋体" w:cs="宋体"/>
                <w:b w:val="0"/>
                <w:bCs w:val="0"/>
                <w:color w:val="auto"/>
                <w:sz w:val="21"/>
                <w:szCs w:val="21"/>
                <w:highlight w:val="none"/>
                <w:lang w:val="en-US" w:eastAsia="zh-CN"/>
              </w:rPr>
            </w:pPr>
          </w:p>
        </w:tc>
        <w:tc>
          <w:tcPr>
            <w:tcW w:w="2410" w:type="dxa"/>
            <w:shd w:val="clear" w:color="auto" w:fill="auto"/>
            <w:vAlign w:val="center"/>
          </w:tcPr>
          <w:p w14:paraId="6CDCD2DA">
            <w:pPr>
              <w:spacing w:line="360" w:lineRule="auto"/>
              <w:jc w:val="center"/>
              <w:rPr>
                <w:rFonts w:hint="eastAsia" w:ascii="宋体" w:hAnsi="宋体" w:eastAsia="宋体" w:cs="宋体"/>
                <w:b w:val="0"/>
                <w:bCs w:val="0"/>
                <w:color w:val="auto"/>
                <w:sz w:val="21"/>
                <w:szCs w:val="21"/>
                <w:highlight w:val="none"/>
                <w:lang w:val="en-US" w:eastAsia="zh-CN"/>
              </w:rPr>
            </w:pPr>
          </w:p>
        </w:tc>
        <w:tc>
          <w:tcPr>
            <w:tcW w:w="2729" w:type="dxa"/>
            <w:shd w:val="clear" w:color="auto" w:fill="auto"/>
            <w:vAlign w:val="center"/>
          </w:tcPr>
          <w:p w14:paraId="2A719A60">
            <w:pPr>
              <w:spacing w:line="360" w:lineRule="auto"/>
              <w:jc w:val="center"/>
              <w:rPr>
                <w:rFonts w:hint="eastAsia" w:ascii="宋体" w:hAnsi="宋体" w:eastAsia="宋体" w:cs="宋体"/>
                <w:b w:val="0"/>
                <w:bCs w:val="0"/>
                <w:color w:val="auto"/>
                <w:sz w:val="21"/>
                <w:szCs w:val="21"/>
                <w:highlight w:val="none"/>
                <w:lang w:val="en-US" w:eastAsia="zh-CN"/>
              </w:rPr>
            </w:pPr>
          </w:p>
        </w:tc>
      </w:tr>
      <w:tr w14:paraId="708B2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76925619">
            <w:pPr>
              <w:spacing w:line="360" w:lineRule="auto"/>
              <w:jc w:val="center"/>
              <w:rPr>
                <w:rFonts w:hint="default" w:ascii="宋体" w:hAnsi="宋体" w:eastAsia="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w:t>
            </w:r>
          </w:p>
        </w:tc>
        <w:tc>
          <w:tcPr>
            <w:tcW w:w="1826" w:type="dxa"/>
            <w:shd w:val="clear" w:color="auto" w:fill="auto"/>
            <w:vAlign w:val="center"/>
          </w:tcPr>
          <w:p w14:paraId="6ED8AE51">
            <w:pPr>
              <w:spacing w:line="360" w:lineRule="auto"/>
              <w:jc w:val="center"/>
              <w:rPr>
                <w:rFonts w:hint="eastAsia" w:ascii="宋体" w:hAnsi="宋体" w:eastAsia="宋体" w:cs="宋体"/>
                <w:b w:val="0"/>
                <w:bCs w:val="0"/>
                <w:color w:val="auto"/>
                <w:sz w:val="21"/>
                <w:szCs w:val="21"/>
                <w:highlight w:val="none"/>
                <w:lang w:val="en-US" w:eastAsia="zh-CN"/>
              </w:rPr>
            </w:pPr>
          </w:p>
        </w:tc>
        <w:tc>
          <w:tcPr>
            <w:tcW w:w="1559" w:type="dxa"/>
            <w:shd w:val="clear" w:color="auto" w:fill="auto"/>
            <w:vAlign w:val="center"/>
          </w:tcPr>
          <w:p w14:paraId="52DD22D6">
            <w:pPr>
              <w:spacing w:line="360" w:lineRule="auto"/>
              <w:jc w:val="center"/>
              <w:rPr>
                <w:rFonts w:hint="eastAsia" w:ascii="宋体" w:hAnsi="宋体" w:eastAsia="宋体" w:cs="宋体"/>
                <w:b w:val="0"/>
                <w:bCs w:val="0"/>
                <w:color w:val="auto"/>
                <w:sz w:val="21"/>
                <w:szCs w:val="21"/>
                <w:highlight w:val="none"/>
                <w:lang w:val="en-US" w:eastAsia="zh-CN"/>
              </w:rPr>
            </w:pPr>
          </w:p>
        </w:tc>
        <w:tc>
          <w:tcPr>
            <w:tcW w:w="2410" w:type="dxa"/>
            <w:shd w:val="clear" w:color="auto" w:fill="auto"/>
            <w:vAlign w:val="center"/>
          </w:tcPr>
          <w:p w14:paraId="4EBD5FCB">
            <w:pPr>
              <w:spacing w:line="360" w:lineRule="auto"/>
              <w:jc w:val="center"/>
              <w:rPr>
                <w:rFonts w:hint="eastAsia" w:ascii="宋体" w:hAnsi="宋体" w:eastAsia="宋体" w:cs="宋体"/>
                <w:b w:val="0"/>
                <w:bCs w:val="0"/>
                <w:color w:val="auto"/>
                <w:sz w:val="21"/>
                <w:szCs w:val="21"/>
                <w:highlight w:val="none"/>
                <w:lang w:val="en-US" w:eastAsia="zh-CN"/>
              </w:rPr>
            </w:pPr>
          </w:p>
        </w:tc>
        <w:tc>
          <w:tcPr>
            <w:tcW w:w="2729" w:type="dxa"/>
            <w:shd w:val="clear" w:color="auto" w:fill="auto"/>
            <w:vAlign w:val="center"/>
          </w:tcPr>
          <w:p w14:paraId="61BF4536">
            <w:pPr>
              <w:spacing w:line="360" w:lineRule="auto"/>
              <w:jc w:val="center"/>
              <w:rPr>
                <w:rFonts w:hint="eastAsia" w:ascii="宋体" w:hAnsi="宋体" w:eastAsia="宋体" w:cs="宋体"/>
                <w:b w:val="0"/>
                <w:bCs w:val="0"/>
                <w:color w:val="auto"/>
                <w:sz w:val="21"/>
                <w:szCs w:val="21"/>
                <w:highlight w:val="none"/>
                <w:lang w:val="en-US" w:eastAsia="zh-CN"/>
              </w:rPr>
            </w:pPr>
          </w:p>
        </w:tc>
      </w:tr>
      <w:tr w14:paraId="7B839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543857EE">
            <w:pPr>
              <w:spacing w:line="360" w:lineRule="auto"/>
              <w:jc w:val="center"/>
              <w:rPr>
                <w:rFonts w:hint="eastAsia" w:ascii="宋体" w:hAnsi="宋体" w:eastAsia="宋体" w:cs="宋体"/>
                <w:b w:val="0"/>
                <w:bCs w:val="0"/>
                <w:color w:val="auto"/>
                <w:sz w:val="21"/>
                <w:szCs w:val="21"/>
                <w:highlight w:val="none"/>
                <w:lang w:val="en-US" w:eastAsia="zh-CN"/>
              </w:rPr>
            </w:pPr>
          </w:p>
        </w:tc>
        <w:tc>
          <w:tcPr>
            <w:tcW w:w="1826" w:type="dxa"/>
            <w:shd w:val="clear" w:color="auto" w:fill="auto"/>
            <w:vAlign w:val="center"/>
          </w:tcPr>
          <w:p w14:paraId="33B1CFAE">
            <w:pPr>
              <w:spacing w:line="360" w:lineRule="auto"/>
              <w:jc w:val="center"/>
              <w:rPr>
                <w:rFonts w:hint="eastAsia" w:ascii="宋体" w:hAnsi="宋体" w:eastAsia="宋体" w:cs="宋体"/>
                <w:b w:val="0"/>
                <w:bCs w:val="0"/>
                <w:color w:val="auto"/>
                <w:sz w:val="21"/>
                <w:szCs w:val="21"/>
                <w:highlight w:val="none"/>
                <w:lang w:val="en-US" w:eastAsia="zh-CN"/>
              </w:rPr>
            </w:pPr>
          </w:p>
        </w:tc>
        <w:tc>
          <w:tcPr>
            <w:tcW w:w="1559" w:type="dxa"/>
            <w:shd w:val="clear" w:color="auto" w:fill="auto"/>
            <w:vAlign w:val="center"/>
          </w:tcPr>
          <w:p w14:paraId="425ED816">
            <w:pPr>
              <w:spacing w:line="360" w:lineRule="auto"/>
              <w:jc w:val="center"/>
              <w:rPr>
                <w:rFonts w:hint="eastAsia" w:ascii="宋体" w:hAnsi="宋体" w:eastAsia="宋体" w:cs="宋体"/>
                <w:b w:val="0"/>
                <w:bCs w:val="0"/>
                <w:color w:val="auto"/>
                <w:sz w:val="21"/>
                <w:szCs w:val="21"/>
                <w:highlight w:val="none"/>
                <w:lang w:val="en-US" w:eastAsia="zh-CN"/>
              </w:rPr>
            </w:pPr>
          </w:p>
        </w:tc>
        <w:tc>
          <w:tcPr>
            <w:tcW w:w="2410" w:type="dxa"/>
            <w:shd w:val="clear" w:color="auto" w:fill="auto"/>
            <w:vAlign w:val="center"/>
          </w:tcPr>
          <w:p w14:paraId="7A257C93">
            <w:pPr>
              <w:spacing w:line="360" w:lineRule="auto"/>
              <w:jc w:val="center"/>
              <w:rPr>
                <w:rFonts w:hint="eastAsia" w:ascii="宋体" w:hAnsi="宋体" w:eastAsia="宋体" w:cs="宋体"/>
                <w:b w:val="0"/>
                <w:bCs w:val="0"/>
                <w:color w:val="auto"/>
                <w:sz w:val="21"/>
                <w:szCs w:val="21"/>
                <w:highlight w:val="none"/>
                <w:lang w:val="en-US" w:eastAsia="zh-CN"/>
              </w:rPr>
            </w:pPr>
          </w:p>
        </w:tc>
        <w:tc>
          <w:tcPr>
            <w:tcW w:w="2729" w:type="dxa"/>
            <w:shd w:val="clear" w:color="auto" w:fill="auto"/>
            <w:vAlign w:val="center"/>
          </w:tcPr>
          <w:p w14:paraId="6FC428A0">
            <w:pPr>
              <w:spacing w:line="360" w:lineRule="auto"/>
              <w:jc w:val="center"/>
              <w:rPr>
                <w:rFonts w:hint="eastAsia" w:ascii="宋体" w:hAnsi="宋体" w:eastAsia="宋体" w:cs="宋体"/>
                <w:b w:val="0"/>
                <w:bCs w:val="0"/>
                <w:color w:val="auto"/>
                <w:sz w:val="21"/>
                <w:szCs w:val="21"/>
                <w:highlight w:val="none"/>
                <w:lang w:val="en-US" w:eastAsia="zh-CN"/>
              </w:rPr>
            </w:pPr>
          </w:p>
        </w:tc>
      </w:tr>
      <w:tr w14:paraId="0F85F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20207942">
            <w:pPr>
              <w:spacing w:line="360" w:lineRule="auto"/>
              <w:jc w:val="center"/>
              <w:rPr>
                <w:rFonts w:hint="eastAsia" w:ascii="宋体" w:hAnsi="宋体" w:eastAsia="宋体" w:cs="宋体"/>
                <w:b w:val="0"/>
                <w:bCs w:val="0"/>
                <w:color w:val="auto"/>
                <w:sz w:val="21"/>
                <w:szCs w:val="21"/>
                <w:highlight w:val="none"/>
                <w:lang w:val="en-US" w:eastAsia="zh-CN"/>
              </w:rPr>
            </w:pPr>
          </w:p>
        </w:tc>
        <w:tc>
          <w:tcPr>
            <w:tcW w:w="1826" w:type="dxa"/>
            <w:shd w:val="clear" w:color="auto" w:fill="auto"/>
            <w:vAlign w:val="center"/>
          </w:tcPr>
          <w:p w14:paraId="5EF9AE1C">
            <w:pPr>
              <w:spacing w:line="360" w:lineRule="auto"/>
              <w:jc w:val="center"/>
              <w:rPr>
                <w:rFonts w:hint="eastAsia" w:ascii="宋体" w:hAnsi="宋体" w:eastAsia="宋体" w:cs="宋体"/>
                <w:b w:val="0"/>
                <w:bCs w:val="0"/>
                <w:color w:val="auto"/>
                <w:sz w:val="21"/>
                <w:szCs w:val="21"/>
                <w:highlight w:val="none"/>
                <w:lang w:val="en-US" w:eastAsia="zh-CN"/>
              </w:rPr>
            </w:pPr>
          </w:p>
        </w:tc>
        <w:tc>
          <w:tcPr>
            <w:tcW w:w="1559" w:type="dxa"/>
            <w:shd w:val="clear" w:color="auto" w:fill="auto"/>
            <w:vAlign w:val="center"/>
          </w:tcPr>
          <w:p w14:paraId="133D7281">
            <w:pPr>
              <w:spacing w:line="360" w:lineRule="auto"/>
              <w:jc w:val="center"/>
              <w:rPr>
                <w:rFonts w:hint="eastAsia" w:ascii="宋体" w:hAnsi="宋体" w:eastAsia="宋体" w:cs="宋体"/>
                <w:b w:val="0"/>
                <w:bCs w:val="0"/>
                <w:color w:val="auto"/>
                <w:sz w:val="21"/>
                <w:szCs w:val="21"/>
                <w:highlight w:val="none"/>
                <w:lang w:val="en-US" w:eastAsia="zh-CN"/>
              </w:rPr>
            </w:pPr>
          </w:p>
        </w:tc>
        <w:tc>
          <w:tcPr>
            <w:tcW w:w="2410" w:type="dxa"/>
            <w:shd w:val="clear" w:color="auto" w:fill="auto"/>
            <w:vAlign w:val="center"/>
          </w:tcPr>
          <w:p w14:paraId="39DF7615">
            <w:pPr>
              <w:spacing w:line="360" w:lineRule="auto"/>
              <w:jc w:val="center"/>
              <w:rPr>
                <w:rFonts w:hint="eastAsia" w:ascii="宋体" w:hAnsi="宋体" w:eastAsia="宋体" w:cs="宋体"/>
                <w:b w:val="0"/>
                <w:bCs w:val="0"/>
                <w:color w:val="auto"/>
                <w:sz w:val="21"/>
                <w:szCs w:val="21"/>
                <w:highlight w:val="none"/>
                <w:lang w:val="en-US" w:eastAsia="zh-CN"/>
              </w:rPr>
            </w:pPr>
          </w:p>
        </w:tc>
        <w:tc>
          <w:tcPr>
            <w:tcW w:w="2729" w:type="dxa"/>
            <w:shd w:val="clear" w:color="auto" w:fill="auto"/>
            <w:vAlign w:val="center"/>
          </w:tcPr>
          <w:p w14:paraId="67E23DCC">
            <w:pPr>
              <w:spacing w:line="360" w:lineRule="auto"/>
              <w:jc w:val="center"/>
              <w:rPr>
                <w:rFonts w:hint="eastAsia" w:ascii="宋体" w:hAnsi="宋体" w:eastAsia="宋体" w:cs="宋体"/>
                <w:b w:val="0"/>
                <w:bCs w:val="0"/>
                <w:color w:val="auto"/>
                <w:sz w:val="21"/>
                <w:szCs w:val="21"/>
                <w:highlight w:val="none"/>
                <w:lang w:val="en-US" w:eastAsia="zh-CN"/>
              </w:rPr>
            </w:pPr>
          </w:p>
        </w:tc>
      </w:tr>
      <w:tr w14:paraId="60138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5CBB5AAD">
            <w:pPr>
              <w:spacing w:line="360" w:lineRule="auto"/>
              <w:jc w:val="center"/>
              <w:rPr>
                <w:rFonts w:hint="eastAsia" w:ascii="宋体" w:hAnsi="宋体" w:eastAsia="宋体" w:cs="宋体"/>
                <w:b w:val="0"/>
                <w:bCs w:val="0"/>
                <w:color w:val="auto"/>
                <w:sz w:val="21"/>
                <w:szCs w:val="21"/>
                <w:highlight w:val="none"/>
                <w:lang w:val="en-US" w:eastAsia="zh-CN"/>
              </w:rPr>
            </w:pPr>
          </w:p>
        </w:tc>
        <w:tc>
          <w:tcPr>
            <w:tcW w:w="1826" w:type="dxa"/>
            <w:shd w:val="clear" w:color="auto" w:fill="auto"/>
            <w:vAlign w:val="center"/>
          </w:tcPr>
          <w:p w14:paraId="5517371D">
            <w:pPr>
              <w:spacing w:line="360" w:lineRule="auto"/>
              <w:jc w:val="center"/>
              <w:rPr>
                <w:rFonts w:hint="eastAsia" w:ascii="宋体" w:hAnsi="宋体" w:eastAsia="宋体" w:cs="宋体"/>
                <w:b w:val="0"/>
                <w:bCs w:val="0"/>
                <w:color w:val="auto"/>
                <w:sz w:val="21"/>
                <w:szCs w:val="21"/>
                <w:highlight w:val="none"/>
                <w:lang w:val="en-US" w:eastAsia="zh-CN"/>
              </w:rPr>
            </w:pPr>
          </w:p>
        </w:tc>
        <w:tc>
          <w:tcPr>
            <w:tcW w:w="1559" w:type="dxa"/>
            <w:shd w:val="clear" w:color="auto" w:fill="auto"/>
            <w:vAlign w:val="center"/>
          </w:tcPr>
          <w:p w14:paraId="59FABFC3">
            <w:pPr>
              <w:spacing w:line="360" w:lineRule="auto"/>
              <w:jc w:val="center"/>
              <w:rPr>
                <w:rFonts w:hint="eastAsia" w:ascii="宋体" w:hAnsi="宋体" w:eastAsia="宋体" w:cs="宋体"/>
                <w:b w:val="0"/>
                <w:bCs w:val="0"/>
                <w:color w:val="auto"/>
                <w:sz w:val="21"/>
                <w:szCs w:val="21"/>
                <w:highlight w:val="none"/>
                <w:lang w:val="en-US" w:eastAsia="zh-CN"/>
              </w:rPr>
            </w:pPr>
          </w:p>
        </w:tc>
        <w:tc>
          <w:tcPr>
            <w:tcW w:w="2410" w:type="dxa"/>
            <w:shd w:val="clear" w:color="auto" w:fill="auto"/>
            <w:vAlign w:val="center"/>
          </w:tcPr>
          <w:p w14:paraId="36821708">
            <w:pPr>
              <w:spacing w:line="360" w:lineRule="auto"/>
              <w:jc w:val="center"/>
              <w:rPr>
                <w:rFonts w:hint="eastAsia" w:ascii="宋体" w:hAnsi="宋体" w:eastAsia="宋体" w:cs="宋体"/>
                <w:b w:val="0"/>
                <w:bCs w:val="0"/>
                <w:color w:val="auto"/>
                <w:sz w:val="21"/>
                <w:szCs w:val="21"/>
                <w:highlight w:val="none"/>
                <w:lang w:val="en-US" w:eastAsia="zh-CN"/>
              </w:rPr>
            </w:pPr>
          </w:p>
        </w:tc>
        <w:tc>
          <w:tcPr>
            <w:tcW w:w="2729" w:type="dxa"/>
            <w:shd w:val="clear" w:color="auto" w:fill="auto"/>
            <w:vAlign w:val="center"/>
          </w:tcPr>
          <w:p w14:paraId="4F481CDA">
            <w:pPr>
              <w:spacing w:line="360" w:lineRule="auto"/>
              <w:jc w:val="center"/>
              <w:rPr>
                <w:rFonts w:hint="eastAsia" w:ascii="宋体" w:hAnsi="宋体" w:eastAsia="宋体" w:cs="宋体"/>
                <w:b w:val="0"/>
                <w:bCs w:val="0"/>
                <w:color w:val="auto"/>
                <w:sz w:val="21"/>
                <w:szCs w:val="21"/>
                <w:highlight w:val="none"/>
                <w:lang w:val="en-US" w:eastAsia="zh-CN"/>
              </w:rPr>
            </w:pPr>
          </w:p>
        </w:tc>
      </w:tr>
      <w:tr w14:paraId="44DBF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7D8B9F7E">
            <w:pPr>
              <w:spacing w:line="360" w:lineRule="auto"/>
              <w:jc w:val="center"/>
              <w:rPr>
                <w:rFonts w:hint="eastAsia" w:ascii="宋体" w:hAnsi="宋体" w:eastAsia="宋体" w:cs="宋体"/>
                <w:b w:val="0"/>
                <w:bCs w:val="0"/>
                <w:color w:val="auto"/>
                <w:sz w:val="21"/>
                <w:szCs w:val="21"/>
                <w:highlight w:val="none"/>
                <w:lang w:val="en-US" w:eastAsia="zh-CN"/>
              </w:rPr>
            </w:pPr>
          </w:p>
        </w:tc>
        <w:tc>
          <w:tcPr>
            <w:tcW w:w="1826" w:type="dxa"/>
            <w:shd w:val="clear" w:color="auto" w:fill="auto"/>
            <w:vAlign w:val="center"/>
          </w:tcPr>
          <w:p w14:paraId="2CABB94E">
            <w:pPr>
              <w:spacing w:line="360" w:lineRule="auto"/>
              <w:jc w:val="center"/>
              <w:rPr>
                <w:rFonts w:hint="eastAsia" w:ascii="宋体" w:hAnsi="宋体" w:eastAsia="宋体" w:cs="宋体"/>
                <w:b w:val="0"/>
                <w:bCs w:val="0"/>
                <w:color w:val="auto"/>
                <w:sz w:val="21"/>
                <w:szCs w:val="21"/>
                <w:highlight w:val="none"/>
                <w:lang w:val="en-US" w:eastAsia="zh-CN"/>
              </w:rPr>
            </w:pPr>
          </w:p>
        </w:tc>
        <w:tc>
          <w:tcPr>
            <w:tcW w:w="1559" w:type="dxa"/>
            <w:shd w:val="clear" w:color="auto" w:fill="auto"/>
            <w:vAlign w:val="center"/>
          </w:tcPr>
          <w:p w14:paraId="6D456CBC">
            <w:pPr>
              <w:spacing w:line="360" w:lineRule="auto"/>
              <w:jc w:val="center"/>
              <w:rPr>
                <w:rFonts w:hint="eastAsia" w:ascii="宋体" w:hAnsi="宋体" w:eastAsia="宋体" w:cs="宋体"/>
                <w:b w:val="0"/>
                <w:bCs w:val="0"/>
                <w:color w:val="auto"/>
                <w:sz w:val="21"/>
                <w:szCs w:val="21"/>
                <w:highlight w:val="none"/>
                <w:lang w:val="en-US" w:eastAsia="zh-CN"/>
              </w:rPr>
            </w:pPr>
          </w:p>
        </w:tc>
        <w:tc>
          <w:tcPr>
            <w:tcW w:w="2410" w:type="dxa"/>
            <w:shd w:val="clear" w:color="auto" w:fill="auto"/>
            <w:vAlign w:val="center"/>
          </w:tcPr>
          <w:p w14:paraId="5EE48A76">
            <w:pPr>
              <w:spacing w:line="360" w:lineRule="auto"/>
              <w:jc w:val="center"/>
              <w:rPr>
                <w:rFonts w:hint="eastAsia" w:ascii="宋体" w:hAnsi="宋体" w:eastAsia="宋体" w:cs="宋体"/>
                <w:b w:val="0"/>
                <w:bCs w:val="0"/>
                <w:color w:val="auto"/>
                <w:sz w:val="21"/>
                <w:szCs w:val="21"/>
                <w:highlight w:val="none"/>
                <w:lang w:val="en-US" w:eastAsia="zh-CN"/>
              </w:rPr>
            </w:pPr>
          </w:p>
        </w:tc>
        <w:tc>
          <w:tcPr>
            <w:tcW w:w="2729" w:type="dxa"/>
            <w:shd w:val="clear" w:color="auto" w:fill="auto"/>
            <w:vAlign w:val="center"/>
          </w:tcPr>
          <w:p w14:paraId="66C38619">
            <w:pPr>
              <w:spacing w:line="360" w:lineRule="auto"/>
              <w:jc w:val="center"/>
              <w:rPr>
                <w:rFonts w:hint="eastAsia" w:ascii="宋体" w:hAnsi="宋体" w:eastAsia="宋体" w:cs="宋体"/>
                <w:b w:val="0"/>
                <w:bCs w:val="0"/>
                <w:color w:val="auto"/>
                <w:sz w:val="21"/>
                <w:szCs w:val="21"/>
                <w:highlight w:val="none"/>
                <w:lang w:val="en-US" w:eastAsia="zh-CN"/>
              </w:rPr>
            </w:pPr>
          </w:p>
        </w:tc>
      </w:tr>
      <w:tr w14:paraId="2060E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694ED7E2">
            <w:pPr>
              <w:spacing w:line="360" w:lineRule="auto"/>
              <w:jc w:val="center"/>
              <w:rPr>
                <w:rFonts w:hint="eastAsia" w:ascii="宋体" w:hAnsi="宋体" w:eastAsia="宋体" w:cs="宋体"/>
                <w:color w:val="auto"/>
                <w:sz w:val="21"/>
                <w:szCs w:val="21"/>
                <w:highlight w:val="none"/>
              </w:rPr>
            </w:pPr>
          </w:p>
        </w:tc>
        <w:tc>
          <w:tcPr>
            <w:tcW w:w="1826" w:type="dxa"/>
            <w:vAlign w:val="center"/>
          </w:tcPr>
          <w:p w14:paraId="55C5154E">
            <w:pPr>
              <w:spacing w:line="360" w:lineRule="auto"/>
              <w:jc w:val="center"/>
              <w:rPr>
                <w:rFonts w:hint="eastAsia" w:ascii="宋体" w:hAnsi="宋体" w:eastAsia="宋体" w:cs="宋体"/>
                <w:color w:val="auto"/>
                <w:sz w:val="21"/>
                <w:szCs w:val="21"/>
                <w:highlight w:val="none"/>
              </w:rPr>
            </w:pPr>
          </w:p>
        </w:tc>
        <w:tc>
          <w:tcPr>
            <w:tcW w:w="1559" w:type="dxa"/>
            <w:vAlign w:val="center"/>
          </w:tcPr>
          <w:p w14:paraId="737D1EB1">
            <w:pPr>
              <w:spacing w:line="360" w:lineRule="auto"/>
              <w:jc w:val="center"/>
              <w:rPr>
                <w:rFonts w:hint="eastAsia" w:ascii="宋体" w:hAnsi="宋体" w:eastAsia="宋体" w:cs="宋体"/>
                <w:color w:val="auto"/>
                <w:sz w:val="21"/>
                <w:szCs w:val="21"/>
                <w:highlight w:val="none"/>
              </w:rPr>
            </w:pPr>
          </w:p>
        </w:tc>
        <w:tc>
          <w:tcPr>
            <w:tcW w:w="2410" w:type="dxa"/>
            <w:vAlign w:val="center"/>
          </w:tcPr>
          <w:p w14:paraId="4B72DD70">
            <w:pPr>
              <w:spacing w:line="360" w:lineRule="auto"/>
              <w:jc w:val="center"/>
              <w:rPr>
                <w:rFonts w:hint="eastAsia" w:ascii="宋体" w:hAnsi="宋体" w:eastAsia="宋体" w:cs="宋体"/>
                <w:color w:val="auto"/>
                <w:sz w:val="21"/>
                <w:szCs w:val="21"/>
                <w:highlight w:val="none"/>
              </w:rPr>
            </w:pPr>
          </w:p>
        </w:tc>
        <w:tc>
          <w:tcPr>
            <w:tcW w:w="2729" w:type="dxa"/>
            <w:vAlign w:val="center"/>
          </w:tcPr>
          <w:p w14:paraId="70960939">
            <w:pPr>
              <w:spacing w:line="360" w:lineRule="auto"/>
              <w:jc w:val="center"/>
              <w:rPr>
                <w:rFonts w:hint="eastAsia" w:ascii="宋体" w:hAnsi="宋体" w:eastAsia="宋体" w:cs="宋体"/>
                <w:color w:val="auto"/>
                <w:sz w:val="21"/>
                <w:szCs w:val="21"/>
                <w:highlight w:val="none"/>
              </w:rPr>
            </w:pPr>
          </w:p>
        </w:tc>
      </w:tr>
      <w:tr w14:paraId="101B2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186DF3A6">
            <w:pPr>
              <w:spacing w:line="360" w:lineRule="auto"/>
              <w:jc w:val="center"/>
              <w:rPr>
                <w:rFonts w:hint="eastAsia" w:ascii="宋体" w:hAnsi="宋体" w:eastAsia="宋体" w:cs="宋体"/>
                <w:color w:val="auto"/>
                <w:sz w:val="21"/>
                <w:szCs w:val="21"/>
                <w:highlight w:val="none"/>
              </w:rPr>
            </w:pPr>
          </w:p>
        </w:tc>
        <w:tc>
          <w:tcPr>
            <w:tcW w:w="1826" w:type="dxa"/>
            <w:vAlign w:val="center"/>
          </w:tcPr>
          <w:p w14:paraId="08F85284">
            <w:pPr>
              <w:spacing w:line="360" w:lineRule="auto"/>
              <w:jc w:val="center"/>
              <w:rPr>
                <w:rFonts w:hint="eastAsia" w:ascii="宋体" w:hAnsi="宋体" w:eastAsia="宋体" w:cs="宋体"/>
                <w:color w:val="auto"/>
                <w:sz w:val="21"/>
                <w:szCs w:val="21"/>
                <w:highlight w:val="none"/>
              </w:rPr>
            </w:pPr>
          </w:p>
        </w:tc>
        <w:tc>
          <w:tcPr>
            <w:tcW w:w="1559" w:type="dxa"/>
            <w:vAlign w:val="center"/>
          </w:tcPr>
          <w:p w14:paraId="6432EF9D">
            <w:pPr>
              <w:spacing w:line="360" w:lineRule="auto"/>
              <w:jc w:val="center"/>
              <w:rPr>
                <w:rFonts w:hint="eastAsia" w:ascii="宋体" w:hAnsi="宋体" w:eastAsia="宋体" w:cs="宋体"/>
                <w:color w:val="auto"/>
                <w:sz w:val="21"/>
                <w:szCs w:val="21"/>
                <w:highlight w:val="none"/>
              </w:rPr>
            </w:pPr>
          </w:p>
        </w:tc>
        <w:tc>
          <w:tcPr>
            <w:tcW w:w="2410" w:type="dxa"/>
            <w:vAlign w:val="center"/>
          </w:tcPr>
          <w:p w14:paraId="74B171A0">
            <w:pPr>
              <w:spacing w:line="360" w:lineRule="auto"/>
              <w:jc w:val="center"/>
              <w:rPr>
                <w:rFonts w:hint="eastAsia" w:ascii="宋体" w:hAnsi="宋体" w:eastAsia="宋体" w:cs="宋体"/>
                <w:color w:val="auto"/>
                <w:sz w:val="21"/>
                <w:szCs w:val="21"/>
                <w:highlight w:val="none"/>
              </w:rPr>
            </w:pPr>
          </w:p>
        </w:tc>
        <w:tc>
          <w:tcPr>
            <w:tcW w:w="2729" w:type="dxa"/>
            <w:vAlign w:val="center"/>
          </w:tcPr>
          <w:p w14:paraId="3C5A2DCE">
            <w:pPr>
              <w:spacing w:line="360" w:lineRule="auto"/>
              <w:jc w:val="center"/>
              <w:rPr>
                <w:rFonts w:hint="eastAsia" w:ascii="宋体" w:hAnsi="宋体" w:eastAsia="宋体" w:cs="宋体"/>
                <w:color w:val="auto"/>
                <w:sz w:val="21"/>
                <w:szCs w:val="21"/>
                <w:highlight w:val="none"/>
              </w:rPr>
            </w:pPr>
          </w:p>
        </w:tc>
      </w:tr>
      <w:tr w14:paraId="2D748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43A07DFC">
            <w:pPr>
              <w:spacing w:line="360" w:lineRule="auto"/>
              <w:jc w:val="center"/>
              <w:rPr>
                <w:rFonts w:hint="eastAsia" w:ascii="宋体" w:hAnsi="宋体" w:eastAsia="宋体" w:cs="宋体"/>
                <w:color w:val="auto"/>
                <w:sz w:val="21"/>
                <w:szCs w:val="21"/>
                <w:highlight w:val="none"/>
              </w:rPr>
            </w:pPr>
          </w:p>
        </w:tc>
        <w:tc>
          <w:tcPr>
            <w:tcW w:w="1826" w:type="dxa"/>
            <w:vAlign w:val="center"/>
          </w:tcPr>
          <w:p w14:paraId="4C9598CF">
            <w:pPr>
              <w:spacing w:line="360" w:lineRule="auto"/>
              <w:jc w:val="center"/>
              <w:rPr>
                <w:rFonts w:hint="eastAsia" w:ascii="宋体" w:hAnsi="宋体" w:eastAsia="宋体" w:cs="宋体"/>
                <w:color w:val="auto"/>
                <w:sz w:val="21"/>
                <w:szCs w:val="21"/>
                <w:highlight w:val="none"/>
              </w:rPr>
            </w:pPr>
          </w:p>
        </w:tc>
        <w:tc>
          <w:tcPr>
            <w:tcW w:w="1559" w:type="dxa"/>
            <w:vAlign w:val="center"/>
          </w:tcPr>
          <w:p w14:paraId="0E0247DF">
            <w:pPr>
              <w:spacing w:line="360" w:lineRule="auto"/>
              <w:jc w:val="center"/>
              <w:rPr>
                <w:rFonts w:hint="eastAsia" w:ascii="宋体" w:hAnsi="宋体" w:eastAsia="宋体" w:cs="宋体"/>
                <w:color w:val="auto"/>
                <w:sz w:val="21"/>
                <w:szCs w:val="21"/>
                <w:highlight w:val="none"/>
              </w:rPr>
            </w:pPr>
          </w:p>
        </w:tc>
        <w:tc>
          <w:tcPr>
            <w:tcW w:w="2410" w:type="dxa"/>
            <w:vAlign w:val="center"/>
          </w:tcPr>
          <w:p w14:paraId="1A27B1D4">
            <w:pPr>
              <w:spacing w:line="360" w:lineRule="auto"/>
              <w:jc w:val="center"/>
              <w:rPr>
                <w:rFonts w:hint="eastAsia" w:ascii="宋体" w:hAnsi="宋体" w:eastAsia="宋体" w:cs="宋体"/>
                <w:color w:val="auto"/>
                <w:sz w:val="21"/>
                <w:szCs w:val="21"/>
                <w:highlight w:val="none"/>
              </w:rPr>
            </w:pPr>
          </w:p>
        </w:tc>
        <w:tc>
          <w:tcPr>
            <w:tcW w:w="2729" w:type="dxa"/>
            <w:vAlign w:val="center"/>
          </w:tcPr>
          <w:p w14:paraId="5EF87DAC">
            <w:pPr>
              <w:spacing w:line="360" w:lineRule="auto"/>
              <w:jc w:val="center"/>
              <w:rPr>
                <w:rFonts w:hint="eastAsia" w:ascii="宋体" w:hAnsi="宋体" w:eastAsia="宋体" w:cs="宋体"/>
                <w:color w:val="auto"/>
                <w:sz w:val="21"/>
                <w:szCs w:val="21"/>
                <w:highlight w:val="none"/>
              </w:rPr>
            </w:pPr>
          </w:p>
        </w:tc>
      </w:tr>
      <w:tr w14:paraId="07AFF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6F14A45D">
            <w:pPr>
              <w:spacing w:line="360" w:lineRule="auto"/>
              <w:jc w:val="center"/>
              <w:rPr>
                <w:rFonts w:hint="eastAsia" w:ascii="宋体" w:hAnsi="宋体" w:eastAsia="宋体" w:cs="宋体"/>
                <w:color w:val="auto"/>
                <w:sz w:val="21"/>
                <w:szCs w:val="21"/>
                <w:highlight w:val="none"/>
              </w:rPr>
            </w:pPr>
          </w:p>
        </w:tc>
        <w:tc>
          <w:tcPr>
            <w:tcW w:w="1826" w:type="dxa"/>
            <w:vAlign w:val="center"/>
          </w:tcPr>
          <w:p w14:paraId="3E2E17E3">
            <w:pPr>
              <w:spacing w:line="360" w:lineRule="auto"/>
              <w:jc w:val="center"/>
              <w:rPr>
                <w:rFonts w:hint="eastAsia" w:ascii="宋体" w:hAnsi="宋体" w:eastAsia="宋体" w:cs="宋体"/>
                <w:color w:val="auto"/>
                <w:sz w:val="21"/>
                <w:szCs w:val="21"/>
                <w:highlight w:val="none"/>
              </w:rPr>
            </w:pPr>
          </w:p>
        </w:tc>
        <w:tc>
          <w:tcPr>
            <w:tcW w:w="1559" w:type="dxa"/>
            <w:vAlign w:val="center"/>
          </w:tcPr>
          <w:p w14:paraId="4089316A">
            <w:pPr>
              <w:spacing w:line="360" w:lineRule="auto"/>
              <w:jc w:val="center"/>
              <w:rPr>
                <w:rFonts w:hint="eastAsia" w:ascii="宋体" w:hAnsi="宋体" w:eastAsia="宋体" w:cs="宋体"/>
                <w:color w:val="auto"/>
                <w:sz w:val="21"/>
                <w:szCs w:val="21"/>
                <w:highlight w:val="none"/>
              </w:rPr>
            </w:pPr>
          </w:p>
        </w:tc>
        <w:tc>
          <w:tcPr>
            <w:tcW w:w="2410" w:type="dxa"/>
            <w:vAlign w:val="center"/>
          </w:tcPr>
          <w:p w14:paraId="0D3AF087">
            <w:pPr>
              <w:spacing w:line="360" w:lineRule="auto"/>
              <w:jc w:val="center"/>
              <w:rPr>
                <w:rFonts w:hint="eastAsia" w:ascii="宋体" w:hAnsi="宋体" w:eastAsia="宋体" w:cs="宋体"/>
                <w:color w:val="auto"/>
                <w:sz w:val="21"/>
                <w:szCs w:val="21"/>
                <w:highlight w:val="none"/>
              </w:rPr>
            </w:pPr>
          </w:p>
        </w:tc>
        <w:tc>
          <w:tcPr>
            <w:tcW w:w="2729" w:type="dxa"/>
            <w:vAlign w:val="center"/>
          </w:tcPr>
          <w:p w14:paraId="6B9E61DD">
            <w:pPr>
              <w:spacing w:line="360" w:lineRule="auto"/>
              <w:jc w:val="center"/>
              <w:rPr>
                <w:rFonts w:hint="eastAsia" w:ascii="宋体" w:hAnsi="宋体" w:eastAsia="宋体" w:cs="宋体"/>
                <w:color w:val="auto"/>
                <w:sz w:val="21"/>
                <w:szCs w:val="21"/>
                <w:highlight w:val="none"/>
              </w:rPr>
            </w:pPr>
          </w:p>
        </w:tc>
      </w:tr>
      <w:tr w14:paraId="1C1A4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69399ABD">
            <w:pPr>
              <w:spacing w:line="360" w:lineRule="auto"/>
              <w:jc w:val="center"/>
              <w:rPr>
                <w:rFonts w:hint="eastAsia" w:ascii="宋体" w:hAnsi="宋体" w:eastAsia="宋体" w:cs="宋体"/>
                <w:color w:val="auto"/>
                <w:sz w:val="21"/>
                <w:szCs w:val="21"/>
                <w:highlight w:val="none"/>
              </w:rPr>
            </w:pPr>
          </w:p>
        </w:tc>
        <w:tc>
          <w:tcPr>
            <w:tcW w:w="1826" w:type="dxa"/>
            <w:vAlign w:val="center"/>
          </w:tcPr>
          <w:p w14:paraId="56C5E929">
            <w:pPr>
              <w:spacing w:line="360" w:lineRule="auto"/>
              <w:jc w:val="center"/>
              <w:rPr>
                <w:rFonts w:hint="eastAsia" w:ascii="宋体" w:hAnsi="宋体" w:eastAsia="宋体" w:cs="宋体"/>
                <w:color w:val="auto"/>
                <w:sz w:val="21"/>
                <w:szCs w:val="21"/>
                <w:highlight w:val="none"/>
              </w:rPr>
            </w:pPr>
          </w:p>
        </w:tc>
        <w:tc>
          <w:tcPr>
            <w:tcW w:w="1559" w:type="dxa"/>
            <w:vAlign w:val="center"/>
          </w:tcPr>
          <w:p w14:paraId="04E85005">
            <w:pPr>
              <w:spacing w:line="360" w:lineRule="auto"/>
              <w:jc w:val="center"/>
              <w:rPr>
                <w:rFonts w:hint="eastAsia" w:ascii="宋体" w:hAnsi="宋体" w:eastAsia="宋体" w:cs="宋体"/>
                <w:color w:val="auto"/>
                <w:sz w:val="21"/>
                <w:szCs w:val="21"/>
                <w:highlight w:val="none"/>
              </w:rPr>
            </w:pPr>
          </w:p>
        </w:tc>
        <w:tc>
          <w:tcPr>
            <w:tcW w:w="2410" w:type="dxa"/>
            <w:vAlign w:val="center"/>
          </w:tcPr>
          <w:p w14:paraId="308B41D3">
            <w:pPr>
              <w:spacing w:line="360" w:lineRule="auto"/>
              <w:jc w:val="center"/>
              <w:rPr>
                <w:rFonts w:hint="eastAsia" w:ascii="宋体" w:hAnsi="宋体" w:eastAsia="宋体" w:cs="宋体"/>
                <w:color w:val="auto"/>
                <w:sz w:val="21"/>
                <w:szCs w:val="21"/>
                <w:highlight w:val="none"/>
              </w:rPr>
            </w:pPr>
          </w:p>
        </w:tc>
        <w:tc>
          <w:tcPr>
            <w:tcW w:w="2729" w:type="dxa"/>
            <w:vAlign w:val="center"/>
          </w:tcPr>
          <w:p w14:paraId="10B36F7F">
            <w:pPr>
              <w:spacing w:line="360" w:lineRule="auto"/>
              <w:jc w:val="center"/>
              <w:rPr>
                <w:rFonts w:hint="eastAsia" w:ascii="宋体" w:hAnsi="宋体" w:eastAsia="宋体" w:cs="宋体"/>
                <w:color w:val="auto"/>
                <w:sz w:val="21"/>
                <w:szCs w:val="21"/>
                <w:highlight w:val="none"/>
              </w:rPr>
            </w:pPr>
          </w:p>
        </w:tc>
      </w:tr>
      <w:tr w14:paraId="708D9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1AC64F39">
            <w:pPr>
              <w:spacing w:line="360" w:lineRule="auto"/>
              <w:jc w:val="center"/>
              <w:rPr>
                <w:rFonts w:hint="eastAsia" w:ascii="宋体" w:hAnsi="宋体" w:eastAsia="宋体" w:cs="宋体"/>
                <w:color w:val="auto"/>
                <w:sz w:val="21"/>
                <w:szCs w:val="21"/>
                <w:highlight w:val="none"/>
              </w:rPr>
            </w:pPr>
          </w:p>
        </w:tc>
        <w:tc>
          <w:tcPr>
            <w:tcW w:w="1826" w:type="dxa"/>
            <w:vAlign w:val="center"/>
          </w:tcPr>
          <w:p w14:paraId="2C5777A7">
            <w:pPr>
              <w:spacing w:line="360" w:lineRule="auto"/>
              <w:jc w:val="center"/>
              <w:rPr>
                <w:rFonts w:hint="eastAsia" w:ascii="宋体" w:hAnsi="宋体" w:eastAsia="宋体" w:cs="宋体"/>
                <w:color w:val="auto"/>
                <w:sz w:val="21"/>
                <w:szCs w:val="21"/>
                <w:highlight w:val="none"/>
              </w:rPr>
            </w:pPr>
          </w:p>
        </w:tc>
        <w:tc>
          <w:tcPr>
            <w:tcW w:w="1559" w:type="dxa"/>
            <w:vAlign w:val="center"/>
          </w:tcPr>
          <w:p w14:paraId="125AF25C">
            <w:pPr>
              <w:spacing w:line="360" w:lineRule="auto"/>
              <w:jc w:val="center"/>
              <w:rPr>
                <w:rFonts w:hint="eastAsia" w:ascii="宋体" w:hAnsi="宋体" w:eastAsia="宋体" w:cs="宋体"/>
                <w:color w:val="auto"/>
                <w:sz w:val="21"/>
                <w:szCs w:val="21"/>
                <w:highlight w:val="none"/>
              </w:rPr>
            </w:pPr>
          </w:p>
        </w:tc>
        <w:tc>
          <w:tcPr>
            <w:tcW w:w="2410" w:type="dxa"/>
            <w:vAlign w:val="center"/>
          </w:tcPr>
          <w:p w14:paraId="50F51532">
            <w:pPr>
              <w:spacing w:line="360" w:lineRule="auto"/>
              <w:jc w:val="center"/>
              <w:rPr>
                <w:rFonts w:hint="eastAsia" w:ascii="宋体" w:hAnsi="宋体" w:eastAsia="宋体" w:cs="宋体"/>
                <w:color w:val="auto"/>
                <w:sz w:val="21"/>
                <w:szCs w:val="21"/>
                <w:highlight w:val="none"/>
              </w:rPr>
            </w:pPr>
          </w:p>
        </w:tc>
        <w:tc>
          <w:tcPr>
            <w:tcW w:w="2729" w:type="dxa"/>
            <w:vAlign w:val="center"/>
          </w:tcPr>
          <w:p w14:paraId="4E5DDDFA">
            <w:pPr>
              <w:spacing w:line="360" w:lineRule="auto"/>
              <w:jc w:val="center"/>
              <w:rPr>
                <w:rFonts w:hint="eastAsia" w:ascii="宋体" w:hAnsi="宋体" w:eastAsia="宋体" w:cs="宋体"/>
                <w:color w:val="auto"/>
                <w:sz w:val="21"/>
                <w:szCs w:val="21"/>
                <w:highlight w:val="none"/>
              </w:rPr>
            </w:pPr>
          </w:p>
        </w:tc>
      </w:tr>
      <w:tr w14:paraId="0C25C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585CD4B0">
            <w:pPr>
              <w:spacing w:line="360" w:lineRule="auto"/>
              <w:jc w:val="center"/>
              <w:rPr>
                <w:rFonts w:hint="eastAsia" w:ascii="宋体" w:hAnsi="宋体" w:eastAsia="宋体" w:cs="宋体"/>
                <w:color w:val="auto"/>
                <w:sz w:val="21"/>
                <w:szCs w:val="21"/>
                <w:highlight w:val="none"/>
              </w:rPr>
            </w:pPr>
          </w:p>
        </w:tc>
        <w:tc>
          <w:tcPr>
            <w:tcW w:w="1826" w:type="dxa"/>
            <w:vAlign w:val="center"/>
          </w:tcPr>
          <w:p w14:paraId="2E564CD4">
            <w:pPr>
              <w:spacing w:line="360" w:lineRule="auto"/>
              <w:jc w:val="center"/>
              <w:rPr>
                <w:rFonts w:hint="eastAsia" w:ascii="宋体" w:hAnsi="宋体" w:eastAsia="宋体" w:cs="宋体"/>
                <w:color w:val="auto"/>
                <w:sz w:val="21"/>
                <w:szCs w:val="21"/>
                <w:highlight w:val="none"/>
              </w:rPr>
            </w:pPr>
          </w:p>
        </w:tc>
        <w:tc>
          <w:tcPr>
            <w:tcW w:w="1559" w:type="dxa"/>
            <w:vAlign w:val="center"/>
          </w:tcPr>
          <w:p w14:paraId="4506BC0A">
            <w:pPr>
              <w:spacing w:line="360" w:lineRule="auto"/>
              <w:jc w:val="center"/>
              <w:rPr>
                <w:rFonts w:hint="eastAsia" w:ascii="宋体" w:hAnsi="宋体" w:eastAsia="宋体" w:cs="宋体"/>
                <w:color w:val="auto"/>
                <w:sz w:val="21"/>
                <w:szCs w:val="21"/>
                <w:highlight w:val="none"/>
              </w:rPr>
            </w:pPr>
          </w:p>
        </w:tc>
        <w:tc>
          <w:tcPr>
            <w:tcW w:w="2410" w:type="dxa"/>
            <w:vAlign w:val="center"/>
          </w:tcPr>
          <w:p w14:paraId="0B0AE10C">
            <w:pPr>
              <w:spacing w:line="360" w:lineRule="auto"/>
              <w:jc w:val="center"/>
              <w:rPr>
                <w:rFonts w:hint="eastAsia" w:ascii="宋体" w:hAnsi="宋体" w:eastAsia="宋体" w:cs="宋体"/>
                <w:color w:val="auto"/>
                <w:sz w:val="21"/>
                <w:szCs w:val="21"/>
                <w:highlight w:val="none"/>
              </w:rPr>
            </w:pPr>
          </w:p>
        </w:tc>
        <w:tc>
          <w:tcPr>
            <w:tcW w:w="2729" w:type="dxa"/>
            <w:vAlign w:val="center"/>
          </w:tcPr>
          <w:p w14:paraId="6C9BB30A">
            <w:pPr>
              <w:spacing w:line="360" w:lineRule="auto"/>
              <w:jc w:val="center"/>
              <w:rPr>
                <w:rFonts w:hint="eastAsia" w:ascii="宋体" w:hAnsi="宋体" w:eastAsia="宋体" w:cs="宋体"/>
                <w:color w:val="auto"/>
                <w:sz w:val="21"/>
                <w:szCs w:val="21"/>
                <w:highlight w:val="none"/>
              </w:rPr>
            </w:pPr>
          </w:p>
        </w:tc>
      </w:tr>
      <w:tr w14:paraId="4FFD6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0B48AB9E">
            <w:pPr>
              <w:spacing w:line="360" w:lineRule="auto"/>
              <w:jc w:val="center"/>
              <w:rPr>
                <w:rFonts w:hint="eastAsia" w:ascii="宋体" w:hAnsi="宋体" w:eastAsia="宋体" w:cs="宋体"/>
                <w:color w:val="auto"/>
                <w:sz w:val="21"/>
                <w:szCs w:val="21"/>
                <w:highlight w:val="none"/>
              </w:rPr>
            </w:pPr>
          </w:p>
        </w:tc>
        <w:tc>
          <w:tcPr>
            <w:tcW w:w="1826" w:type="dxa"/>
            <w:vAlign w:val="center"/>
          </w:tcPr>
          <w:p w14:paraId="1D4D5C5C">
            <w:pPr>
              <w:spacing w:line="360" w:lineRule="auto"/>
              <w:jc w:val="center"/>
              <w:rPr>
                <w:rFonts w:hint="eastAsia" w:ascii="宋体" w:hAnsi="宋体" w:eastAsia="宋体" w:cs="宋体"/>
                <w:color w:val="auto"/>
                <w:sz w:val="21"/>
                <w:szCs w:val="21"/>
                <w:highlight w:val="none"/>
              </w:rPr>
            </w:pPr>
          </w:p>
        </w:tc>
        <w:tc>
          <w:tcPr>
            <w:tcW w:w="1559" w:type="dxa"/>
            <w:vAlign w:val="center"/>
          </w:tcPr>
          <w:p w14:paraId="2CC0F6BD">
            <w:pPr>
              <w:spacing w:line="360" w:lineRule="auto"/>
              <w:jc w:val="center"/>
              <w:rPr>
                <w:rFonts w:hint="eastAsia" w:ascii="宋体" w:hAnsi="宋体" w:eastAsia="宋体" w:cs="宋体"/>
                <w:color w:val="auto"/>
                <w:sz w:val="21"/>
                <w:szCs w:val="21"/>
                <w:highlight w:val="none"/>
              </w:rPr>
            </w:pPr>
          </w:p>
        </w:tc>
        <w:tc>
          <w:tcPr>
            <w:tcW w:w="2410" w:type="dxa"/>
            <w:vAlign w:val="center"/>
          </w:tcPr>
          <w:p w14:paraId="46B886E8">
            <w:pPr>
              <w:spacing w:line="360" w:lineRule="auto"/>
              <w:jc w:val="center"/>
              <w:rPr>
                <w:rFonts w:hint="eastAsia" w:ascii="宋体" w:hAnsi="宋体" w:eastAsia="宋体" w:cs="宋体"/>
                <w:color w:val="auto"/>
                <w:sz w:val="21"/>
                <w:szCs w:val="21"/>
                <w:highlight w:val="none"/>
              </w:rPr>
            </w:pPr>
          </w:p>
        </w:tc>
        <w:tc>
          <w:tcPr>
            <w:tcW w:w="2729" w:type="dxa"/>
            <w:vAlign w:val="center"/>
          </w:tcPr>
          <w:p w14:paraId="6432CE4E">
            <w:pPr>
              <w:spacing w:line="360" w:lineRule="auto"/>
              <w:jc w:val="center"/>
              <w:rPr>
                <w:rFonts w:hint="eastAsia" w:ascii="宋体" w:hAnsi="宋体" w:eastAsia="宋体" w:cs="宋体"/>
                <w:color w:val="auto"/>
                <w:sz w:val="21"/>
                <w:szCs w:val="21"/>
                <w:highlight w:val="none"/>
              </w:rPr>
            </w:pPr>
          </w:p>
        </w:tc>
      </w:tr>
      <w:tr w14:paraId="00FC3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350524F4">
            <w:pPr>
              <w:spacing w:line="360" w:lineRule="auto"/>
              <w:jc w:val="center"/>
              <w:rPr>
                <w:rFonts w:hint="eastAsia" w:ascii="宋体" w:hAnsi="宋体" w:eastAsia="宋体" w:cs="宋体"/>
                <w:color w:val="auto"/>
                <w:sz w:val="21"/>
                <w:szCs w:val="21"/>
                <w:highlight w:val="none"/>
              </w:rPr>
            </w:pPr>
          </w:p>
        </w:tc>
        <w:tc>
          <w:tcPr>
            <w:tcW w:w="1826" w:type="dxa"/>
            <w:vAlign w:val="center"/>
          </w:tcPr>
          <w:p w14:paraId="06D602AA">
            <w:pPr>
              <w:spacing w:line="360" w:lineRule="auto"/>
              <w:jc w:val="center"/>
              <w:rPr>
                <w:rFonts w:hint="eastAsia" w:ascii="宋体" w:hAnsi="宋体" w:eastAsia="宋体" w:cs="宋体"/>
                <w:color w:val="auto"/>
                <w:sz w:val="21"/>
                <w:szCs w:val="21"/>
                <w:highlight w:val="none"/>
              </w:rPr>
            </w:pPr>
          </w:p>
        </w:tc>
        <w:tc>
          <w:tcPr>
            <w:tcW w:w="1559" w:type="dxa"/>
            <w:vAlign w:val="center"/>
          </w:tcPr>
          <w:p w14:paraId="246B45E4">
            <w:pPr>
              <w:spacing w:line="360" w:lineRule="auto"/>
              <w:jc w:val="center"/>
              <w:rPr>
                <w:rFonts w:hint="eastAsia" w:ascii="宋体" w:hAnsi="宋体" w:eastAsia="宋体" w:cs="宋体"/>
                <w:color w:val="auto"/>
                <w:sz w:val="21"/>
                <w:szCs w:val="21"/>
                <w:highlight w:val="none"/>
              </w:rPr>
            </w:pPr>
          </w:p>
        </w:tc>
        <w:tc>
          <w:tcPr>
            <w:tcW w:w="2410" w:type="dxa"/>
            <w:vAlign w:val="center"/>
          </w:tcPr>
          <w:p w14:paraId="1E770095">
            <w:pPr>
              <w:spacing w:line="360" w:lineRule="auto"/>
              <w:jc w:val="center"/>
              <w:rPr>
                <w:rFonts w:hint="eastAsia" w:ascii="宋体" w:hAnsi="宋体" w:eastAsia="宋体" w:cs="宋体"/>
                <w:color w:val="auto"/>
                <w:sz w:val="21"/>
                <w:szCs w:val="21"/>
                <w:highlight w:val="none"/>
              </w:rPr>
            </w:pPr>
          </w:p>
        </w:tc>
        <w:tc>
          <w:tcPr>
            <w:tcW w:w="2729" w:type="dxa"/>
            <w:vAlign w:val="center"/>
          </w:tcPr>
          <w:p w14:paraId="275E04F1">
            <w:pPr>
              <w:spacing w:line="360" w:lineRule="auto"/>
              <w:jc w:val="center"/>
              <w:rPr>
                <w:rFonts w:hint="eastAsia" w:ascii="宋体" w:hAnsi="宋体" w:eastAsia="宋体" w:cs="宋体"/>
                <w:color w:val="auto"/>
                <w:sz w:val="21"/>
                <w:szCs w:val="21"/>
                <w:highlight w:val="none"/>
              </w:rPr>
            </w:pPr>
          </w:p>
        </w:tc>
      </w:tr>
    </w:tbl>
    <w:p w14:paraId="0938A64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AD2ED8"/>
    <w:rsid w:val="00155351"/>
    <w:rsid w:val="0046550B"/>
    <w:rsid w:val="00610597"/>
    <w:rsid w:val="007D6A53"/>
    <w:rsid w:val="00867FFD"/>
    <w:rsid w:val="00973FB8"/>
    <w:rsid w:val="00AE4E5E"/>
    <w:rsid w:val="00E13486"/>
    <w:rsid w:val="00F1191B"/>
    <w:rsid w:val="01001B5E"/>
    <w:rsid w:val="0132783D"/>
    <w:rsid w:val="01541EA9"/>
    <w:rsid w:val="01AD5116"/>
    <w:rsid w:val="01B85F94"/>
    <w:rsid w:val="01BD17FD"/>
    <w:rsid w:val="01BD35AB"/>
    <w:rsid w:val="01BE7323"/>
    <w:rsid w:val="01F176F8"/>
    <w:rsid w:val="01FF0067"/>
    <w:rsid w:val="020411DA"/>
    <w:rsid w:val="02447828"/>
    <w:rsid w:val="02624152"/>
    <w:rsid w:val="02EF1E8A"/>
    <w:rsid w:val="034C72DC"/>
    <w:rsid w:val="03AD764F"/>
    <w:rsid w:val="03C2134C"/>
    <w:rsid w:val="03CE7CF1"/>
    <w:rsid w:val="03D41080"/>
    <w:rsid w:val="04001E75"/>
    <w:rsid w:val="0402799B"/>
    <w:rsid w:val="0414147C"/>
    <w:rsid w:val="04463D2B"/>
    <w:rsid w:val="04471852"/>
    <w:rsid w:val="04531FA4"/>
    <w:rsid w:val="04610B65"/>
    <w:rsid w:val="046C3066"/>
    <w:rsid w:val="048B3E34"/>
    <w:rsid w:val="04EE6171"/>
    <w:rsid w:val="050D2A9B"/>
    <w:rsid w:val="053F69CD"/>
    <w:rsid w:val="054162A1"/>
    <w:rsid w:val="05720B50"/>
    <w:rsid w:val="05C375FE"/>
    <w:rsid w:val="05C56ED2"/>
    <w:rsid w:val="05D76C05"/>
    <w:rsid w:val="062956B3"/>
    <w:rsid w:val="063A78C0"/>
    <w:rsid w:val="067A5F0E"/>
    <w:rsid w:val="06A64F55"/>
    <w:rsid w:val="06D118A6"/>
    <w:rsid w:val="06F85085"/>
    <w:rsid w:val="072E6CF9"/>
    <w:rsid w:val="0781507A"/>
    <w:rsid w:val="07B72711"/>
    <w:rsid w:val="07F27D26"/>
    <w:rsid w:val="080737D2"/>
    <w:rsid w:val="080D2DB2"/>
    <w:rsid w:val="081E0B1B"/>
    <w:rsid w:val="083E2F6B"/>
    <w:rsid w:val="08400A92"/>
    <w:rsid w:val="08471E20"/>
    <w:rsid w:val="084A5DB4"/>
    <w:rsid w:val="0865674A"/>
    <w:rsid w:val="0882554E"/>
    <w:rsid w:val="08AE1E9F"/>
    <w:rsid w:val="08C6368D"/>
    <w:rsid w:val="095567BF"/>
    <w:rsid w:val="09727371"/>
    <w:rsid w:val="098350DA"/>
    <w:rsid w:val="09943F1E"/>
    <w:rsid w:val="09A137B2"/>
    <w:rsid w:val="09F45FD8"/>
    <w:rsid w:val="09F80BCB"/>
    <w:rsid w:val="0A8C4462"/>
    <w:rsid w:val="0AA01CBB"/>
    <w:rsid w:val="0AC0410C"/>
    <w:rsid w:val="0B09160F"/>
    <w:rsid w:val="0B21104E"/>
    <w:rsid w:val="0B472137"/>
    <w:rsid w:val="0B6C7DF0"/>
    <w:rsid w:val="0B8B64C8"/>
    <w:rsid w:val="0BB35A1E"/>
    <w:rsid w:val="0BEF2EFA"/>
    <w:rsid w:val="0C0B13B7"/>
    <w:rsid w:val="0C1B3CF0"/>
    <w:rsid w:val="0C486A95"/>
    <w:rsid w:val="0C6C62F9"/>
    <w:rsid w:val="0C721436"/>
    <w:rsid w:val="0CCC323C"/>
    <w:rsid w:val="0CD1621F"/>
    <w:rsid w:val="0CD345CA"/>
    <w:rsid w:val="0CE265BB"/>
    <w:rsid w:val="0CEB1914"/>
    <w:rsid w:val="0CEF2A86"/>
    <w:rsid w:val="0CF14A50"/>
    <w:rsid w:val="0D1644B7"/>
    <w:rsid w:val="0D49488C"/>
    <w:rsid w:val="0D660F9A"/>
    <w:rsid w:val="0D9A50E8"/>
    <w:rsid w:val="0D9C2C0E"/>
    <w:rsid w:val="0DA10224"/>
    <w:rsid w:val="0DA16476"/>
    <w:rsid w:val="0DA303ED"/>
    <w:rsid w:val="0DB937C0"/>
    <w:rsid w:val="0DBA7538"/>
    <w:rsid w:val="0DE34399"/>
    <w:rsid w:val="0E250E55"/>
    <w:rsid w:val="0E4806A0"/>
    <w:rsid w:val="0E5057A7"/>
    <w:rsid w:val="0E5139F9"/>
    <w:rsid w:val="0EB6385C"/>
    <w:rsid w:val="0EFD592E"/>
    <w:rsid w:val="0F16254C"/>
    <w:rsid w:val="0F3375A2"/>
    <w:rsid w:val="0F490B74"/>
    <w:rsid w:val="0F67724C"/>
    <w:rsid w:val="0F704352"/>
    <w:rsid w:val="0FC24482"/>
    <w:rsid w:val="10437371"/>
    <w:rsid w:val="1044187D"/>
    <w:rsid w:val="105F7F23"/>
    <w:rsid w:val="10615A49"/>
    <w:rsid w:val="107D7504"/>
    <w:rsid w:val="10AA5642"/>
    <w:rsid w:val="10E611CC"/>
    <w:rsid w:val="113849FC"/>
    <w:rsid w:val="113D2012"/>
    <w:rsid w:val="116E2B13"/>
    <w:rsid w:val="11DF3712"/>
    <w:rsid w:val="12AD1419"/>
    <w:rsid w:val="12BD1A48"/>
    <w:rsid w:val="12DC3AAD"/>
    <w:rsid w:val="130F3E82"/>
    <w:rsid w:val="139F6FB4"/>
    <w:rsid w:val="13A9398F"/>
    <w:rsid w:val="13B862C8"/>
    <w:rsid w:val="13C702B9"/>
    <w:rsid w:val="1404150D"/>
    <w:rsid w:val="144B2C98"/>
    <w:rsid w:val="14720225"/>
    <w:rsid w:val="14777F31"/>
    <w:rsid w:val="148C3C1A"/>
    <w:rsid w:val="14B60A59"/>
    <w:rsid w:val="14D233B9"/>
    <w:rsid w:val="14D273DE"/>
    <w:rsid w:val="14DF1632"/>
    <w:rsid w:val="14F21366"/>
    <w:rsid w:val="15190FE8"/>
    <w:rsid w:val="15211C4B"/>
    <w:rsid w:val="15525935"/>
    <w:rsid w:val="15545B7C"/>
    <w:rsid w:val="15567B46"/>
    <w:rsid w:val="157B135B"/>
    <w:rsid w:val="15981F0D"/>
    <w:rsid w:val="159E5049"/>
    <w:rsid w:val="15A9236C"/>
    <w:rsid w:val="15F5735F"/>
    <w:rsid w:val="160C46A9"/>
    <w:rsid w:val="16247C45"/>
    <w:rsid w:val="164D0F49"/>
    <w:rsid w:val="165A18B8"/>
    <w:rsid w:val="167504A0"/>
    <w:rsid w:val="16B32D77"/>
    <w:rsid w:val="16DC674F"/>
    <w:rsid w:val="17342109"/>
    <w:rsid w:val="17555BDC"/>
    <w:rsid w:val="17686265"/>
    <w:rsid w:val="176F6C9D"/>
    <w:rsid w:val="177A6AC7"/>
    <w:rsid w:val="17BD5A89"/>
    <w:rsid w:val="17BE7C25"/>
    <w:rsid w:val="17CA481C"/>
    <w:rsid w:val="17DF2075"/>
    <w:rsid w:val="17EB6C6C"/>
    <w:rsid w:val="17F378CF"/>
    <w:rsid w:val="18561C0B"/>
    <w:rsid w:val="18694035"/>
    <w:rsid w:val="18DC4807"/>
    <w:rsid w:val="19063631"/>
    <w:rsid w:val="190D49C0"/>
    <w:rsid w:val="192817FA"/>
    <w:rsid w:val="19297320"/>
    <w:rsid w:val="193261D5"/>
    <w:rsid w:val="1941466A"/>
    <w:rsid w:val="1954439D"/>
    <w:rsid w:val="19856C4C"/>
    <w:rsid w:val="19874772"/>
    <w:rsid w:val="19B735D7"/>
    <w:rsid w:val="19DB686C"/>
    <w:rsid w:val="1A136006"/>
    <w:rsid w:val="1A271AB1"/>
    <w:rsid w:val="1A5328A6"/>
    <w:rsid w:val="1A654388"/>
    <w:rsid w:val="1A7C004F"/>
    <w:rsid w:val="1AAE3F81"/>
    <w:rsid w:val="1ABF1CEA"/>
    <w:rsid w:val="1ABF618E"/>
    <w:rsid w:val="1AC92B69"/>
    <w:rsid w:val="1AD11A1D"/>
    <w:rsid w:val="1B0D6EF9"/>
    <w:rsid w:val="1B155DAE"/>
    <w:rsid w:val="1B1A7868"/>
    <w:rsid w:val="1B670504"/>
    <w:rsid w:val="1B682381"/>
    <w:rsid w:val="1B8151F1"/>
    <w:rsid w:val="1B961960"/>
    <w:rsid w:val="1BE37C5A"/>
    <w:rsid w:val="1C0F4EF3"/>
    <w:rsid w:val="1C273FEB"/>
    <w:rsid w:val="1C2F4C4D"/>
    <w:rsid w:val="1C3D55BC"/>
    <w:rsid w:val="1C4306F9"/>
    <w:rsid w:val="1C4C57FF"/>
    <w:rsid w:val="1C5F3784"/>
    <w:rsid w:val="1C7134B8"/>
    <w:rsid w:val="1C872CDB"/>
    <w:rsid w:val="1CD81789"/>
    <w:rsid w:val="1CE41EDC"/>
    <w:rsid w:val="1D1F2F14"/>
    <w:rsid w:val="1D491D3F"/>
    <w:rsid w:val="1D5F5A06"/>
    <w:rsid w:val="1D6F5C49"/>
    <w:rsid w:val="1DA90A2F"/>
    <w:rsid w:val="1DCD2970"/>
    <w:rsid w:val="1E087E4C"/>
    <w:rsid w:val="1E0C16EA"/>
    <w:rsid w:val="1E1B192D"/>
    <w:rsid w:val="1E2C7696"/>
    <w:rsid w:val="1E71779F"/>
    <w:rsid w:val="1EC45B21"/>
    <w:rsid w:val="1F0C571A"/>
    <w:rsid w:val="1F536EA5"/>
    <w:rsid w:val="1F7237CF"/>
    <w:rsid w:val="20250841"/>
    <w:rsid w:val="20547378"/>
    <w:rsid w:val="20967991"/>
    <w:rsid w:val="20971013"/>
    <w:rsid w:val="20FB5A46"/>
    <w:rsid w:val="21134B3E"/>
    <w:rsid w:val="21717AB6"/>
    <w:rsid w:val="21997739"/>
    <w:rsid w:val="219F0AC7"/>
    <w:rsid w:val="21B53E47"/>
    <w:rsid w:val="21E85FCA"/>
    <w:rsid w:val="2208666C"/>
    <w:rsid w:val="22421B7E"/>
    <w:rsid w:val="227D2BB6"/>
    <w:rsid w:val="22A94701"/>
    <w:rsid w:val="22B20386"/>
    <w:rsid w:val="23103A2A"/>
    <w:rsid w:val="2322550C"/>
    <w:rsid w:val="2342795C"/>
    <w:rsid w:val="235C0A1E"/>
    <w:rsid w:val="236553F8"/>
    <w:rsid w:val="23897339"/>
    <w:rsid w:val="239161EE"/>
    <w:rsid w:val="23B51EDC"/>
    <w:rsid w:val="23DC1B5F"/>
    <w:rsid w:val="23DD0BFC"/>
    <w:rsid w:val="23F5677C"/>
    <w:rsid w:val="241E2177"/>
    <w:rsid w:val="2443398C"/>
    <w:rsid w:val="244F0582"/>
    <w:rsid w:val="246833F2"/>
    <w:rsid w:val="24861ACA"/>
    <w:rsid w:val="24E0742D"/>
    <w:rsid w:val="2547125A"/>
    <w:rsid w:val="25893620"/>
    <w:rsid w:val="259D3570"/>
    <w:rsid w:val="25D02FFD"/>
    <w:rsid w:val="25E42F4C"/>
    <w:rsid w:val="25F52A64"/>
    <w:rsid w:val="26355556"/>
    <w:rsid w:val="266B71CA"/>
    <w:rsid w:val="268B161A"/>
    <w:rsid w:val="26AD333E"/>
    <w:rsid w:val="26BC7A25"/>
    <w:rsid w:val="26C1503C"/>
    <w:rsid w:val="26CF7759"/>
    <w:rsid w:val="26D703BB"/>
    <w:rsid w:val="270311B0"/>
    <w:rsid w:val="27076EF2"/>
    <w:rsid w:val="27084A19"/>
    <w:rsid w:val="270A69E3"/>
    <w:rsid w:val="271B474C"/>
    <w:rsid w:val="27435A51"/>
    <w:rsid w:val="27475541"/>
    <w:rsid w:val="274E4B21"/>
    <w:rsid w:val="2786142B"/>
    <w:rsid w:val="278A18D2"/>
    <w:rsid w:val="27B150B0"/>
    <w:rsid w:val="27EB6814"/>
    <w:rsid w:val="28357A8F"/>
    <w:rsid w:val="28506677"/>
    <w:rsid w:val="287405B8"/>
    <w:rsid w:val="289206D8"/>
    <w:rsid w:val="28DB23E5"/>
    <w:rsid w:val="295126A7"/>
    <w:rsid w:val="298F31CF"/>
    <w:rsid w:val="2A007C29"/>
    <w:rsid w:val="2A0D0CC4"/>
    <w:rsid w:val="2A420E47"/>
    <w:rsid w:val="2A7725E1"/>
    <w:rsid w:val="2AAB4039"/>
    <w:rsid w:val="2B006133"/>
    <w:rsid w:val="2B1716CE"/>
    <w:rsid w:val="2B3E6C5B"/>
    <w:rsid w:val="2B5D17D7"/>
    <w:rsid w:val="2BA80578"/>
    <w:rsid w:val="2BA967CA"/>
    <w:rsid w:val="2BAA42F0"/>
    <w:rsid w:val="2BD55811"/>
    <w:rsid w:val="2BDD0222"/>
    <w:rsid w:val="2BF0264B"/>
    <w:rsid w:val="2BF35C97"/>
    <w:rsid w:val="2C273B93"/>
    <w:rsid w:val="2C695F59"/>
    <w:rsid w:val="2C842D93"/>
    <w:rsid w:val="2C8C39F6"/>
    <w:rsid w:val="2C9E3E55"/>
    <w:rsid w:val="2D012636"/>
    <w:rsid w:val="2D0143E4"/>
    <w:rsid w:val="2D142369"/>
    <w:rsid w:val="2D410C84"/>
    <w:rsid w:val="2D6F35DC"/>
    <w:rsid w:val="2D7828F8"/>
    <w:rsid w:val="2D8079FF"/>
    <w:rsid w:val="2D937732"/>
    <w:rsid w:val="2D9D235F"/>
    <w:rsid w:val="2DA74F8B"/>
    <w:rsid w:val="2DBF0527"/>
    <w:rsid w:val="2DD85145"/>
    <w:rsid w:val="2E0F2B31"/>
    <w:rsid w:val="2E0F48DF"/>
    <w:rsid w:val="2E1B3283"/>
    <w:rsid w:val="2E1B7727"/>
    <w:rsid w:val="2E3541E1"/>
    <w:rsid w:val="2E6958EF"/>
    <w:rsid w:val="2E9F2106"/>
    <w:rsid w:val="2EB21E3A"/>
    <w:rsid w:val="2ECB2EFB"/>
    <w:rsid w:val="2F0106CB"/>
    <w:rsid w:val="2F560A17"/>
    <w:rsid w:val="2F7B222C"/>
    <w:rsid w:val="2F8D6403"/>
    <w:rsid w:val="2FEC137B"/>
    <w:rsid w:val="2FF87D20"/>
    <w:rsid w:val="30297EDA"/>
    <w:rsid w:val="303845C1"/>
    <w:rsid w:val="303F594F"/>
    <w:rsid w:val="3069477A"/>
    <w:rsid w:val="308710A4"/>
    <w:rsid w:val="309B06AC"/>
    <w:rsid w:val="30C47C02"/>
    <w:rsid w:val="30DC13F0"/>
    <w:rsid w:val="313872C0"/>
    <w:rsid w:val="313E1763"/>
    <w:rsid w:val="31592A40"/>
    <w:rsid w:val="316A07AA"/>
    <w:rsid w:val="31A87524"/>
    <w:rsid w:val="31BB7257"/>
    <w:rsid w:val="31ED4F37"/>
    <w:rsid w:val="31FB3AF8"/>
    <w:rsid w:val="320F75A3"/>
    <w:rsid w:val="3212499D"/>
    <w:rsid w:val="325B4596"/>
    <w:rsid w:val="32A95302"/>
    <w:rsid w:val="330B38C7"/>
    <w:rsid w:val="33941B0E"/>
    <w:rsid w:val="33FE78CF"/>
    <w:rsid w:val="3421711A"/>
    <w:rsid w:val="3428494C"/>
    <w:rsid w:val="34473024"/>
    <w:rsid w:val="34621C0C"/>
    <w:rsid w:val="34713BFD"/>
    <w:rsid w:val="347B2CCE"/>
    <w:rsid w:val="34873421"/>
    <w:rsid w:val="348C0A37"/>
    <w:rsid w:val="34A73AC3"/>
    <w:rsid w:val="34DC2B4A"/>
    <w:rsid w:val="34DF500B"/>
    <w:rsid w:val="35026F4B"/>
    <w:rsid w:val="350B5E00"/>
    <w:rsid w:val="35103416"/>
    <w:rsid w:val="3529272A"/>
    <w:rsid w:val="35505F08"/>
    <w:rsid w:val="357339A5"/>
    <w:rsid w:val="358E6A31"/>
    <w:rsid w:val="35935DF5"/>
    <w:rsid w:val="35DF103A"/>
    <w:rsid w:val="35F42D38"/>
    <w:rsid w:val="361138EA"/>
    <w:rsid w:val="36592B9B"/>
    <w:rsid w:val="36C50230"/>
    <w:rsid w:val="36E92171"/>
    <w:rsid w:val="36FB00F6"/>
    <w:rsid w:val="370C40B1"/>
    <w:rsid w:val="37152F66"/>
    <w:rsid w:val="37182A56"/>
    <w:rsid w:val="371A0990"/>
    <w:rsid w:val="3727713D"/>
    <w:rsid w:val="37F17146"/>
    <w:rsid w:val="37F30DCD"/>
    <w:rsid w:val="384A30E3"/>
    <w:rsid w:val="38832151"/>
    <w:rsid w:val="388D2FD0"/>
    <w:rsid w:val="38B44A00"/>
    <w:rsid w:val="38D17360"/>
    <w:rsid w:val="391B4A7F"/>
    <w:rsid w:val="3930052B"/>
    <w:rsid w:val="393A3157"/>
    <w:rsid w:val="395064D7"/>
    <w:rsid w:val="39BF540B"/>
    <w:rsid w:val="39D864CC"/>
    <w:rsid w:val="39E9692C"/>
    <w:rsid w:val="39FA28E7"/>
    <w:rsid w:val="3A287454"/>
    <w:rsid w:val="3ABB3E24"/>
    <w:rsid w:val="3AC23F19"/>
    <w:rsid w:val="3AD153F6"/>
    <w:rsid w:val="3AD4138A"/>
    <w:rsid w:val="3AFC23EB"/>
    <w:rsid w:val="3B2C6AD0"/>
    <w:rsid w:val="3B620744"/>
    <w:rsid w:val="3B9C1EA7"/>
    <w:rsid w:val="3B9D5C20"/>
    <w:rsid w:val="3BC60CD2"/>
    <w:rsid w:val="3BDF1D94"/>
    <w:rsid w:val="3BED2703"/>
    <w:rsid w:val="3C074E47"/>
    <w:rsid w:val="3C0D6901"/>
    <w:rsid w:val="3C3C71E7"/>
    <w:rsid w:val="3C3F0A85"/>
    <w:rsid w:val="3C7626F9"/>
    <w:rsid w:val="3C964B49"/>
    <w:rsid w:val="3CE8111C"/>
    <w:rsid w:val="3D0221DE"/>
    <w:rsid w:val="3D597924"/>
    <w:rsid w:val="3D714C6E"/>
    <w:rsid w:val="3DA6700D"/>
    <w:rsid w:val="3DC47494"/>
    <w:rsid w:val="3DCC6348"/>
    <w:rsid w:val="3DEE2762"/>
    <w:rsid w:val="3E2717D1"/>
    <w:rsid w:val="3E8B1D5F"/>
    <w:rsid w:val="3EBE3EE3"/>
    <w:rsid w:val="3ED656D0"/>
    <w:rsid w:val="3F1C6E5B"/>
    <w:rsid w:val="3F620D12"/>
    <w:rsid w:val="3FD17C46"/>
    <w:rsid w:val="40632F94"/>
    <w:rsid w:val="408D6263"/>
    <w:rsid w:val="409A0980"/>
    <w:rsid w:val="41306BEE"/>
    <w:rsid w:val="4153125A"/>
    <w:rsid w:val="415B010F"/>
    <w:rsid w:val="415E19AD"/>
    <w:rsid w:val="417D62D7"/>
    <w:rsid w:val="41A05B22"/>
    <w:rsid w:val="41AA074E"/>
    <w:rsid w:val="41CA0DF1"/>
    <w:rsid w:val="423050F8"/>
    <w:rsid w:val="42764AD5"/>
    <w:rsid w:val="4278084D"/>
    <w:rsid w:val="42C65A5C"/>
    <w:rsid w:val="42E3216A"/>
    <w:rsid w:val="43217136"/>
    <w:rsid w:val="432307B8"/>
    <w:rsid w:val="433504EC"/>
    <w:rsid w:val="43672D9B"/>
    <w:rsid w:val="438576C5"/>
    <w:rsid w:val="43882D11"/>
    <w:rsid w:val="43D63A7D"/>
    <w:rsid w:val="43DB5537"/>
    <w:rsid w:val="43E268C5"/>
    <w:rsid w:val="43F42155"/>
    <w:rsid w:val="43F65ECD"/>
    <w:rsid w:val="440B5E1C"/>
    <w:rsid w:val="444B320F"/>
    <w:rsid w:val="44501A81"/>
    <w:rsid w:val="44586B88"/>
    <w:rsid w:val="44B30262"/>
    <w:rsid w:val="44C61D43"/>
    <w:rsid w:val="44C77869"/>
    <w:rsid w:val="44EB79FC"/>
    <w:rsid w:val="453A628D"/>
    <w:rsid w:val="459534C4"/>
    <w:rsid w:val="45AD4CB1"/>
    <w:rsid w:val="45BE0C6C"/>
    <w:rsid w:val="45ED3300"/>
    <w:rsid w:val="46040D75"/>
    <w:rsid w:val="460A5C60"/>
    <w:rsid w:val="46132D66"/>
    <w:rsid w:val="46476EB4"/>
    <w:rsid w:val="469F0A9E"/>
    <w:rsid w:val="46A00372"/>
    <w:rsid w:val="46BC33FE"/>
    <w:rsid w:val="46CE4EDF"/>
    <w:rsid w:val="46D5626E"/>
    <w:rsid w:val="47064679"/>
    <w:rsid w:val="472D60AA"/>
    <w:rsid w:val="474D22A8"/>
    <w:rsid w:val="47503B46"/>
    <w:rsid w:val="47571378"/>
    <w:rsid w:val="4766336A"/>
    <w:rsid w:val="48825526"/>
    <w:rsid w:val="48D72771"/>
    <w:rsid w:val="48E46C3C"/>
    <w:rsid w:val="48FB078F"/>
    <w:rsid w:val="48FF3281"/>
    <w:rsid w:val="490966A2"/>
    <w:rsid w:val="4924528A"/>
    <w:rsid w:val="49DF11B1"/>
    <w:rsid w:val="49E8450A"/>
    <w:rsid w:val="49EC224C"/>
    <w:rsid w:val="4A4756D4"/>
    <w:rsid w:val="4A5509E6"/>
    <w:rsid w:val="4A5C2802"/>
    <w:rsid w:val="4A7E6C1C"/>
    <w:rsid w:val="4A881849"/>
    <w:rsid w:val="4ADD1B95"/>
    <w:rsid w:val="4AFB201B"/>
    <w:rsid w:val="4B5C0D0B"/>
    <w:rsid w:val="4B7A3887"/>
    <w:rsid w:val="4B8169C4"/>
    <w:rsid w:val="4BA97CC9"/>
    <w:rsid w:val="4BB70638"/>
    <w:rsid w:val="4BDA60D4"/>
    <w:rsid w:val="4C4A5008"/>
    <w:rsid w:val="4C575977"/>
    <w:rsid w:val="4C6205A3"/>
    <w:rsid w:val="4C793B3F"/>
    <w:rsid w:val="4CD6689C"/>
    <w:rsid w:val="4D1B69A4"/>
    <w:rsid w:val="4D341814"/>
    <w:rsid w:val="4D64659D"/>
    <w:rsid w:val="4D662315"/>
    <w:rsid w:val="4D7560B4"/>
    <w:rsid w:val="4D8F5636"/>
    <w:rsid w:val="4DB12E65"/>
    <w:rsid w:val="4DD03C33"/>
    <w:rsid w:val="4E197388"/>
    <w:rsid w:val="4E1A6C5C"/>
    <w:rsid w:val="4E353A96"/>
    <w:rsid w:val="4E485577"/>
    <w:rsid w:val="4E4D7031"/>
    <w:rsid w:val="4E54216E"/>
    <w:rsid w:val="4E546612"/>
    <w:rsid w:val="4EC70B92"/>
    <w:rsid w:val="4EC8490A"/>
    <w:rsid w:val="4EEA4880"/>
    <w:rsid w:val="4F602D94"/>
    <w:rsid w:val="4F622668"/>
    <w:rsid w:val="4F734876"/>
    <w:rsid w:val="4F93316A"/>
    <w:rsid w:val="4FB37368"/>
    <w:rsid w:val="50055E16"/>
    <w:rsid w:val="50445253"/>
    <w:rsid w:val="504A7CCC"/>
    <w:rsid w:val="50630D8E"/>
    <w:rsid w:val="506643DA"/>
    <w:rsid w:val="50697A27"/>
    <w:rsid w:val="506F328F"/>
    <w:rsid w:val="508F1761"/>
    <w:rsid w:val="50942CF5"/>
    <w:rsid w:val="50B769E4"/>
    <w:rsid w:val="50BB64D4"/>
    <w:rsid w:val="50C57353"/>
    <w:rsid w:val="50E579F5"/>
    <w:rsid w:val="50EC2B32"/>
    <w:rsid w:val="50F6750C"/>
    <w:rsid w:val="51053BF3"/>
    <w:rsid w:val="511A4EA0"/>
    <w:rsid w:val="5144471C"/>
    <w:rsid w:val="51453FF0"/>
    <w:rsid w:val="51A96C75"/>
    <w:rsid w:val="51B64EEE"/>
    <w:rsid w:val="51C969CF"/>
    <w:rsid w:val="51E23F34"/>
    <w:rsid w:val="51FF6894"/>
    <w:rsid w:val="52391DA6"/>
    <w:rsid w:val="525C7843"/>
    <w:rsid w:val="5272350A"/>
    <w:rsid w:val="52B551A5"/>
    <w:rsid w:val="52DC6BD6"/>
    <w:rsid w:val="5305612D"/>
    <w:rsid w:val="530A54F1"/>
    <w:rsid w:val="53395DD6"/>
    <w:rsid w:val="53746E0E"/>
    <w:rsid w:val="537961D3"/>
    <w:rsid w:val="5386726D"/>
    <w:rsid w:val="538A6632"/>
    <w:rsid w:val="53937294"/>
    <w:rsid w:val="53B55872"/>
    <w:rsid w:val="53CC09F8"/>
    <w:rsid w:val="53DD0E57"/>
    <w:rsid w:val="54462559"/>
    <w:rsid w:val="5463404B"/>
    <w:rsid w:val="54931516"/>
    <w:rsid w:val="54992FD0"/>
    <w:rsid w:val="54AD25D8"/>
    <w:rsid w:val="54BF40B9"/>
    <w:rsid w:val="5523289A"/>
    <w:rsid w:val="55A21A11"/>
    <w:rsid w:val="55B160F8"/>
    <w:rsid w:val="55D65B5E"/>
    <w:rsid w:val="55E95892"/>
    <w:rsid w:val="55EE10FA"/>
    <w:rsid w:val="55F12998"/>
    <w:rsid w:val="560875D0"/>
    <w:rsid w:val="562B5EAA"/>
    <w:rsid w:val="56757125"/>
    <w:rsid w:val="56903F5F"/>
    <w:rsid w:val="569E667C"/>
    <w:rsid w:val="56CE6835"/>
    <w:rsid w:val="56EF512A"/>
    <w:rsid w:val="56F97D56"/>
    <w:rsid w:val="57947A7F"/>
    <w:rsid w:val="57C9597B"/>
    <w:rsid w:val="58134E48"/>
    <w:rsid w:val="58501BF8"/>
    <w:rsid w:val="592117E6"/>
    <w:rsid w:val="592866D1"/>
    <w:rsid w:val="5939268C"/>
    <w:rsid w:val="59822285"/>
    <w:rsid w:val="598D4786"/>
    <w:rsid w:val="59AC5554"/>
    <w:rsid w:val="59AD4E28"/>
    <w:rsid w:val="59B83EF9"/>
    <w:rsid w:val="5A137381"/>
    <w:rsid w:val="5A250E62"/>
    <w:rsid w:val="5A4237C2"/>
    <w:rsid w:val="5A4E03B9"/>
    <w:rsid w:val="5A6220B6"/>
    <w:rsid w:val="5AA77AC9"/>
    <w:rsid w:val="5AB20948"/>
    <w:rsid w:val="5ABA15AB"/>
    <w:rsid w:val="5B484E08"/>
    <w:rsid w:val="5B7200D7"/>
    <w:rsid w:val="5B9C6F02"/>
    <w:rsid w:val="5C02145B"/>
    <w:rsid w:val="5C076A71"/>
    <w:rsid w:val="5C186ED1"/>
    <w:rsid w:val="5C390BF5"/>
    <w:rsid w:val="5C442278"/>
    <w:rsid w:val="5C6A0DAE"/>
    <w:rsid w:val="5C8207EE"/>
    <w:rsid w:val="5C8E7193"/>
    <w:rsid w:val="5C9C18B0"/>
    <w:rsid w:val="5CA00C74"/>
    <w:rsid w:val="5CE62B2B"/>
    <w:rsid w:val="5D647EF4"/>
    <w:rsid w:val="5D810AA5"/>
    <w:rsid w:val="5DEF5A0F"/>
    <w:rsid w:val="5E0F60B1"/>
    <w:rsid w:val="5E5D506F"/>
    <w:rsid w:val="5E6301AB"/>
    <w:rsid w:val="5E914D18"/>
    <w:rsid w:val="5F506981"/>
    <w:rsid w:val="5F555D46"/>
    <w:rsid w:val="5F5875E4"/>
    <w:rsid w:val="5F9E593F"/>
    <w:rsid w:val="5FF13CC0"/>
    <w:rsid w:val="60172FFB"/>
    <w:rsid w:val="603B13E0"/>
    <w:rsid w:val="604007A4"/>
    <w:rsid w:val="606B7E4D"/>
    <w:rsid w:val="607641C6"/>
    <w:rsid w:val="608A5EC3"/>
    <w:rsid w:val="6094289E"/>
    <w:rsid w:val="609B00D0"/>
    <w:rsid w:val="60A07495"/>
    <w:rsid w:val="60C767CF"/>
    <w:rsid w:val="60DA0BF8"/>
    <w:rsid w:val="60DF1D6B"/>
    <w:rsid w:val="60E530F9"/>
    <w:rsid w:val="60EB5DD7"/>
    <w:rsid w:val="60F021CA"/>
    <w:rsid w:val="60FF065F"/>
    <w:rsid w:val="6115578D"/>
    <w:rsid w:val="61475B62"/>
    <w:rsid w:val="6183303E"/>
    <w:rsid w:val="618E3791"/>
    <w:rsid w:val="619568CD"/>
    <w:rsid w:val="61DB4C28"/>
    <w:rsid w:val="61E82EA1"/>
    <w:rsid w:val="61F950AE"/>
    <w:rsid w:val="62255EA3"/>
    <w:rsid w:val="62361E5F"/>
    <w:rsid w:val="623E6F65"/>
    <w:rsid w:val="62500A46"/>
    <w:rsid w:val="626544F2"/>
    <w:rsid w:val="627D5CDF"/>
    <w:rsid w:val="6300246C"/>
    <w:rsid w:val="635527B8"/>
    <w:rsid w:val="63660521"/>
    <w:rsid w:val="637D586B"/>
    <w:rsid w:val="63901A42"/>
    <w:rsid w:val="63B76FCF"/>
    <w:rsid w:val="63C33BC6"/>
    <w:rsid w:val="63D556A7"/>
    <w:rsid w:val="64063AB3"/>
    <w:rsid w:val="645E569D"/>
    <w:rsid w:val="648570CD"/>
    <w:rsid w:val="649410BE"/>
    <w:rsid w:val="64C01EB3"/>
    <w:rsid w:val="64D911C7"/>
    <w:rsid w:val="654F4FE5"/>
    <w:rsid w:val="657A6506"/>
    <w:rsid w:val="65CB6D62"/>
    <w:rsid w:val="660B3602"/>
    <w:rsid w:val="66187ACD"/>
    <w:rsid w:val="6623094C"/>
    <w:rsid w:val="66240220"/>
    <w:rsid w:val="66C13CC1"/>
    <w:rsid w:val="66CD6B09"/>
    <w:rsid w:val="66D165FA"/>
    <w:rsid w:val="67065B78"/>
    <w:rsid w:val="67642FCA"/>
    <w:rsid w:val="677D0530"/>
    <w:rsid w:val="6796514D"/>
    <w:rsid w:val="67DB0DB2"/>
    <w:rsid w:val="6844104D"/>
    <w:rsid w:val="689478DF"/>
    <w:rsid w:val="68A1024E"/>
    <w:rsid w:val="68A33FC6"/>
    <w:rsid w:val="68F640F6"/>
    <w:rsid w:val="69270753"/>
    <w:rsid w:val="69586B5E"/>
    <w:rsid w:val="696C260A"/>
    <w:rsid w:val="69731BEA"/>
    <w:rsid w:val="699851AD"/>
    <w:rsid w:val="69B31FE7"/>
    <w:rsid w:val="69BD2E65"/>
    <w:rsid w:val="69C266CE"/>
    <w:rsid w:val="69D81A4D"/>
    <w:rsid w:val="69DB32EB"/>
    <w:rsid w:val="69FD3262"/>
    <w:rsid w:val="6A026ACA"/>
    <w:rsid w:val="6A066A76"/>
    <w:rsid w:val="6A0E546F"/>
    <w:rsid w:val="6A86594D"/>
    <w:rsid w:val="6AA45DD3"/>
    <w:rsid w:val="6AC65D4A"/>
    <w:rsid w:val="6B040620"/>
    <w:rsid w:val="6B1747F7"/>
    <w:rsid w:val="6B405AFC"/>
    <w:rsid w:val="6B4A0729"/>
    <w:rsid w:val="6B827EC3"/>
    <w:rsid w:val="6B8F25DF"/>
    <w:rsid w:val="6BDB3A77"/>
    <w:rsid w:val="6BF012D0"/>
    <w:rsid w:val="6BFD39ED"/>
    <w:rsid w:val="6C0905E4"/>
    <w:rsid w:val="6C2E1DF8"/>
    <w:rsid w:val="6C494E84"/>
    <w:rsid w:val="6C557385"/>
    <w:rsid w:val="6CC12C6C"/>
    <w:rsid w:val="6CCD1611"/>
    <w:rsid w:val="6CE4695B"/>
    <w:rsid w:val="6D1E00BF"/>
    <w:rsid w:val="6D2531FB"/>
    <w:rsid w:val="6D321474"/>
    <w:rsid w:val="6D54763D"/>
    <w:rsid w:val="6D823AC0"/>
    <w:rsid w:val="6D9D7236"/>
    <w:rsid w:val="6DD644F6"/>
    <w:rsid w:val="6DF57072"/>
    <w:rsid w:val="6E005A16"/>
    <w:rsid w:val="6E296D1B"/>
    <w:rsid w:val="6E453429"/>
    <w:rsid w:val="6E677844"/>
    <w:rsid w:val="6EA463A2"/>
    <w:rsid w:val="6EA6211A"/>
    <w:rsid w:val="6EC24A7A"/>
    <w:rsid w:val="6ED70525"/>
    <w:rsid w:val="6EDC3D8E"/>
    <w:rsid w:val="6EDD18B4"/>
    <w:rsid w:val="6F1A16B2"/>
    <w:rsid w:val="6F906926"/>
    <w:rsid w:val="6F9E54E7"/>
    <w:rsid w:val="6FAA56D0"/>
    <w:rsid w:val="6FCF744E"/>
    <w:rsid w:val="6FFB6495"/>
    <w:rsid w:val="706109EE"/>
    <w:rsid w:val="70812E3F"/>
    <w:rsid w:val="70AD2ED8"/>
    <w:rsid w:val="70F3572C"/>
    <w:rsid w:val="71105F71"/>
    <w:rsid w:val="71306613"/>
    <w:rsid w:val="713F6856"/>
    <w:rsid w:val="714B6FA9"/>
    <w:rsid w:val="716D6F1F"/>
    <w:rsid w:val="717B788E"/>
    <w:rsid w:val="718B55F7"/>
    <w:rsid w:val="72127AC6"/>
    <w:rsid w:val="728269FA"/>
    <w:rsid w:val="728704B4"/>
    <w:rsid w:val="728E539F"/>
    <w:rsid w:val="72B666A4"/>
    <w:rsid w:val="72CE7E91"/>
    <w:rsid w:val="73090EC9"/>
    <w:rsid w:val="736F3422"/>
    <w:rsid w:val="73903399"/>
    <w:rsid w:val="73A11102"/>
    <w:rsid w:val="73AD3F4B"/>
    <w:rsid w:val="73B7296C"/>
    <w:rsid w:val="73DC213A"/>
    <w:rsid w:val="73E334C8"/>
    <w:rsid w:val="73E86D31"/>
    <w:rsid w:val="74681C20"/>
    <w:rsid w:val="746C7962"/>
    <w:rsid w:val="74842EFD"/>
    <w:rsid w:val="748A7DE8"/>
    <w:rsid w:val="74A54C22"/>
    <w:rsid w:val="74C27582"/>
    <w:rsid w:val="74D472B5"/>
    <w:rsid w:val="755B0F56"/>
    <w:rsid w:val="7564688B"/>
    <w:rsid w:val="76004806"/>
    <w:rsid w:val="76816FC9"/>
    <w:rsid w:val="771C4E1E"/>
    <w:rsid w:val="776112D4"/>
    <w:rsid w:val="776F6FC2"/>
    <w:rsid w:val="77A94A29"/>
    <w:rsid w:val="77BC475C"/>
    <w:rsid w:val="77E37423"/>
    <w:rsid w:val="77E93077"/>
    <w:rsid w:val="78056103"/>
    <w:rsid w:val="7836450F"/>
    <w:rsid w:val="783C589D"/>
    <w:rsid w:val="78434E7D"/>
    <w:rsid w:val="785C1A9B"/>
    <w:rsid w:val="78713799"/>
    <w:rsid w:val="78B96EEE"/>
    <w:rsid w:val="78C22246"/>
    <w:rsid w:val="79200D1B"/>
    <w:rsid w:val="79222CE5"/>
    <w:rsid w:val="79295E21"/>
    <w:rsid w:val="793F5645"/>
    <w:rsid w:val="79837A2C"/>
    <w:rsid w:val="79984D55"/>
    <w:rsid w:val="79C8563A"/>
    <w:rsid w:val="79CD0EA3"/>
    <w:rsid w:val="79D33FDF"/>
    <w:rsid w:val="7A1E525A"/>
    <w:rsid w:val="7A27269B"/>
    <w:rsid w:val="7A2E1215"/>
    <w:rsid w:val="7A4647B1"/>
    <w:rsid w:val="7A6510DB"/>
    <w:rsid w:val="7AA339B1"/>
    <w:rsid w:val="7AAC6D0A"/>
    <w:rsid w:val="7AAD74C6"/>
    <w:rsid w:val="7AF4245F"/>
    <w:rsid w:val="7B1D5512"/>
    <w:rsid w:val="7B2F5245"/>
    <w:rsid w:val="7B4E1B6F"/>
    <w:rsid w:val="7B7A2964"/>
    <w:rsid w:val="7B933A26"/>
    <w:rsid w:val="7BA23C69"/>
    <w:rsid w:val="7BCB7664"/>
    <w:rsid w:val="7C0D1A2A"/>
    <w:rsid w:val="7C352D2F"/>
    <w:rsid w:val="7C572CA5"/>
    <w:rsid w:val="7C6333F8"/>
    <w:rsid w:val="7C696F46"/>
    <w:rsid w:val="7CBA4FE2"/>
    <w:rsid w:val="7CBC6FAC"/>
    <w:rsid w:val="7CD10CAA"/>
    <w:rsid w:val="7CD51E1C"/>
    <w:rsid w:val="7D162B61"/>
    <w:rsid w:val="7D515947"/>
    <w:rsid w:val="7D7B0C16"/>
    <w:rsid w:val="7DBD2FDC"/>
    <w:rsid w:val="7DC425BD"/>
    <w:rsid w:val="7DC600E3"/>
    <w:rsid w:val="7DEE13E8"/>
    <w:rsid w:val="7DF54524"/>
    <w:rsid w:val="7E512CBE"/>
    <w:rsid w:val="7E521976"/>
    <w:rsid w:val="7E584AB3"/>
    <w:rsid w:val="7E7E22F1"/>
    <w:rsid w:val="7EF0118F"/>
    <w:rsid w:val="7EFB3DBC"/>
    <w:rsid w:val="7F0569E9"/>
    <w:rsid w:val="7F121106"/>
    <w:rsid w:val="7F1906E6"/>
    <w:rsid w:val="7F25708B"/>
    <w:rsid w:val="7F34107C"/>
    <w:rsid w:val="7F842003"/>
    <w:rsid w:val="7FAC3308"/>
    <w:rsid w:val="7FC93EBA"/>
    <w:rsid w:val="7FDF548C"/>
    <w:rsid w:val="7FF151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unhideWhenUsed/>
    <w:qFormat/>
    <w:uiPriority w:val="99"/>
    <w:pPr>
      <w:spacing w:after="120"/>
    </w:pPr>
  </w:style>
  <w:style w:type="paragraph" w:styleId="4">
    <w:name w:val="toc 1"/>
    <w:basedOn w:val="1"/>
    <w:next w:val="1"/>
    <w:qFormat/>
    <w:uiPriority w:val="0"/>
    <w:pPr>
      <w:widowControl/>
      <w:spacing w:after="100" w:line="276" w:lineRule="auto"/>
      <w:jc w:val="left"/>
    </w:pPr>
    <w:rPr>
      <w:kern w:val="0"/>
      <w:sz w:val="22"/>
    </w:rPr>
  </w:style>
  <w:style w:type="paragraph" w:styleId="5">
    <w:name w:val="Body Text First Indent"/>
    <w:basedOn w:val="3"/>
    <w:unhideWhenUsed/>
    <w:qFormat/>
    <w:uiPriority w:val="99"/>
    <w:pPr>
      <w:ind w:firstLine="420" w:firstLineChars="100"/>
    </w:p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9">
    <w:name w:val="Table Normal"/>
    <w:semiHidden/>
    <w:unhideWhenUsed/>
    <w:qFormat/>
    <w:uiPriority w:val="0"/>
    <w:rPr>
      <w:rFonts w:ascii="Times New Roman" w:hAnsi="Times New Roman" w:eastAsia="宋体" w:cs="Times New Roman"/>
    </w:rPr>
    <w:tblPr>
      <w:tblCellMar>
        <w:top w:w="0" w:type="dxa"/>
        <w:left w:w="0" w:type="dxa"/>
        <w:bottom w:w="0" w:type="dxa"/>
        <w:right w:w="0" w:type="dxa"/>
      </w:tblCellMar>
    </w:tblPr>
  </w:style>
  <w:style w:type="paragraph" w:customStyle="1" w:styleId="10">
    <w:name w:val="Table Text"/>
    <w:basedOn w:val="1"/>
    <w:semiHidden/>
    <w:qFormat/>
    <w:uiPriority w:val="0"/>
    <w:pPr>
      <w:kinsoku w:val="0"/>
      <w:autoSpaceDE w:val="0"/>
      <w:autoSpaceDN w:val="0"/>
      <w:adjustRightInd w:val="0"/>
      <w:snapToGrid w:val="0"/>
      <w:ind w:left="105" w:right="105" w:firstLine="200" w:firstLineChars="100"/>
      <w:jc w:val="center"/>
      <w:textAlignment w:val="baseline"/>
    </w:pPr>
    <w:rPr>
      <w:rFonts w:asciiTheme="minorEastAsia" w:hAnsiTheme="minorEastAsia" w:eastAsiaTheme="minorEastAsia"/>
      <w:snapToGrid w:val="0"/>
      <w:color w:val="FF0000"/>
      <w:kern w:val="0"/>
      <w:sz w:val="20"/>
      <w:szCs w:val="21"/>
    </w:r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paragraph" w:customStyle="1" w:styleId="12">
    <w:name w:val="Table Paragraph"/>
    <w:basedOn w:val="1"/>
    <w:qFormat/>
    <w:uiPriority w:val="1"/>
    <w:rPr>
      <w:rFonts w:ascii="宋体" w:hAnsi="宋体" w:eastAsia="宋体" w:cs="宋体"/>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31</Pages>
  <Words>16741</Words>
  <Characters>17482</Characters>
  <Lines>0</Lines>
  <Paragraphs>0</Paragraphs>
  <TotalTime>19</TotalTime>
  <ScaleCrop>false</ScaleCrop>
  <LinksUpToDate>false</LinksUpToDate>
  <CharactersWithSpaces>18856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2025-05-16T03:43:00Z</dcterms:created>
  <dc:creator>代理公司</dc:creator>
  <cp:lastModifiedBy>WPS_1698309818</cp:lastModifiedBy>
  <dcterms:modified xsi:type="dcterms:W3CDTF">2025-10-10T07:33:14Z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DFC113893A244302A3F57F7714EC64E4_13</vt:lpwstr>
  </property>
  <property fmtid="{D5CDD505-2E9C-101B-9397-08002B2CF9AE}" pid="4" name="KSOTemplateDocerSaveRecord">
    <vt:lpwstr>eyJoZGlkIjoiYWNlZDgxNjAwZTA2NmQyZWM5YmEzZGY2MWNmYjliNTEiLCJ1c2VySWQiOiIxNTUyNjAyNTI5In0=</vt:lpwstr>
  </property>
</Properties>
</file>