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版本号：SXDXYZB2025-008-420251011001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高陵区既有住宅小区围墙内雨污分流建设改造项目监理服务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SXDXYZB2025-008-4</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高陵区既有住宅小区围墙内雨污分流建设改造项目监理服务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高陵区既有住宅小区围墙内雨污分流建设改造项目监理服务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高陵区既有住宅小区地下排水管道雨污分流整改项目监理服务。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采购包1（高陵区既有住宅小区围墙内雨污分流建设改造项目监理服务）：属于专门面向中小企业采购。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任选其一）：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9、资质要求：供应商须具备建设部门颁发的工程监理综合资质或市政公用工程专业监理乙级及以上资质（含乙级）。</w:t>
      </w:r>
    </w:p>
    <w:p>
      <w:pPr>
        <w:pStyle w:val="null3"/>
      </w:pPr>
      <w:r>
        <w:rPr>
          <w:rFonts w:ascii="仿宋_GB2312" w:hAnsi="仿宋_GB2312" w:cs="仿宋_GB2312" w:eastAsia="仿宋_GB2312"/>
        </w:rPr>
        <w:t>10、项目总监资格要求：拟派总监理工程师须具备市政公用工程专业国家注册监理工程师执业资格，在本单位注册，且未担任其他在建项目的总监理工程师。</w:t>
      </w:r>
    </w:p>
    <w:p>
      <w:pPr>
        <w:pStyle w:val="null3"/>
      </w:pPr>
      <w:r>
        <w:rPr>
          <w:rFonts w:ascii="仿宋_GB2312" w:hAnsi="仿宋_GB2312" w:cs="仿宋_GB2312" w:eastAsia="仿宋_GB2312"/>
        </w:rPr>
        <w:t>11、不接受联合体相关要求：本项目不接受联合体响应，不允许分包。</w:t>
      </w:r>
    </w:p>
    <w:p>
      <w:pPr>
        <w:pStyle w:val="null3"/>
      </w:pPr>
      <w:r>
        <w:rPr>
          <w:rFonts w:ascii="仿宋_GB2312" w:hAnsi="仿宋_GB2312" w:cs="仿宋_GB2312" w:eastAsia="仿宋_GB2312"/>
        </w:rPr>
        <w:t>12、关联声明：单位负责人为同一人或者存在直接控股、管理关系的不同供应商，不得同时参加本项目采购活动。</w:t>
      </w:r>
    </w:p>
    <w:p>
      <w:pPr>
        <w:pStyle w:val="null3"/>
      </w:pPr>
      <w:r>
        <w:rPr>
          <w:rFonts w:ascii="仿宋_GB2312" w:hAnsi="仿宋_GB2312" w:cs="仿宋_GB2312" w:eastAsia="仿宋_GB2312"/>
        </w:rPr>
        <w:t>13、落实政府采购政策资格：本项目专门面向中小企业采购（残疾人福利性单位、监狱企业视同小型、微型企业），供应商需提供《中小企业声明函》、《监狱企业的证明文件》或《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代理服务费收费标准：招标代理服务费根据《国家发展改革委关于进一步放开建设项目专业服务价格的通知》（发改价格〔2015〕299 号）、国家计委印发的《招标代理服务收费管理暂行办法》（计价格[2002]1980号） 文规定收费标准下浮 20%收费计取。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高陵区既有住宅小区地下排水管道雨污分流整改项目监理服务。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378,400.00</w:t>
      </w:r>
    </w:p>
    <w:p>
      <w:pPr>
        <w:pStyle w:val="null3"/>
      </w:pPr>
      <w:r>
        <w:rPr>
          <w:rFonts w:ascii="仿宋_GB2312" w:hAnsi="仿宋_GB2312" w:cs="仿宋_GB2312" w:eastAsia="仿宋_GB2312"/>
        </w:rPr>
        <w:t>采购包最高限价（元）: 378,400.00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高陵区既有住宅小区围墙内雨污分流建设改造项目监理服务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标的名称：高陵区既有住宅小区围墙内雨污分流建设改造项目监理服务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高陵区既有住宅小区围墙内雨污分流建设改造项目监理，该项目施工总投资约</w:t>
            </w:r>
            <w:r>
              <w:rPr>
                <w:rFonts w:ascii="仿宋_GB2312" w:hAnsi="仿宋_GB2312" w:cs="仿宋_GB2312" w:eastAsia="仿宋_GB2312"/>
              </w:rPr>
              <w:t>16006300.00元，现委托监理单位对高陵区既有住宅小区地下排水管道雨污分流整改工程的监理服务。</w:t>
            </w:r>
          </w:p>
          <w:p>
            <w:pPr>
              <w:pStyle w:val="null3"/>
              <w:ind w:firstLine="400"/>
            </w:pPr>
            <w:r>
              <w:rPr>
                <w:rFonts w:ascii="仿宋_GB2312" w:hAnsi="仿宋_GB2312" w:cs="仿宋_GB2312" w:eastAsia="仿宋_GB2312"/>
              </w:rPr>
              <w:t>本项目对高陵区鹿苑街道办辖区内的文卫路小区、锦绣新天地、银龙小区、隆枫苑等</w:t>
            </w:r>
            <w:r>
              <w:rPr>
                <w:rFonts w:ascii="仿宋_GB2312" w:hAnsi="仿宋_GB2312" w:cs="仿宋_GB2312" w:eastAsia="仿宋_GB2312"/>
              </w:rPr>
              <w:t>34 个老旧小区进行雨污分流改造，规划设计原管道作为污水管道使用，新建雨水管道总长约9Km，配套建设小区绿化、路面回复工程等。</w:t>
            </w:r>
          </w:p>
          <w:p>
            <w:pPr>
              <w:pStyle w:val="null3"/>
              <w:ind w:firstLine="400"/>
            </w:pPr>
            <w:r>
              <w:rPr>
                <w:rFonts w:ascii="仿宋_GB2312" w:hAnsi="仿宋_GB2312" w:cs="仿宋_GB2312" w:eastAsia="仿宋_GB2312"/>
              </w:rPr>
              <w:t>本项目高陵区鹿苑街道办辖区内</w:t>
            </w:r>
            <w:r>
              <w:rPr>
                <w:rFonts w:ascii="仿宋_GB2312" w:hAnsi="仿宋_GB2312" w:cs="仿宋_GB2312" w:eastAsia="仿宋_GB2312"/>
              </w:rPr>
              <w:t>34个老旧小区：文卫路小区、锦绣新天地、银龙小区、隆枫苑、宏博旧小区、北馨苑小区、征稽所小区、泾渭园艺、文景苑小区、仓门巷小区、温馨小区、天源小区、东花园小区、农资小区、福鹿园小区、安澜小区、思源小区、龙腾小区、吉祥小区、卉苑小区、警苑小区、朝阳小区、南苑小区、利民小区、春天小区、路政小区、运政小区、运政新时代、电力老小区、春城粮苑、鹿苑东小区、奶粉厂小区、公路段2等34个小区进行雨污分流改造。</w:t>
            </w:r>
          </w:p>
          <w:p>
            <w:pPr>
              <w:pStyle w:val="null3"/>
            </w:pPr>
            <w:r>
              <w:rPr>
                <w:rFonts w:ascii="仿宋_GB2312" w:hAnsi="仿宋_GB2312" w:cs="仿宋_GB2312" w:eastAsia="仿宋_GB2312"/>
                <w:b/>
              </w:rPr>
              <w:t>二、服务要求</w:t>
            </w:r>
          </w:p>
          <w:p>
            <w:pPr>
              <w:pStyle w:val="null3"/>
              <w:ind w:firstLine="400"/>
            </w:pPr>
            <w:r>
              <w:rPr>
                <w:rFonts w:ascii="仿宋_GB2312" w:hAnsi="仿宋_GB2312" w:cs="仿宋_GB2312" w:eastAsia="仿宋_GB2312"/>
              </w:rPr>
              <w:t>1.人员配置：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ind w:firstLine="200"/>
            </w:pPr>
            <w:r>
              <w:rPr>
                <w:rFonts w:ascii="仿宋_GB2312" w:hAnsi="仿宋_GB2312" w:cs="仿宋_GB2312" w:eastAsia="仿宋_GB2312"/>
              </w:rPr>
              <w:t>2.专业设备：提供具有履行本合同所必需的设备和专业技术能力的说明及承诺书。</w:t>
            </w:r>
          </w:p>
          <w:p>
            <w:pPr>
              <w:pStyle w:val="null3"/>
              <w:ind w:firstLine="200"/>
            </w:pPr>
            <w:r>
              <w:rPr>
                <w:rFonts w:ascii="仿宋_GB2312" w:hAnsi="仿宋_GB2312" w:cs="仿宋_GB2312" w:eastAsia="仿宋_GB2312"/>
              </w:rPr>
              <w:t>3.服务标准：合格，应符合国家相关技术标准和陕西省具体要求。</w:t>
            </w:r>
          </w:p>
          <w:p>
            <w:pPr>
              <w:pStyle w:val="null3"/>
              <w:ind w:firstLine="200"/>
            </w:pPr>
            <w:r>
              <w:rPr>
                <w:rFonts w:ascii="仿宋_GB2312" w:hAnsi="仿宋_GB2312" w:cs="仿宋_GB2312" w:eastAsia="仿宋_GB2312"/>
              </w:rPr>
              <w:t>4.成果交付要求：包括监理规划、监理例会纪要及约定的专项报告等。</w:t>
            </w:r>
          </w:p>
          <w:p>
            <w:pPr>
              <w:pStyle w:val="null3"/>
              <w:ind w:firstLine="200"/>
            </w:pPr>
            <w:r>
              <w:rPr>
                <w:rFonts w:ascii="仿宋_GB2312" w:hAnsi="仿宋_GB2312" w:cs="仿宋_GB2312" w:eastAsia="仿宋_GB2312"/>
              </w:rPr>
              <w:t>5.质量验收标准或规范：各项具体工作的质量标准和作业规范，按国家相关标准、规范执行。</w:t>
            </w:r>
          </w:p>
          <w:p>
            <w:pPr>
              <w:pStyle w:val="null3"/>
            </w:pPr>
            <w:r>
              <w:rPr>
                <w:rFonts w:ascii="仿宋_GB2312" w:hAnsi="仿宋_GB2312" w:cs="仿宋_GB2312" w:eastAsia="仿宋_GB2312"/>
                <w:b/>
              </w:rPr>
              <w:t>三、商务要求</w:t>
            </w:r>
          </w:p>
          <w:p>
            <w:pPr>
              <w:pStyle w:val="null3"/>
              <w:ind w:firstLine="200"/>
            </w:pPr>
            <w:r>
              <w:rPr>
                <w:rFonts w:ascii="仿宋_GB2312" w:hAnsi="仿宋_GB2312" w:cs="仿宋_GB2312" w:eastAsia="仿宋_GB2312"/>
              </w:rPr>
              <w:t>1.服</w:t>
            </w:r>
            <w:r>
              <w:rPr>
                <w:rFonts w:ascii="仿宋_GB2312" w:hAnsi="仿宋_GB2312" w:cs="仿宋_GB2312" w:eastAsia="仿宋_GB2312"/>
              </w:rPr>
              <w:t>务期限：</w:t>
            </w:r>
            <w:r>
              <w:rPr>
                <w:rFonts w:ascii="仿宋_GB2312" w:hAnsi="仿宋_GB2312" w:cs="仿宋_GB2312" w:eastAsia="仿宋_GB2312"/>
              </w:rPr>
              <w:t>365日历天(具体开工日期以发包人书面通知为准，监理服务期与施工工期同步）本监理服务合同自合同签订起开始实施，至全部项目竣工验收合格后结束。</w:t>
            </w:r>
          </w:p>
          <w:p>
            <w:pPr>
              <w:pStyle w:val="null3"/>
              <w:ind w:firstLine="200"/>
            </w:pPr>
            <w:r>
              <w:rPr>
                <w:rFonts w:ascii="仿宋_GB2312" w:hAnsi="仿宋_GB2312" w:cs="仿宋_GB2312" w:eastAsia="仿宋_GB2312"/>
              </w:rPr>
              <w:t>2.款项结算</w:t>
            </w:r>
          </w:p>
          <w:p>
            <w:pPr>
              <w:pStyle w:val="null3"/>
            </w:pPr>
            <w:r>
              <w:rPr>
                <w:rFonts w:ascii="仿宋_GB2312" w:hAnsi="仿宋_GB2312" w:cs="仿宋_GB2312" w:eastAsia="仿宋_GB2312"/>
              </w:rPr>
              <w:t>合同签订后</w:t>
            </w:r>
            <w:r>
              <w:rPr>
                <w:rFonts w:ascii="仿宋_GB2312" w:hAnsi="仿宋_GB2312" w:cs="仿宋_GB2312" w:eastAsia="仿宋_GB2312"/>
              </w:rPr>
              <w:t>，达到付款条件起</w:t>
            </w:r>
            <w:r>
              <w:rPr>
                <w:rFonts w:ascii="仿宋_GB2312" w:hAnsi="仿宋_GB2312" w:cs="仿宋_GB2312" w:eastAsia="仿宋_GB2312"/>
              </w:rPr>
              <w:t>60</w:t>
            </w:r>
            <w:r>
              <w:rPr>
                <w:rFonts w:ascii="仿宋_GB2312" w:hAnsi="仿宋_GB2312" w:cs="仿宋_GB2312" w:eastAsia="仿宋_GB2312"/>
              </w:rPr>
              <w:t>日内，</w:t>
            </w:r>
            <w:r>
              <w:rPr>
                <w:rFonts w:ascii="仿宋_GB2312" w:hAnsi="仿宋_GB2312" w:cs="仿宋_GB2312" w:eastAsia="仿宋_GB2312"/>
              </w:rPr>
              <w:t>甲方向乙方支付合同总价款的</w:t>
            </w:r>
            <w:r>
              <w:rPr>
                <w:rFonts w:ascii="仿宋_GB2312" w:hAnsi="仿宋_GB2312" w:cs="仿宋_GB2312" w:eastAsia="仿宋_GB2312"/>
              </w:rPr>
              <w:t>30%作为预付款</w:t>
            </w:r>
            <w:r>
              <w:rPr>
                <w:rFonts w:ascii="仿宋_GB2312" w:hAnsi="仿宋_GB2312" w:cs="仿宋_GB2312" w:eastAsia="仿宋_GB2312"/>
              </w:rPr>
              <w:t>。</w:t>
            </w:r>
          </w:p>
          <w:p>
            <w:pPr>
              <w:pStyle w:val="null3"/>
              <w:jc w:val="both"/>
            </w:pPr>
            <w:r>
              <w:rPr>
                <w:rFonts w:ascii="仿宋_GB2312" w:hAnsi="仿宋_GB2312" w:cs="仿宋_GB2312" w:eastAsia="仿宋_GB2312"/>
              </w:rPr>
              <w:t>全部工程量竣工验收合格后，达到付款条件起60日内，一次性付清剩余全部监理费用，支付合同总金额的70%。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365日历天（具体开工日期以发包人书面通知为准，监理服务期与施工工期同步）本监理服务合同自合同签订起开始实施，至全部项目竣工验收合格后结束。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现行的国家标准或国家行政部门颁布的法律法规、规章制度等。三、采购人根据验收依据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全部工程量竣工验收合格后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供应商须具备建设部门颁发的工程监理综合资质或市政公用工程专业监理乙级及以上资质（含乙级）。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项目总监资格要求</w:t>
            </w:r>
          </w:p>
        </w:tc>
        <w:tc>
          <w:tcPr>
            <w:tcW w:type="dxa" w:w="3322"/>
          </w:tcPr>
          <w:p>
            <w:pPr>
              <w:pStyle w:val="null3"/>
            </w:pPr>
            <w:r>
              <w:rPr>
                <w:rFonts w:ascii="仿宋_GB2312" w:hAnsi="仿宋_GB2312" w:cs="仿宋_GB2312" w:eastAsia="仿宋_GB2312"/>
              </w:rPr>
              <w:t>拟派总监理工程师须具备市政公用工程专业国家注册监理工程师执业资格，在本单位注册，且未担任其他在建项目的总监理工程师。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（1）评审内容： 针对本项目的实施方案进行综合评审，内容包含：①本项目的基本情况及项目背景分析、②工作目标、③监理范围、④服务实施计划(服务工作流程)。 （2）评审依据： 以上四项评审内容无缺项，工作组织科学合理，技术框架清晰完善，专门针对本项目编制，能够保障项目顺利实施的得20分。 每有一项内容缺失或者内容非针对于本项目扣5分。以上服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（1）评审内容： 供应商针对本项目服务要求提供的质量保障措施，包含但不限于：①监理服务工作依据、②合同及信息管理控制措施、③投资控制措施、④安全及文明施工管理控制措施。 （2）评审依据： 以上四项评审内容无缺项，工作组织科学合理，制定的质量保障体系完整，措施具有针对性和可操作性，能够保障项目顺利实施的得20分。 每有一项内容缺失或者内容非针对于本项目扣5分。 以上服务内容每有一项缺陷扣2分，扣完为止。（缺陷是指：内容不完整、缺少关键点、针对性不强、内容表述前后不一致、现有技术条件下不可能出现的及其他不利于项目实施的情形等任意一种情形）。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实施能力</w:t>
            </w:r>
          </w:p>
        </w:tc>
        <w:tc>
          <w:tcPr>
            <w:tcW w:type="dxa" w:w="2492"/>
          </w:tcPr>
          <w:p>
            <w:pPr>
              <w:pStyle w:val="null3"/>
            </w:pPr>
            <w:r>
              <w:rPr>
                <w:rFonts w:ascii="仿宋_GB2312" w:hAnsi="仿宋_GB2312" w:cs="仿宋_GB2312" w:eastAsia="仿宋_GB2312"/>
              </w:rPr>
              <w:t>（1）评审内容： 供应商针对本项目的组织实施能力方案，主要包括：①组织协调方案、②监理工作程序（有清晰的工作流程图、工作准则）、③工作进度控制措施。 （2）评审依据： 以上三项评审内容无缺项详细全面，针对性强、科学合理，能够保障项目顺利实施的得15分。 每有一项内容缺失或者内容非针对于本项目扣5分。以上服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（1）评审内容： 根据供应商针对本项目提供的监理服务重点、难点分析方案进行综合评审，方案包含但不限于：①项目实施过程中的重点、难点理解分析；②关键性技术问题分析及应对措施。 （2）评审依据： 以上两项评审内容无缺项，专门针对本项目编制，符合本项目实际情况，能够保障项目顺利实施的得10分。 每有一项内容缺失或者内容非针对于本项目扣5分，以上服务内容每有一项缺陷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供应商针对本项目采购需求提供服务承诺，包含但不限于：①监理质量服务承诺、②监理进度承诺、③承诺在项目建设期间派监理工程师全过程驻场进行监理作业、④及时响应并积极配合采购人的有关要求。 （2）评审依据： 以上四项评审内容无缺项，专门针对本项目编制，符合本项目实际情况，能够保障项目顺利实施的得12分。 每有一项内容缺失或者内容非针对于本项目扣3分，以上服务内容每有一项缺陷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（1）评审内容： 供应商配置投入履行合同所必需的各类设施设备（不限于专业设备、辅助设备、工具、软件等）保证项目顺利实施。 （2）评审依据： ①配备的检测设备种类齐全、合理，完全满足本工程要求，设备性能良好能随时投入使用，且为本公司自有设备或市场租赁的计 3-4分;②配备的检测设备种类基本齐全合理，能基本满足本工程要求，且为本公司自有设备或市场租赁的计1-2分；③配备的检测设备种类不齐全或不合理，不能满足本工程要求的计0分。 (注:提供设备购买发票或租赁合同等证明材料。)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（1）专业技术人员配备: ①专业监理工程师，至少配备两名，每多配备1人得1分，最高得2分、 ②监理员，每提供1人得1分，最高得2分。 (注:须提供以上人员有效执业资格证书或岗位证书和身份证复印件加盖单位公章。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供应商2022年1月1日至今类似项目业绩，每提供一个类似项目业绩计2.5分，最高计5分。 （业绩资料以合同签订时间为准，提供合同复印件或扫描件）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