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版本号：SCIT-ZC-SX2025080002L120251111001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2025年第一批省级农业专项资金项目（农作物病虫害防控项目）（第二次）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SCIT-ZC-SX2025080002L1</w:t>
      </w:r>
      <w:r>
        <w:br/>
      </w:r>
      <w:r>
        <w:br/>
      </w:r>
      <w:r>
        <w:br/>
      </w:r>
    </w:p>
    <w:p>
      <w:pPr>
        <w:pStyle w:val="null3"/>
        <w:jc w:val="center"/>
        <w:outlineLvl w:val="2"/>
      </w:pPr>
      <w:r>
        <w:rPr>
          <w:rFonts w:ascii="仿宋_GB2312" w:hAnsi="仿宋_GB2312" w:cs="仿宋_GB2312" w:eastAsia="仿宋_GB2312"/>
          <w:sz w:val="28"/>
          <w:b/>
        </w:rPr>
        <w:t>西安市高陵区农业技术推广中心</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西安市高陵区农业技术推广中心</w:t>
      </w:r>
      <w:r>
        <w:rPr>
          <w:rFonts w:ascii="仿宋_GB2312" w:hAnsi="仿宋_GB2312" w:cs="仿宋_GB2312" w:eastAsia="仿宋_GB2312"/>
        </w:rPr>
        <w:t>委托，拟对</w:t>
      </w:r>
      <w:r>
        <w:rPr>
          <w:rFonts w:ascii="仿宋_GB2312" w:hAnsi="仿宋_GB2312" w:cs="仿宋_GB2312" w:eastAsia="仿宋_GB2312"/>
        </w:rPr>
        <w:t>2025年第一批省级农业专项资金项目（农作物病虫害防控项目）（第二次）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SCIT-ZC-SX2025080002L1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2025年第一批省级农业专项资金项目（农作物病虫害防控项目）（第二次）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本项目共1个包，拟选择农作物病虫害防控单位一名；（具体详见磋商文件）； 项目用途：农作物病虫害防控； 采购预算：450000元；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采购包1（农作物病虫害防控项目）：属于专门面向中小企业采购。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1、法定代表人授权书及被授权人身份证明：法定代表人授权书及被授权人身份证明（法定代表人直接参与磋商只须提交其身份证明）； 按采购文件规定格式提供授权书及法定代表人、被授权人身份证明； 供应商需在项目电子化交易系统中按要求进行电子签章。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 注：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西安市高陵区环城北路中段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西安市高陵区农业技术推广中心经办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18991258001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连娟、徐歆沂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代理服务费收费标准：代理服务费收费标准：以成交金额计算，按国家标准（国家计委计价格[2002]1980号）收取 收款单位：四川国际招标有限责任公司陕西分公司 开户行：中国民生银行股份有限公司西安高新开发区支行 银行账号：600582071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西安市高陵区农业技术推广中心</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西安市高陵区农业技术推广中心</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按照本项目磋商文件、成交供应商响应文件及合同进行验收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联系人：马旭</w:t>
      </w:r>
    </w:p>
    <w:p>
      <w:pPr>
        <w:pStyle w:val="null3"/>
      </w:pPr>
      <w:r>
        <w:rPr>
          <w:rFonts w:ascii="仿宋_GB2312" w:hAnsi="仿宋_GB2312" w:cs="仿宋_GB2312" w:eastAsia="仿宋_GB2312"/>
        </w:rPr>
        <w:t>联系电话：029-88854271-8008</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本项目共1个包，拟选择农作物病虫害防控单位一名；（具体详见磋商文件）； 项目用途：农作物病虫害防； 采购预算：450000元；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农作物病虫害防控</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标的名称：农作物病虫害防控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服务要求</w:t>
            </w:r>
          </w:p>
          <w:p>
            <w:pPr>
              <w:pStyle w:val="null3"/>
            </w:pPr>
            <w:r>
              <w:rPr>
                <w:rFonts w:ascii="仿宋_GB2312" w:hAnsi="仿宋_GB2312" w:cs="仿宋_GB2312" w:eastAsia="仿宋_GB2312"/>
                <w:sz w:val="20"/>
              </w:rPr>
              <w:t>（一）粮食作物重大病虫防控。购买社会化服务（包含防治药剂、飞防服务），开展小麦或玉米重大病虫应急防控，实施面积</w:t>
            </w:r>
            <w:r>
              <w:rPr>
                <w:rFonts w:ascii="仿宋_GB2312" w:hAnsi="仿宋_GB2312" w:cs="仿宋_GB2312" w:eastAsia="仿宋_GB2312"/>
                <w:sz w:val="20"/>
              </w:rPr>
              <w:t>≥5000亩。</w:t>
            </w:r>
          </w:p>
          <w:p>
            <w:pPr>
              <w:pStyle w:val="null3"/>
            </w:pPr>
            <w:r>
              <w:rPr>
                <w:rFonts w:ascii="仿宋_GB2312" w:hAnsi="仿宋_GB2312" w:cs="仿宋_GB2312" w:eastAsia="仿宋_GB2312"/>
                <w:sz w:val="20"/>
              </w:rPr>
              <w:t>（二）粮食农药减量控害示范区。夏玉米大喇叭口期至灌浆期依托专业化防治组织，开展</w:t>
            </w:r>
            <w:r>
              <w:rPr>
                <w:rFonts w:ascii="仿宋_GB2312" w:hAnsi="仿宋_GB2312" w:cs="仿宋_GB2312" w:eastAsia="仿宋_GB2312"/>
                <w:sz w:val="20"/>
              </w:rPr>
              <w:t>“一喷多促”专业化统防统治（包含防治药剂、飞防服务），实施面积≥2500亩。</w:t>
            </w:r>
          </w:p>
          <w:p>
            <w:pPr>
              <w:pStyle w:val="null3"/>
            </w:pPr>
            <w:r>
              <w:rPr>
                <w:rFonts w:ascii="仿宋_GB2312" w:hAnsi="仿宋_GB2312" w:cs="仿宋_GB2312" w:eastAsia="仿宋_GB2312"/>
                <w:sz w:val="20"/>
              </w:rPr>
              <w:t>（三）蔬菜绿色防控示范区。集成示范推广农作物健康栽培、免疫诱抗、理化诱控、生物防治和科学使用化学农药等</w:t>
            </w:r>
            <w:r>
              <w:rPr>
                <w:rFonts w:ascii="仿宋_GB2312" w:hAnsi="仿宋_GB2312" w:cs="仿宋_GB2312" w:eastAsia="仿宋_GB2312"/>
                <w:sz w:val="20"/>
              </w:rPr>
              <w:t>“五大”绿色防控技术，计划实施面积60亩，其中核心示范区20亩，一般示范区40亩。</w:t>
            </w:r>
          </w:p>
          <w:p>
            <w:pPr>
              <w:pStyle w:val="null3"/>
            </w:pPr>
            <w:r>
              <w:rPr>
                <w:rFonts w:ascii="仿宋_GB2312" w:hAnsi="仿宋_GB2312" w:cs="仿宋_GB2312" w:eastAsia="仿宋_GB2312"/>
                <w:sz w:val="20"/>
              </w:rPr>
              <w:t>（四）苹果蠹蛾监测点及消杀。一是用于采购苹果蠹蛾诱捕器及诱芯，计划采购</w:t>
            </w:r>
            <w:r>
              <w:rPr>
                <w:rFonts w:ascii="仿宋_GB2312" w:hAnsi="仿宋_GB2312" w:cs="仿宋_GB2312" w:eastAsia="仿宋_GB2312"/>
                <w:sz w:val="20"/>
              </w:rPr>
              <w:t>100套；二是对途径我区的京昆高速、临兴高速、延西高速等收费站出入口及高陵境内设置的高速公路服务区周边200米范围（除居住区、鱼塘、水源地等以外）内绿化带、景观树开展消杀服务（含飞防服务、防治药剂），于2026年6-9月期间开展4次消杀服务，最终以实际作业面积据实支付。</w:t>
            </w:r>
          </w:p>
          <w:p>
            <w:pPr>
              <w:pStyle w:val="null3"/>
            </w:pPr>
            <w:r>
              <w:rPr>
                <w:rFonts w:ascii="仿宋_GB2312" w:hAnsi="仿宋_GB2312" w:cs="仿宋_GB2312" w:eastAsia="仿宋_GB2312"/>
                <w:sz w:val="20"/>
              </w:rPr>
              <w:t>（五）玉米病虫害综合防治技术研究。购买社会化服务，采用植保无人机投放赤眼蜂生物防治玉米螟（包含</w:t>
            </w:r>
            <w:r>
              <w:rPr>
                <w:rFonts w:ascii="仿宋_GB2312" w:hAnsi="仿宋_GB2312" w:cs="仿宋_GB2312" w:eastAsia="仿宋_GB2312"/>
                <w:sz w:val="20"/>
              </w:rPr>
              <w:t>2次蜂球、无人机投放服务及害虫性诱监测），实施面积≥2860亩。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0"/>
              </w:rPr>
              <w:t>技术要求：</w:t>
            </w:r>
          </w:p>
          <w:p>
            <w:pPr>
              <w:pStyle w:val="null3"/>
              <w:spacing w:before="105" w:after="105"/>
              <w:jc w:val="left"/>
            </w:pPr>
            <w:r>
              <w:rPr>
                <w:rFonts w:ascii="仿宋_GB2312" w:hAnsi="仿宋_GB2312" w:cs="仿宋_GB2312" w:eastAsia="仿宋_GB2312"/>
                <w:sz w:val="20"/>
              </w:rPr>
              <w:t>1.智能病虫情监测设备、鼠情智能监测设备、苹果蠹蛾诱捕器及诱芯符合国家标准；</w:t>
            </w:r>
          </w:p>
          <w:p>
            <w:pPr>
              <w:pStyle w:val="null3"/>
              <w:spacing w:before="105" w:after="105"/>
              <w:jc w:val="left"/>
            </w:pPr>
            <w:r>
              <w:rPr>
                <w:rFonts w:ascii="仿宋_GB2312" w:hAnsi="仿宋_GB2312" w:cs="仿宋_GB2312" w:eastAsia="仿宋_GB2312"/>
                <w:sz w:val="20"/>
              </w:rPr>
              <w:t>2.药肥使用</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1）小麦重大病虫防控药肥：杀虫剂在噻虫胺、噻虫嗪、联苯菊酯（单剂及其复配制剂）等任选一种使用，杀菌剂在丙硫菌唑、氰烯菌酯、氟唑菌酰羟胺（单剂及其复配置剂）等任选一种使用，叶面肥及生长调节剂等选用磷酸二氢钾或氨基酸水溶肥任选一种及芸苔素内酯等。</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2）玉米重大病虫防控及玉米“一喷多促”药肥：杀虫剂在氯虫苯甲酰胺、乙基多杀菌素、茚虫威（单剂及其复配制剂）等任选一种选用，杀菌剂在苯醚甲环唑、丙环唑、吡唑醚菌酯（单剂及其复配制剂）等任选一种使用，叶面肥及生长调节剂等选用磷酸二氢钾或氨基酸水溶肥任选一种及芸苔素内酯等。</w:t>
            </w:r>
          </w:p>
          <w:p>
            <w:pPr>
              <w:pStyle w:val="null3"/>
              <w:spacing w:before="105" w:after="105"/>
              <w:jc w:val="left"/>
            </w:pPr>
            <w:r>
              <w:rPr>
                <w:rFonts w:ascii="仿宋_GB2312" w:hAnsi="仿宋_GB2312" w:cs="仿宋_GB2312" w:eastAsia="仿宋_GB2312"/>
                <w:sz w:val="20"/>
              </w:rPr>
              <w:t>3.蔬菜绿色防控示范区。采购①番茄潜叶蛾迷向丝、授粉熊蜂、丽蚜小蜂各20亩用量；②番茄潜叶蛾诱捕器及诱芯40亩用量；③甜菜夜蛾诱捕器及诱芯、黄板、蓝板、捕食螨、微生物菌肥（枯草芽孢杆菌、哈茨木霉菌各60亩用量）；④蔬菜病虫害选择高效低毒低残留化学农药（苯醚甲环唑、咪鲜胺、噻虫嗪、阿维菌素、氨基寡糖素、芸苔素内酯各60亩用量）。</w:t>
            </w:r>
          </w:p>
          <w:p>
            <w:pPr>
              <w:pStyle w:val="null3"/>
              <w:spacing w:before="105" w:after="105"/>
              <w:jc w:val="left"/>
            </w:pPr>
            <w:r>
              <w:rPr>
                <w:rFonts w:ascii="仿宋_GB2312" w:hAnsi="仿宋_GB2312" w:cs="仿宋_GB2312" w:eastAsia="仿宋_GB2312"/>
                <w:sz w:val="20"/>
              </w:rPr>
              <w:t>各类物资的总采购量均以示范面积为基准，具体计算如下：农药、微生物菌肥按作物全生育期内常规施药施肥</w:t>
            </w:r>
            <w:r>
              <w:rPr>
                <w:rFonts w:ascii="仿宋_GB2312" w:hAnsi="仿宋_GB2312" w:cs="仿宋_GB2312" w:eastAsia="仿宋_GB2312"/>
                <w:sz w:val="20"/>
              </w:rPr>
              <w:t>4次的用量估算；理化诱控设备根据其技术要求的更换周期进行配置。</w:t>
            </w:r>
          </w:p>
          <w:p>
            <w:pPr>
              <w:pStyle w:val="null3"/>
              <w:spacing w:before="105" w:after="105"/>
              <w:jc w:val="left"/>
            </w:pPr>
            <w:r>
              <w:rPr>
                <w:rFonts w:ascii="仿宋_GB2312" w:hAnsi="仿宋_GB2312" w:cs="仿宋_GB2312" w:eastAsia="仿宋_GB2312"/>
                <w:sz w:val="20"/>
              </w:rPr>
              <w:t>4.苹果蠹蛾消杀。在氯虫苯甲酰胺、甲氨基阿维菌素苯甲酸盐、茚虫威、苏云金杆菌、多杀菌素等（单剂及其复配制剂）任选一种使用。</w:t>
            </w:r>
          </w:p>
          <w:p>
            <w:pPr>
              <w:pStyle w:val="null3"/>
              <w:spacing w:before="105" w:after="105"/>
              <w:jc w:val="left"/>
            </w:pPr>
            <w:r>
              <w:rPr>
                <w:rFonts w:ascii="仿宋_GB2312" w:hAnsi="仿宋_GB2312" w:cs="仿宋_GB2312" w:eastAsia="仿宋_GB2312"/>
                <w:sz w:val="20"/>
              </w:rPr>
              <w:t>5.植保无人机投放赤眼蜂。（1）玉米示范田块布设玉米螟性诱剂及其配套诱捕器10套、棉铃虫</w:t>
            </w:r>
            <w:r>
              <w:rPr>
                <w:rFonts w:ascii="仿宋_GB2312" w:hAnsi="仿宋_GB2312" w:cs="仿宋_GB2312" w:eastAsia="仿宋_GB2312"/>
                <w:sz w:val="20"/>
              </w:rPr>
              <w:t>性诱剂及其配套诱捕器</w:t>
            </w:r>
            <w:r>
              <w:rPr>
                <w:rFonts w:ascii="仿宋_GB2312" w:hAnsi="仿宋_GB2312" w:cs="仿宋_GB2312" w:eastAsia="仿宋_GB2312"/>
                <w:sz w:val="20"/>
              </w:rPr>
              <w:t>5套 。</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2）赤眼蜂平均单卵蜂数≥80头，寄生率≥90%，羽化率≥75%，绿卵率3%以下。</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3）释放数量及分装：每亩释放赤眼蜂总量2万头-3万头，分2次释放，每次释放1万头-1.5万头。每次释放量分装于5个放蜂球/亩，确保投放均匀。两次释放间隔1周。</w:t>
            </w:r>
          </w:p>
          <w:p>
            <w:pPr>
              <w:pStyle w:val="null3"/>
              <w:spacing w:before="105" w:after="105"/>
              <w:jc w:val="left"/>
            </w:pPr>
            <w:r>
              <w:rPr>
                <w:rFonts w:ascii="仿宋_GB2312" w:hAnsi="仿宋_GB2312" w:cs="仿宋_GB2312" w:eastAsia="仿宋_GB2312"/>
                <w:sz w:val="20"/>
              </w:rPr>
              <w:t>其他要求：</w:t>
            </w:r>
          </w:p>
          <w:p>
            <w:pPr>
              <w:pStyle w:val="null3"/>
              <w:spacing w:before="105" w:after="105"/>
              <w:jc w:val="left"/>
            </w:pPr>
            <w:r>
              <w:rPr>
                <w:rFonts w:ascii="仿宋_GB2312" w:hAnsi="仿宋_GB2312" w:cs="仿宋_GB2312" w:eastAsia="仿宋_GB2312"/>
                <w:sz w:val="20"/>
              </w:rPr>
              <w:t>1.供应商在服务过程中提供的农药产品必须具有“四证”，在服务时提供给采购人备查。（供应商需提供相应承诺函，并承诺在交货验收时须提供所供农药的证书）</w:t>
            </w:r>
          </w:p>
          <w:p>
            <w:pPr>
              <w:pStyle w:val="null3"/>
              <w:spacing w:before="105" w:after="105"/>
              <w:jc w:val="left"/>
            </w:pPr>
            <w:r>
              <w:rPr>
                <w:rFonts w:ascii="仿宋_GB2312" w:hAnsi="仿宋_GB2312" w:cs="仿宋_GB2312" w:eastAsia="仿宋_GB2312"/>
                <w:sz w:val="20"/>
              </w:rPr>
              <w:t>2.供应商在服务过程中提供的肥料产品必须具有“肥料登记证”，在服务时提供给采购人备查。（供应商需提供相应承诺函，并承诺在交货验收时须提供所供肥料的证书）</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设施设备要求</w:t>
            </w:r>
          </w:p>
          <w:tbl>
            <w:tblPr>
              <w:tblBorders>
                <w:top w:val="none" w:color="000000" w:sz="4"/>
                <w:left w:val="none" w:color="000000" w:sz="4"/>
                <w:bottom w:val="none" w:color="000000" w:sz="4"/>
                <w:right w:val="none" w:color="000000" w:sz="4"/>
                <w:insideH w:val="none"/>
                <w:insideV w:val="none"/>
              </w:tblBorders>
            </w:tblPr>
            <w:tblGrid>
              <w:gridCol w:w="361"/>
              <w:gridCol w:w="1958"/>
              <w:gridCol w:w="229"/>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设备名称</w:t>
                  </w:r>
                </w:p>
              </w:tc>
              <w:tc>
                <w:tcPr>
                  <w:tcW w:type="dxa" w:w="1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技术参数要求</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r>
                    <w:rPr>
                      <w:rFonts w:ascii="仿宋_GB2312" w:hAnsi="仿宋_GB2312" w:cs="仿宋_GB2312" w:eastAsia="仿宋_GB2312"/>
                      <w:sz w:val="20"/>
                    </w:rPr>
                    <w:t>★</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智能病虫情监测设备</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.飞行器：</w:t>
                  </w:r>
                </w:p>
                <w:p>
                  <w:pPr>
                    <w:pStyle w:val="null3"/>
                    <w:jc w:val="both"/>
                  </w:pPr>
                  <w:r>
                    <w:rPr>
                      <w:rFonts w:ascii="仿宋_GB2312" w:hAnsi="仿宋_GB2312" w:cs="仿宋_GB2312" w:eastAsia="仿宋_GB2312"/>
                      <w:sz w:val="20"/>
                    </w:rPr>
                    <w:t>1.最长续航里程：≥30km；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2.续航时间：≥40min</w:t>
                  </w:r>
                </w:p>
                <w:p>
                  <w:pPr>
                    <w:pStyle w:val="null3"/>
                    <w:jc w:val="both"/>
                  </w:pPr>
                  <w:r>
                    <w:rPr>
                      <w:rFonts w:ascii="仿宋_GB2312" w:hAnsi="仿宋_GB2312" w:cs="仿宋_GB2312" w:eastAsia="仿宋_GB2312"/>
                      <w:sz w:val="20"/>
                    </w:rPr>
                    <w:t>3.工作环境温度：-10℃-40℃</w:t>
                  </w:r>
                </w:p>
                <w:p>
                  <w:pPr>
                    <w:pStyle w:val="null3"/>
                    <w:jc w:val="both"/>
                  </w:pPr>
                  <w:r>
                    <w:rPr>
                      <w:rFonts w:ascii="仿宋_GB2312" w:hAnsi="仿宋_GB2312" w:cs="仿宋_GB2312" w:eastAsia="仿宋_GB2312"/>
                      <w:sz w:val="20"/>
                    </w:rPr>
                    <w:t>4.飞机可折叠折叠后的尺寸：长≤ 250mm，宽 ≤100 mm，高≤ 150mm</w:t>
                  </w:r>
                </w:p>
                <w:p>
                  <w:pPr>
                    <w:pStyle w:val="null3"/>
                    <w:jc w:val="both"/>
                  </w:pPr>
                  <w:r>
                    <w:rPr>
                      <w:rFonts w:ascii="仿宋_GB2312" w:hAnsi="仿宋_GB2312" w:cs="仿宋_GB2312" w:eastAsia="仿宋_GB2312"/>
                      <w:sz w:val="20"/>
                    </w:rPr>
                    <w:t>5.最大抗风速度：≥12米/秒</w:t>
                  </w:r>
                </w:p>
                <w:p>
                  <w:pPr>
                    <w:pStyle w:val="null3"/>
                    <w:jc w:val="both"/>
                  </w:pPr>
                  <w:r>
                    <w:rPr>
                      <w:rFonts w:ascii="仿宋_GB2312" w:hAnsi="仿宋_GB2312" w:cs="仿宋_GB2312" w:eastAsia="仿宋_GB2312"/>
                      <w:sz w:val="20"/>
                    </w:rPr>
                    <w:t>6.飞机轴距：≤400mm</w:t>
                  </w:r>
                </w:p>
                <w:p>
                  <w:pPr>
                    <w:pStyle w:val="null3"/>
                    <w:jc w:val="both"/>
                  </w:pPr>
                  <w:r>
                    <w:rPr>
                      <w:rFonts w:ascii="仿宋_GB2312" w:hAnsi="仿宋_GB2312" w:cs="仿宋_GB2312" w:eastAsia="仿宋_GB2312"/>
                      <w:sz w:val="20"/>
                    </w:rPr>
                    <w:t>7.通过8小时盐雾测试（提供国家认可的第三方检测机构出具的检测报告或产品彩页）</w:t>
                  </w:r>
                </w:p>
                <w:p>
                  <w:pPr>
                    <w:pStyle w:val="null3"/>
                    <w:jc w:val="both"/>
                  </w:pPr>
                  <w:r>
                    <w:rPr>
                      <w:rFonts w:ascii="仿宋_GB2312" w:hAnsi="仿宋_GB2312" w:cs="仿宋_GB2312" w:eastAsia="仿宋_GB2312"/>
                      <w:sz w:val="20"/>
                    </w:rPr>
                    <w:t>8.通过10米自由跌落测试（提供国家认可的第三方检测机构出具的检测报告或产品彩页）</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.可见光相机：</w:t>
                  </w:r>
                </w:p>
                <w:p>
                  <w:pPr>
                    <w:pStyle w:val="null3"/>
                    <w:jc w:val="both"/>
                  </w:pPr>
                  <w:r>
                    <w:rPr>
                      <w:rFonts w:ascii="仿宋_GB2312" w:hAnsi="仿宋_GB2312" w:cs="仿宋_GB2312" w:eastAsia="仿宋_GB2312"/>
                      <w:sz w:val="20"/>
                    </w:rPr>
                    <w:t xml:space="preserve">1.影像传感器：4/3 CMOS，有效像素 </w:t>
                  </w:r>
                  <w:r>
                    <w:rPr>
                      <w:rFonts w:ascii="仿宋_GB2312" w:hAnsi="仿宋_GB2312" w:cs="仿宋_GB2312" w:eastAsia="仿宋_GB2312"/>
                      <w:sz w:val="20"/>
                    </w:rPr>
                    <w:t>≥</w:t>
                  </w:r>
                  <w:r>
                    <w:rPr>
                      <w:rFonts w:ascii="仿宋_GB2312" w:hAnsi="仿宋_GB2312" w:cs="仿宋_GB2312" w:eastAsia="仿宋_GB2312"/>
                      <w:sz w:val="20"/>
                    </w:rPr>
                    <w:t>2000 万；2.照片拍摄模式：单张拍摄：2000 万像素；定时拍摄：2000 万像素视频码率；</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.多光谱相机</w:t>
                  </w:r>
                </w:p>
                <w:p>
                  <w:pPr>
                    <w:pStyle w:val="null3"/>
                    <w:jc w:val="both"/>
                  </w:pPr>
                  <w:r>
                    <w:rPr>
                      <w:rFonts w:ascii="仿宋_GB2312" w:hAnsi="仿宋_GB2312" w:cs="仿宋_GB2312" w:eastAsia="仿宋_GB2312"/>
                      <w:sz w:val="20"/>
                    </w:rPr>
                    <w:t>1、影像传感器：1/2.8 英寸 CMOS，有效像素</w:t>
                  </w:r>
                  <w:r>
                    <w:rPr>
                      <w:rFonts w:ascii="仿宋_GB2312" w:hAnsi="仿宋_GB2312" w:cs="仿宋_GB2312" w:eastAsia="仿宋_GB2312"/>
                      <w:sz w:val="20"/>
                    </w:rPr>
                    <w:t>≥</w:t>
                  </w:r>
                  <w:r>
                    <w:rPr>
                      <w:rFonts w:ascii="仿宋_GB2312" w:hAnsi="仿宋_GB2312" w:cs="仿宋_GB2312" w:eastAsia="仿宋_GB2312"/>
                      <w:sz w:val="20"/>
                    </w:rPr>
                    <w:t>500万</w:t>
                  </w:r>
                </w:p>
                <w:p>
                  <w:pPr>
                    <w:pStyle w:val="null3"/>
                    <w:jc w:val="both"/>
                  </w:pPr>
                  <w:r>
                    <w:rPr>
                      <w:rFonts w:ascii="仿宋_GB2312" w:hAnsi="仿宋_GB2312" w:cs="仿宋_GB2312" w:eastAsia="仿宋_GB2312"/>
                      <w:sz w:val="20"/>
                    </w:rPr>
                    <w:t>2.快门速度：电子快门: 1/30~1/12800 秒</w:t>
                  </w:r>
                </w:p>
                <w:p>
                  <w:pPr>
                    <w:pStyle w:val="null3"/>
                    <w:jc w:val="both"/>
                  </w:pPr>
                  <w:r>
                    <w:rPr>
                      <w:rFonts w:ascii="仿宋_GB2312" w:hAnsi="仿宋_GB2312" w:cs="仿宋_GB2312" w:eastAsia="仿宋_GB2312"/>
                      <w:sz w:val="20"/>
                    </w:rPr>
                    <w:t>3.多光谱相机波段</w:t>
                  </w:r>
                </w:p>
                <w:p>
                  <w:pPr>
                    <w:pStyle w:val="null3"/>
                    <w:jc w:val="both"/>
                  </w:pPr>
                  <w:r>
                    <w:rPr>
                      <w:rFonts w:ascii="仿宋_GB2312" w:hAnsi="仿宋_GB2312" w:cs="仿宋_GB2312" w:eastAsia="仿宋_GB2312"/>
                      <w:sz w:val="20"/>
                    </w:rPr>
                    <w:t>绿</w:t>
                  </w:r>
                  <w:r>
                    <w:rPr>
                      <w:rFonts w:ascii="仿宋_GB2312" w:hAnsi="仿宋_GB2312" w:cs="仿宋_GB2312" w:eastAsia="仿宋_GB2312"/>
                      <w:sz w:val="20"/>
                    </w:rPr>
                    <w:t>(G)：560nm± 16nm;</w:t>
                  </w:r>
                  <w:r>
                    <w:br/>
                  </w:r>
                  <w:r>
                    <w:rPr>
                      <w:rFonts w:ascii="仿宋_GB2312" w:hAnsi="仿宋_GB2312" w:cs="仿宋_GB2312" w:eastAsia="仿宋_GB2312"/>
                      <w:sz w:val="20"/>
                    </w:rPr>
                    <w:t>红</w:t>
                  </w:r>
                  <w:r>
                    <w:rPr>
                      <w:rFonts w:ascii="仿宋_GB2312" w:hAnsi="仿宋_GB2312" w:cs="仿宋_GB2312" w:eastAsia="仿宋_GB2312"/>
                      <w:sz w:val="20"/>
                    </w:rPr>
                    <w:t>(R): 650nm± 16nm;</w:t>
                  </w:r>
                  <w:r>
                    <w:br/>
                  </w:r>
                  <w:r>
                    <w:rPr>
                      <w:rFonts w:ascii="仿宋_GB2312" w:hAnsi="仿宋_GB2312" w:cs="仿宋_GB2312" w:eastAsia="仿宋_GB2312"/>
                      <w:sz w:val="20"/>
                    </w:rPr>
                    <w:t>红边</w:t>
                  </w:r>
                  <w:r>
                    <w:rPr>
                      <w:rFonts w:ascii="仿宋_GB2312" w:hAnsi="仿宋_GB2312" w:cs="仿宋_GB2312" w:eastAsia="仿宋_GB2312"/>
                      <w:sz w:val="20"/>
                    </w:rPr>
                    <w:t>(RE): 730nm± 16nm;</w:t>
                  </w:r>
                  <w:r>
                    <w:br/>
                  </w:r>
                  <w:r>
                    <w:rPr>
                      <w:rFonts w:ascii="仿宋_GB2312" w:hAnsi="仿宋_GB2312" w:cs="仿宋_GB2312" w:eastAsia="仿宋_GB2312"/>
                      <w:sz w:val="20"/>
                    </w:rPr>
                    <w:t>近红外</w:t>
                  </w:r>
                  <w:r>
                    <w:rPr>
                      <w:rFonts w:ascii="仿宋_GB2312" w:hAnsi="仿宋_GB2312" w:cs="仿宋_GB2312" w:eastAsia="仿宋_GB2312"/>
                      <w:sz w:val="20"/>
                    </w:rPr>
                    <w:t>(NIR): 860nm± 26nm;</w:t>
                  </w:r>
                </w:p>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.感知系统：</w:t>
                  </w:r>
                </w:p>
                <w:p>
                  <w:pPr>
                    <w:pStyle w:val="null3"/>
                    <w:jc w:val="both"/>
                  </w:pPr>
                  <w:r>
                    <w:rPr>
                      <w:rFonts w:ascii="仿宋_GB2312" w:hAnsi="仿宋_GB2312" w:cs="仿宋_GB2312" w:eastAsia="仿宋_GB2312"/>
                      <w:sz w:val="20"/>
                    </w:rPr>
                    <w:t>1.感知系统类型：全向双目视觉系统，辅以机身底部红外传感器；</w:t>
                  </w:r>
                </w:p>
                <w:p>
                  <w:pPr>
                    <w:pStyle w:val="null3"/>
                    <w:jc w:val="both"/>
                  </w:pPr>
                  <w:r>
                    <w:rPr>
                      <w:rFonts w:ascii="仿宋_GB2312" w:hAnsi="仿宋_GB2312" w:cs="仿宋_GB2312" w:eastAsia="仿宋_GB2312"/>
                      <w:sz w:val="20"/>
                    </w:rPr>
                    <w:t>2.延时：≤200ms；</w:t>
                  </w:r>
                </w:p>
                <w:p>
                  <w:pPr>
                    <w:pStyle w:val="null3"/>
                    <w:jc w:val="both"/>
                  </w:pPr>
                  <w:r>
                    <w:rPr>
                      <w:rFonts w:ascii="仿宋_GB2312" w:hAnsi="仿宋_GB2312" w:cs="仿宋_GB2312" w:eastAsia="仿宋_GB2312"/>
                      <w:sz w:val="20"/>
                    </w:rPr>
                    <w:t>3.其他：支持4G模块</w:t>
                  </w:r>
                </w:p>
                <w:p>
                  <w:pPr>
                    <w:pStyle w:val="null3"/>
                    <w:jc w:val="both"/>
                  </w:pPr>
                  <w:r>
                    <w:rPr>
                      <w:rFonts w:ascii="仿宋_GB2312" w:hAnsi="仿宋_GB2312" w:cs="仿宋_GB2312" w:eastAsia="仿宋_GB2312"/>
                      <w:sz w:val="20"/>
                    </w:rPr>
                    <w:t>五</w:t>
                  </w:r>
                  <w:r>
                    <w:rPr>
                      <w:rFonts w:ascii="仿宋_GB2312" w:hAnsi="仿宋_GB2312" w:cs="仿宋_GB2312" w:eastAsia="仿宋_GB2312"/>
                      <w:sz w:val="20"/>
                    </w:rPr>
                    <w:t>.电源：电池容量：≥5000毫安</w:t>
                  </w:r>
                </w:p>
                <w:p>
                  <w:pPr>
                    <w:pStyle w:val="null3"/>
                    <w:jc w:val="both"/>
                  </w:pPr>
                  <w:r>
                    <w:rPr>
                      <w:rFonts w:ascii="仿宋_GB2312" w:hAnsi="仿宋_GB2312" w:cs="仿宋_GB2312" w:eastAsia="仿宋_GB2312"/>
                      <w:sz w:val="20"/>
                    </w:rPr>
                    <w:t>六</w:t>
                  </w:r>
                  <w:r>
                    <w:rPr>
                      <w:rFonts w:ascii="仿宋_GB2312" w:hAnsi="仿宋_GB2312" w:cs="仿宋_GB2312" w:eastAsia="仿宋_GB2312"/>
                      <w:sz w:val="20"/>
                    </w:rPr>
                    <w:t>.充电器一套</w:t>
                  </w:r>
                </w:p>
                <w:p>
                  <w:pPr>
                    <w:pStyle w:val="null3"/>
                    <w:jc w:val="both"/>
                  </w:pPr>
                  <w:r>
                    <w:rPr>
                      <w:rFonts w:ascii="仿宋_GB2312" w:hAnsi="仿宋_GB2312" w:cs="仿宋_GB2312" w:eastAsia="仿宋_GB2312"/>
                      <w:sz w:val="20"/>
                    </w:rPr>
                    <w:t>七、</w:t>
                  </w:r>
                  <w:r>
                    <w:rPr>
                      <w:rFonts w:ascii="仿宋_GB2312" w:hAnsi="仿宋_GB2312" w:cs="仿宋_GB2312" w:eastAsia="仿宋_GB2312"/>
                      <w:sz w:val="20"/>
                    </w:rPr>
                    <w:t>RTK模块：</w:t>
                  </w:r>
                </w:p>
                <w:p>
                  <w:pPr>
                    <w:pStyle w:val="null3"/>
                    <w:jc w:val="both"/>
                  </w:pPr>
                  <w:r>
                    <w:rPr>
                      <w:rFonts w:ascii="仿宋_GB2312" w:hAnsi="仿宋_GB2312" w:cs="仿宋_GB2312" w:eastAsia="仿宋_GB2312"/>
                      <w:sz w:val="20"/>
                    </w:rPr>
                    <w:t>1.接口：USB-C</w:t>
                  </w:r>
                </w:p>
                <w:p>
                  <w:pPr>
                    <w:pStyle w:val="null3"/>
                    <w:jc w:val="both"/>
                  </w:pPr>
                  <w:r>
                    <w:rPr>
                      <w:rFonts w:ascii="仿宋_GB2312" w:hAnsi="仿宋_GB2312" w:cs="仿宋_GB2312" w:eastAsia="仿宋_GB2312"/>
                      <w:sz w:val="20"/>
                    </w:rPr>
                    <w:t>2.RTK位置精度：RTK 固定解：水平：1 cm + 1 ppm；垂直：1.5 cm + 1 ppm</w:t>
                  </w:r>
                </w:p>
                <w:p>
                  <w:pPr>
                    <w:pStyle w:val="null3"/>
                    <w:jc w:val="both"/>
                  </w:pPr>
                  <w:r>
                    <w:rPr>
                      <w:rFonts w:ascii="仿宋_GB2312" w:hAnsi="仿宋_GB2312" w:cs="仿宋_GB2312" w:eastAsia="仿宋_GB2312"/>
                      <w:sz w:val="20"/>
                    </w:rPr>
                    <w:t>八、云台：</w:t>
                  </w:r>
                </w:p>
                <w:p>
                  <w:pPr>
                    <w:pStyle w:val="null3"/>
                    <w:jc w:val="both"/>
                  </w:pPr>
                  <w:r>
                    <w:rPr>
                      <w:rFonts w:ascii="仿宋_GB2312" w:hAnsi="仿宋_GB2312" w:cs="仿宋_GB2312" w:eastAsia="仿宋_GB2312"/>
                      <w:sz w:val="20"/>
                    </w:rPr>
                    <w:t>1、三轴机械云台（俯仰、横滚、平移）</w:t>
                  </w:r>
                </w:p>
                <w:p>
                  <w:pPr>
                    <w:pStyle w:val="null3"/>
                    <w:jc w:val="both"/>
                  </w:pPr>
                  <w:r>
                    <w:rPr>
                      <w:rFonts w:ascii="仿宋_GB2312" w:hAnsi="仿宋_GB2312" w:cs="仿宋_GB2312" w:eastAsia="仿宋_GB2312"/>
                      <w:sz w:val="20"/>
                    </w:rPr>
                    <w:t>2、最大控制转速（俯仰）：100°/s</w:t>
                  </w:r>
                </w:p>
                <w:p>
                  <w:pPr>
                    <w:pStyle w:val="null3"/>
                    <w:jc w:val="both"/>
                  </w:pPr>
                  <w:r>
                    <w:rPr>
                      <w:rFonts w:ascii="仿宋_GB2312" w:hAnsi="仿宋_GB2312" w:cs="仿宋_GB2312" w:eastAsia="仿宋_GB2312"/>
                      <w:sz w:val="20"/>
                    </w:rPr>
                    <w:t>3、角度抖动量：±0.007°</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鼠情智能监测设备</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1.工作温度：-20~+75℃</w:t>
                  </w:r>
                </w:p>
                <w:p>
                  <w:pPr>
                    <w:pStyle w:val="null3"/>
                    <w:jc w:val="both"/>
                  </w:pPr>
                  <w:r>
                    <w:rPr>
                      <w:rFonts w:ascii="仿宋_GB2312" w:hAnsi="仿宋_GB2312" w:cs="仿宋_GB2312" w:eastAsia="仿宋_GB2312"/>
                      <w:sz w:val="20"/>
                    </w:rPr>
                    <w:t>2.工作湿度：≤95%</w:t>
                  </w:r>
                </w:p>
                <w:p>
                  <w:pPr>
                    <w:pStyle w:val="null3"/>
                    <w:jc w:val="both"/>
                  </w:pPr>
                  <w:r>
                    <w:rPr>
                      <w:rFonts w:ascii="仿宋_GB2312" w:hAnsi="仿宋_GB2312" w:cs="仿宋_GB2312" w:eastAsia="仿宋_GB2312"/>
                      <w:sz w:val="20"/>
                    </w:rPr>
                    <w:t>3.电源：直流5±0.5V</w:t>
                  </w:r>
                </w:p>
                <w:p>
                  <w:pPr>
                    <w:pStyle w:val="null3"/>
                    <w:jc w:val="both"/>
                  </w:pPr>
                  <w:r>
                    <w:rPr>
                      <w:rFonts w:ascii="仿宋_GB2312" w:hAnsi="仿宋_GB2312" w:cs="仿宋_GB2312" w:eastAsia="仿宋_GB2312"/>
                      <w:sz w:val="20"/>
                    </w:rPr>
                    <w:t>4.工作电压：4.75-5.25V</w:t>
                  </w:r>
                </w:p>
                <w:p>
                  <w:pPr>
                    <w:pStyle w:val="null3"/>
                    <w:jc w:val="both"/>
                  </w:pPr>
                  <w:r>
                    <w:rPr>
                      <w:rFonts w:ascii="仿宋_GB2312" w:hAnsi="仿宋_GB2312" w:cs="仿宋_GB2312" w:eastAsia="仿宋_GB2312"/>
                      <w:sz w:val="20"/>
                    </w:rPr>
                    <w:t>5.工作电流：&lt;800mA</w:t>
                  </w:r>
                </w:p>
                <w:p>
                  <w:pPr>
                    <w:pStyle w:val="null3"/>
                    <w:jc w:val="both"/>
                  </w:pPr>
                  <w:r>
                    <w:rPr>
                      <w:rFonts w:ascii="仿宋_GB2312" w:hAnsi="仿宋_GB2312" w:cs="仿宋_GB2312" w:eastAsia="仿宋_GB2312"/>
                      <w:sz w:val="20"/>
                    </w:rPr>
                    <w:t>6.额定功率：≥3W</w:t>
                  </w:r>
                </w:p>
                <w:p>
                  <w:pPr>
                    <w:pStyle w:val="null3"/>
                    <w:jc w:val="both"/>
                  </w:pPr>
                  <w:r>
                    <w:rPr>
                      <w:rFonts w:ascii="仿宋_GB2312" w:hAnsi="仿宋_GB2312" w:cs="仿宋_GB2312" w:eastAsia="仿宋_GB2312"/>
                      <w:sz w:val="20"/>
                    </w:rPr>
                    <w:t>7.网络：4G</w:t>
                  </w:r>
                </w:p>
                <w:p>
                  <w:pPr>
                    <w:pStyle w:val="null3"/>
                    <w:jc w:val="both"/>
                  </w:pPr>
                  <w:r>
                    <w:rPr>
                      <w:rFonts w:ascii="仿宋_GB2312" w:hAnsi="仿宋_GB2312" w:cs="仿宋_GB2312" w:eastAsia="仿宋_GB2312"/>
                      <w:sz w:val="20"/>
                    </w:rPr>
                    <w:t>8.对焦方式：定焦</w:t>
                  </w:r>
                </w:p>
                <w:p>
                  <w:pPr>
                    <w:pStyle w:val="null3"/>
                    <w:jc w:val="both"/>
                  </w:pPr>
                  <w:r>
                    <w:rPr>
                      <w:rFonts w:ascii="仿宋_GB2312" w:hAnsi="仿宋_GB2312" w:cs="仿宋_GB2312" w:eastAsia="仿宋_GB2312"/>
                      <w:sz w:val="20"/>
                    </w:rPr>
                    <w:t>9.工作模式：定时唤醒、定时拍摄</w:t>
                  </w:r>
                </w:p>
                <w:p>
                  <w:pPr>
                    <w:pStyle w:val="null3"/>
                    <w:jc w:val="both"/>
                  </w:pPr>
                  <w:r>
                    <w:rPr>
                      <w:rFonts w:ascii="仿宋_GB2312" w:hAnsi="仿宋_GB2312" w:cs="仿宋_GB2312" w:eastAsia="仿宋_GB2312"/>
                      <w:sz w:val="20"/>
                    </w:rPr>
                    <w:t>10.拍摄模式：照片</w:t>
                  </w:r>
                </w:p>
                <w:p>
                  <w:pPr>
                    <w:pStyle w:val="null3"/>
                    <w:jc w:val="both"/>
                  </w:pPr>
                  <w:r>
                    <w:rPr>
                      <w:rFonts w:ascii="仿宋_GB2312" w:hAnsi="仿宋_GB2312" w:cs="仿宋_GB2312" w:eastAsia="仿宋_GB2312"/>
                      <w:sz w:val="20"/>
                    </w:rPr>
                    <w:t>11.最大像素：1280×720</w:t>
                  </w:r>
                </w:p>
                <w:p>
                  <w:pPr>
                    <w:pStyle w:val="null3"/>
                    <w:jc w:val="both"/>
                  </w:pPr>
                  <w:r>
                    <w:rPr>
                      <w:rFonts w:ascii="仿宋_GB2312" w:hAnsi="仿宋_GB2312" w:cs="仿宋_GB2312" w:eastAsia="仿宋_GB2312"/>
                      <w:sz w:val="20"/>
                    </w:rPr>
                    <w:t>12.存储格式：BMP/JPGE</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苹果蠹蛾诱捕器及诱芯</w:t>
                  </w:r>
                </w:p>
              </w:tc>
              <w:tc>
                <w:tcPr>
                  <w:tcW w:type="dxa" w:w="1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苹果蠹蛾诱捕器</w:t>
                  </w:r>
                </w:p>
                <w:p>
                  <w:pPr>
                    <w:pStyle w:val="null3"/>
                    <w:numPr>
                      <w:ilvl w:val="0"/>
                      <w:numId w:val="1"/>
                    </w:numPr>
                    <w:jc w:val="both"/>
                  </w:pPr>
                  <w:r>
                    <w:rPr>
                      <w:rFonts w:ascii="仿宋_GB2312" w:hAnsi="仿宋_GB2312" w:cs="仿宋_GB2312" w:eastAsia="仿宋_GB2312"/>
                      <w:sz w:val="20"/>
                    </w:rPr>
                    <w:t>尺寸：长</w:t>
                  </w:r>
                  <w:r>
                    <w:rPr>
                      <w:rFonts w:ascii="仿宋_GB2312" w:hAnsi="仿宋_GB2312" w:cs="仿宋_GB2312" w:eastAsia="仿宋_GB2312"/>
                      <w:sz w:val="20"/>
                    </w:rPr>
                    <w:t>20-25cm × 宽15-18cm × 高8-10cm，粘虫板可替换胶板（20×15cm）</w:t>
                  </w:r>
                </w:p>
                <w:p>
                  <w:pPr>
                    <w:pStyle w:val="null3"/>
                    <w:numPr>
                      <w:ilvl w:val="0"/>
                      <w:numId w:val="1"/>
                    </w:numPr>
                    <w:jc w:val="both"/>
                  </w:pPr>
                  <w:r>
                    <w:rPr>
                      <w:rFonts w:ascii="仿宋_GB2312" w:hAnsi="仿宋_GB2312" w:cs="仿宋_GB2312" w:eastAsia="仿宋_GB2312"/>
                      <w:sz w:val="20"/>
                    </w:rPr>
                    <w:t>粘性</w:t>
                  </w:r>
                  <w:r>
                    <w:rPr>
                      <w:rFonts w:ascii="仿宋_GB2312" w:hAnsi="仿宋_GB2312" w:cs="仿宋_GB2312" w:eastAsia="仿宋_GB2312"/>
                      <w:sz w:val="20"/>
                    </w:rPr>
                    <w:t>≥8N/cm²（GB/T 25225-2010标准），耐雨淋≥72h。诱芯性信息素主要成分：(E,E)-8,10-十二碳二烯-1-醇，纯度≥95%（气相色谱检测），载体：橡胶塞/微胶囊（缓释型）</w:t>
                  </w:r>
                </w:p>
                <w:p>
                  <w:pPr>
                    <w:pStyle w:val="null3"/>
                    <w:jc w:val="both"/>
                  </w:pPr>
                  <w:r>
                    <w:rPr>
                      <w:rFonts w:ascii="仿宋_GB2312" w:hAnsi="仿宋_GB2312" w:cs="仿宋_GB2312" w:eastAsia="仿宋_GB2312"/>
                      <w:sz w:val="20"/>
                    </w:rPr>
                    <w:t>3.持效期，60-90天（25℃下日均释放量0.1-0.5mg），有效扩散半径：水平15-20m，垂直10-15m</w:t>
                  </w:r>
                </w:p>
                <w:p>
                  <w:pPr>
                    <w:pStyle w:val="null3"/>
                    <w:jc w:val="both"/>
                  </w:pPr>
                  <w:r>
                    <w:rPr>
                      <w:rFonts w:ascii="仿宋_GB2312" w:hAnsi="仿宋_GB2312" w:cs="仿宋_GB2312" w:eastAsia="仿宋_GB2312"/>
                      <w:sz w:val="20"/>
                    </w:rPr>
                    <w:t>4.抗风等级：8级风力下位移≤0.5m，耐雨淋：持续降雨7天粘性保持率≥80%。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100套</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自合同签订后接采购人通知，接采购人通知3日内将物资送到指定地点、社会化服务接到采购人通知在指定地点2日内完成按规定完成任务 ；设备质保期不低于一年。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1.按照本项目磋商文件、成交供应商响应文件及合同进行验收； 2.一是构建智能化监测网络，设备正常安装运行； 二是有效防控粮食作物暴发性、流行性、迁飞性的重大病虫害，粮食作物病虫危害损失率控制在5%以下，暴发性病虫害处置率100%； 三是打造粮食农药减量示范区，完成夏玉米“一喷多促”专业化统防统治示范，示范区内化学农药用量减少30%； 四是建设蔬菜绿色防控示范区，集成推广蔬菜绿色防控技术，主推技术应用率达到100%； 五是完善苹果蠹蛾监测体系，强化苹果蠹蛾为主的植物疫情阻截防控、消杀，消杀覆盖率100%； 六是开展玉米病虫害综合防治技术研究，提升非化学防治水平，非化学防治占比≥40%，生物防治技术应用面积提升50%。</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合同签订后，采购人支付项目预付款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项目实施完毕后并经终验合格后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一方违反本项目采购需求中所规定的义务，违约方在收到守约方要求纠正其违约行为的书面通知之日，应立即停止其违约行为，违约方向守约方承担本项目服务费金额10%违约金，并在三十(30)日内赔偿守约方因此受到的所有损失。如违约方继续进行违约行为或不履行其义务，守约方除就其包括直接损失、间接损失、可得利益损失、采购人对第三方的赔偿、诉讼费、律师费、调查取证费、差旅费等因供应商 违约所发生的全部费用外，亦有权提前终止本项目。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中标后，供应商需提供：包含设备安装、质保期内运行维护、设备操作与数据解析专业技术培训、以及为采购方人员申办操作多光谱无人机相应资质证件(CAAC无人机驾驶员执照等）。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2.具备良好商业信誉的证明材料（按照磋商文件格式提供承诺函）； 3.具备健全的财务会计制度的证明材料。｛注：①可提供2024年度经审计的财务报告复印件（包含审计报告和审计报告中所涉及的财务报表和报表附注），②也可提供供应商内部的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 4.具有依法缴纳税收和社会保障资金的良好记录（①社会保障资金缴纳证明：提供2024年6月1日至今已缴存的任一月份的社会保障资金缴存单据或社保机构开具的社会保险参保缴费情况证明，依法不需要缴纳社会保障资金的供应商应提供相关文件证明；②提供2024年6月1日至今已缴纳的至少一个月的纳税证明或完税证明，依法免税的单位应提供相关证明材料）； 5.具备履行合同所必需的设备和专业技术能力的证明材料（按照磋商文件格式提供《投标函》完成承诺）； 6.参加政府采购活动前3年内在经营活动中没有重大违法记录的承诺函（按照磋商文件格式提供《投标函》完成承诺）； 7.具备法律、行政法规规定的其他条件的证明材料（按照磋商文件格式提供《投标函》完成承诺）；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残疾人福利性单位声明函 服务方案 标的清单 响应函 二十二条承诺函.docx 监狱企业的证明文件 法定代表人授权书格式.docx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①可提供2024年度经审计的财务报告复印件（包含审计报告和审计报告中所涉及的财务报表和报表附注）， ②也可提供供应商内部的2024年度财务报表复印件（至少包含资产负债表）， ③也可提供截至响应文件递交截止日一年内银行出具的资信证明（复印件）， ④供应商注册时间截至响应文件递交截止日不足一年的，也可提供加盖工商备案主管部门印章的公司章程复印件， ⑤也可提供政府采购信用担保机构出具的《政府采购投标担保函》；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 按采购文件规定格式提供授权书及法定代表人、被授权人身份证明； 供应商需在项目电子化交易系统中按要求进行电子签章。</w:t>
            </w:r>
          </w:p>
        </w:tc>
        <w:tc>
          <w:tcPr>
            <w:tcW w:type="dxa" w:w="1661"/>
          </w:tcPr>
          <w:p>
            <w:pPr>
              <w:pStyle w:val="null3"/>
            </w:pPr>
            <w:r>
              <w:rPr>
                <w:rFonts w:ascii="仿宋_GB2312" w:hAnsi="仿宋_GB2312" w:cs="仿宋_GB2312" w:eastAsia="仿宋_GB2312"/>
              </w:rPr>
              <w:t>法定代表人授权书格式.docx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 注：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响应文件封面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 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服务内容及服务邀请应答表 商务应答表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项目认识与理解</w:t>
            </w:r>
          </w:p>
        </w:tc>
        <w:tc>
          <w:tcPr>
            <w:tcW w:type="dxa" w:w="2492"/>
          </w:tcPr>
          <w:p>
            <w:pPr>
              <w:pStyle w:val="null3"/>
            </w:pPr>
            <w:r>
              <w:rPr>
                <w:rFonts w:ascii="仿宋_GB2312" w:hAnsi="仿宋_GB2312" w:cs="仿宋_GB2312" w:eastAsia="仿宋_GB2312"/>
              </w:rPr>
              <w:t>针对本项目，供应商对采购内容及需求目的有充分的认识与理解（包括：①对本项目的认识与理解②服务思路③重大病虫害防治的具体实施建议④重点难点分析）。针对以上4项内容进行综合评审满足1项且内容详细计4分，最高16分；每有一项缺陷（缺陷是指不适用项目实际情况、凭空编造、存在逻辑漏洞、科学原理错误、不可能实现的夸大情形以及涉及的规范、标准与本项目要求不一致等）扣2分，扣完为止。 说明：未提供不得分。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设施设备技术指标和配置</w:t>
            </w:r>
          </w:p>
        </w:tc>
        <w:tc>
          <w:tcPr>
            <w:tcW w:type="dxa" w:w="2492"/>
          </w:tcPr>
          <w:p>
            <w:pPr>
              <w:pStyle w:val="null3"/>
            </w:pPr>
            <w:r>
              <w:rPr>
                <w:rFonts w:ascii="仿宋_GB2312" w:hAnsi="仿宋_GB2312" w:cs="仿宋_GB2312" w:eastAsia="仿宋_GB2312"/>
              </w:rPr>
              <w:t>完全符合、响应招标文件要求，没有负偏离的得 10分，每有一条技术参数负偏离一条扣0.3分，扣完为止。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根据供应商针对本项目需求制定的项目实施方案（内容包括但不限于①粮食作物重大病虫防控方案、 ②蔬菜绿色防控方案③苹果蠹蛾监测点及消杀方案④玉米病虫害综合防治方案⑤项目实施过程中环保保障措施⑥飞防作业安全保障措施等）进行综合评审。方案完整，完全包含以上六项且满足实际工作需求的得24分，每缺少一项扣4分，每有一项缺陷（缺陷是指不适用项目实际情况、凭空编造、存在逻辑漏洞、科学原理错误、不可能实现的夸大情形以及涉及的规范、标准与本项目要求不一致等）扣2分，扣完为止。 说明：未提供不得分。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制定详细的质量保证措施，措施内容包含①质量控制标准②质量控制程序。内容全面详细、阐述条理清晰详尽、符合本项目采购需求得8分；以上分项每缺少一项内容扣4分；每有一项缺陷（缺陷是指不适用项目实际情况、凭空编造、存在逻辑漏洞、科学原理错误、不可能实现的夸大情形以及涉及的规范、标准与本项目要求不一致等）扣2分，扣完为止。 说明：未提供不得分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防治机械</w:t>
            </w:r>
          </w:p>
        </w:tc>
        <w:tc>
          <w:tcPr>
            <w:tcW w:type="dxa" w:w="2492"/>
          </w:tcPr>
          <w:p>
            <w:pPr>
              <w:pStyle w:val="null3"/>
            </w:pPr>
            <w:r>
              <w:rPr>
                <w:rFonts w:ascii="仿宋_GB2312" w:hAnsi="仿宋_GB2312" w:cs="仿宋_GB2312" w:eastAsia="仿宋_GB2312"/>
              </w:rPr>
              <w:t>①拟投入防治机械；②航化作业组织的规模、能力。 方案内容齐全且满足磋商文件要求得5分；以上方面中每有一项内容缺失或与项目无关扣2.5分，每有一项内容有缺陷扣1分，直至本项分值扣完为止，不提供的不得分。 注：缺陷是指：存在项目名称错误、地点区域错误、内容与本项目需求无关、方案内容矛盾、仅有框架或标题、适用的标准（方法）错误、明显复制其他项目内容等任意一种情形。注：附设备及产品型号的清单，自购置仪器设备发票或租赁合同及复印件或扫描件作为证明材料，加盖单位公章，未提供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防治人员</w:t>
            </w:r>
          </w:p>
        </w:tc>
        <w:tc>
          <w:tcPr>
            <w:tcW w:type="dxa" w:w="2492"/>
          </w:tcPr>
          <w:p>
            <w:pPr>
              <w:pStyle w:val="null3"/>
            </w:pPr>
            <w:r>
              <w:rPr>
                <w:rFonts w:ascii="仿宋_GB2312" w:hAnsi="仿宋_GB2312" w:cs="仿宋_GB2312" w:eastAsia="仿宋_GB2312"/>
              </w:rPr>
              <w:t>供应商配备5名专业防治人员的基础上每增加一名专业防治人员加1分，本项最高得5分； 提供相关佐证材料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针对本项目提供应急保障措施，保障内容包含：①突发重大病虫害保障措施②应急处理响应时间③应急人数及人员安排措施各部分内容全面详细、阐述条理清晰详尽、符合本项目采购需求得12分，以上分项每缺少一项内容扣4分，每有一项缺陷（缺陷是指不适用项目实际情况、凭空编造、存在逻辑漏洞、科学原理错误、不可能实现的夸大情形以及涉及的规范、标准与本项目要求不一致等）扣2分，扣完为止。 说明：未提供不得分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2021年1月1日至磋商截止日（以合同签订时间为准），供应商具有类似服务业绩的，每提供一份计1分，满分5分。备注：响应文件中提供合同复印件加盖公章。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2、满足磋商文件实质性要求且最终报价最低的供应商的价格为磋商基准价，其价格分为满分15分。 3、磋商报价得分=（磋商基准价/最终磋商报价）×15。 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详见附件：法定代表人授权书格式.docx</w:t>
      </w:r>
    </w:p>
    <w:p>
      <w:pPr>
        <w:pStyle w:val="null3"/>
        <w:ind w:firstLine="960"/>
      </w:pPr>
      <w:r>
        <w:rPr>
          <w:rFonts w:ascii="仿宋_GB2312" w:hAnsi="仿宋_GB2312" w:cs="仿宋_GB2312" w:eastAsia="仿宋_GB2312"/>
        </w:rPr>
        <w:t>详见附件：二十二条承诺函.docx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