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版本号：ZZNX-2025-111020251125001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西安市高陵区职业技术教育中心钳工实训楼提升改造项目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ZZNX-2025-1110</w:t>
      </w:r>
      <w:r>
        <w:br/>
      </w:r>
      <w:r>
        <w:br/>
      </w:r>
      <w:r>
        <w:br/>
      </w:r>
    </w:p>
    <w:p>
      <w:pPr>
        <w:pStyle w:val="null3"/>
        <w:jc w:val="center"/>
        <w:outlineLvl w:val="2"/>
      </w:pPr>
      <w:r>
        <w:rPr>
          <w:rFonts w:ascii="仿宋_GB2312" w:hAnsi="仿宋_GB2312" w:cs="仿宋_GB2312" w:eastAsia="仿宋_GB2312"/>
          <w:sz w:val="28"/>
          <w:b/>
        </w:rPr>
        <w:t>西安市高陵区教育局</w:t>
      </w:r>
    </w:p>
    <w:p>
      <w:pPr>
        <w:pStyle w:val="null3"/>
        <w:jc w:val="center"/>
        <w:outlineLvl w:val="2"/>
      </w:pPr>
      <w:r>
        <w:rPr>
          <w:rFonts w:ascii="仿宋_GB2312" w:hAnsi="仿宋_GB2312" w:cs="仿宋_GB2312" w:eastAsia="仿宋_GB2312"/>
          <w:sz w:val="28"/>
          <w:b/>
        </w:rPr>
        <w:t>陕西中正诺信工程造价咨询有限责任公司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陕西中正诺信工程造价咨询有限责任公司</w:t>
      </w:r>
      <w:r>
        <w:rPr>
          <w:rFonts w:ascii="仿宋_GB2312" w:hAnsi="仿宋_GB2312" w:cs="仿宋_GB2312" w:eastAsia="仿宋_GB2312"/>
        </w:rPr>
        <w:t>（以下简称“代理机构”）受</w:t>
      </w:r>
      <w:r>
        <w:rPr>
          <w:rFonts w:ascii="仿宋_GB2312" w:hAnsi="仿宋_GB2312" w:cs="仿宋_GB2312" w:eastAsia="仿宋_GB2312"/>
        </w:rPr>
        <w:t>西安市高陵区教育局</w:t>
      </w:r>
      <w:r>
        <w:rPr>
          <w:rFonts w:ascii="仿宋_GB2312" w:hAnsi="仿宋_GB2312" w:cs="仿宋_GB2312" w:eastAsia="仿宋_GB2312"/>
        </w:rPr>
        <w:t>委托，拟对</w:t>
      </w:r>
      <w:r>
        <w:rPr>
          <w:rFonts w:ascii="仿宋_GB2312" w:hAnsi="仿宋_GB2312" w:cs="仿宋_GB2312" w:eastAsia="仿宋_GB2312"/>
        </w:rPr>
        <w:t>西安市高陵区职业技术教育中心钳工实训楼提升改造项目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ZZNX-2025-1110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西安市高陵区职业技术教育中心钳工实训楼提升改造项目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西安市高陵区职业技术教育中心钳工实训楼提升改造项目,主要改造范围为内墙面、外墙面、屋面改造等。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采购包1（西安市高陵区职业技术教育中心钳工实训楼提升改造项目）：属于专门面向中小企业采购。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身份授权：供应商应授权合法的人员参加磋商全过程，其中法定代表人直接参加磋商的，须出具法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3、企业资质：供应商须具备建设部门颁发的建筑装修装饰工程专业承包二级及以上，具有有效的安全生产许可证；</w:t>
      </w:r>
    </w:p>
    <w:p>
      <w:pPr>
        <w:pStyle w:val="null3"/>
      </w:pPr>
      <w:r>
        <w:rPr>
          <w:rFonts w:ascii="仿宋_GB2312" w:hAnsi="仿宋_GB2312" w:cs="仿宋_GB2312" w:eastAsia="仿宋_GB2312"/>
        </w:rPr>
        <w:t>4、项目经理资质：拟委派项目负责人须具有建筑工程专业二级及以上注册建造师资格并具有安全生产考核合格证，在本单位注册且无在建工程；</w:t>
      </w:r>
    </w:p>
    <w:p>
      <w:pPr>
        <w:pStyle w:val="null3"/>
      </w:pPr>
      <w:r>
        <w:rPr>
          <w:rFonts w:ascii="仿宋_GB2312" w:hAnsi="仿宋_GB2312" w:cs="仿宋_GB2312" w:eastAsia="仿宋_GB2312"/>
        </w:rPr>
        <w:t>5、财务状况报告：提供2024年度经审计的财务审计报告，或采购前三个月内公司存款账户开户银行出具的资信证明（以上两种形式的资料提供任何一种即可）；</w:t>
      </w:r>
    </w:p>
    <w:p>
      <w:pPr>
        <w:pStyle w:val="null3"/>
      </w:pPr>
      <w:r>
        <w:rPr>
          <w:rFonts w:ascii="仿宋_GB2312" w:hAnsi="仿宋_GB2312" w:cs="仿宋_GB2312" w:eastAsia="仿宋_GB2312"/>
        </w:rPr>
        <w:t>6、税收缴纳证明：提供2025年03月至今已缴纳的至少一个月的纳税证明或完税证明（任意税种），依法免税的单位应提供相关证明材料；</w:t>
      </w:r>
    </w:p>
    <w:p>
      <w:pPr>
        <w:pStyle w:val="null3"/>
      </w:pPr>
      <w:r>
        <w:rPr>
          <w:rFonts w:ascii="仿宋_GB2312" w:hAnsi="仿宋_GB2312" w:cs="仿宋_GB2312" w:eastAsia="仿宋_GB2312"/>
        </w:rPr>
        <w:t>7、社会保障资金缴纳证明：提供2025年03月至今已缴存的至少一个月的社会保障资金缴存单据或社保机构开具的社会保险参保缴费情况证明，依法不需要缴纳社会保障资金的单位应提供相关证明材料；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8、企业信誉：参加本次政府采购活动前3年内在经营活动中没有重大违纪，以及未被列入失信被执行人、重大税收违法失信主体、严重失信主体名单、政府采购严重违法失信行为记录名单的书面声明；</w:t>
      </w:r>
    </w:p>
    <w:p>
      <w:pPr>
        <w:pStyle w:val="null3"/>
      </w:pPr>
      <w:r>
        <w:rPr>
          <w:rFonts w:ascii="仿宋_GB2312" w:hAnsi="仿宋_GB2312" w:cs="仿宋_GB2312" w:eastAsia="仿宋_GB2312"/>
        </w:rPr>
        <w:t>9、履约能力声明：提供具有履行本合同所必需的设备和专业技术能力的声明；</w:t>
      </w:r>
    </w:p>
    <w:p>
      <w:pPr>
        <w:pStyle w:val="null3"/>
      </w:pPr>
      <w:r>
        <w:rPr>
          <w:rFonts w:ascii="仿宋_GB2312" w:hAnsi="仿宋_GB2312" w:cs="仿宋_GB2312" w:eastAsia="仿宋_GB2312"/>
        </w:rPr>
        <w:t>10、控股、管理关系：供应商单位负责人不得为同一人或者存在控股、管理关系；</w:t>
      </w:r>
    </w:p>
    <w:p>
      <w:pPr>
        <w:pStyle w:val="null3"/>
      </w:pPr>
      <w:r>
        <w:rPr>
          <w:rFonts w:ascii="仿宋_GB2312" w:hAnsi="仿宋_GB2312" w:cs="仿宋_GB2312" w:eastAsia="仿宋_GB2312"/>
        </w:rPr>
        <w:t>11、中小企业声明函：本项目为专门面向中小企业项目，供应商须为中型企业或者小型、微型企业或监狱企业或残疾人福利性单位。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高陵区文卫路892号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029-86921342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陕西中正诺信工程造价咨询有限责任公司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陕西省西安市碑林区陕西省西安市碑林区雁塔路北段8号2幢1单元11310室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侯银博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15793080778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工程造价咨询服务费依据陕价行发[2014]88号。按相关标准计算后，招标代理服务费及工程造价咨询服务费由成交单位在领取成交通知书前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西安市高陵区教育局</w:t>
      </w:r>
      <w:r>
        <w:rPr>
          <w:rFonts w:ascii="仿宋_GB2312" w:hAnsi="仿宋_GB2312" w:cs="仿宋_GB2312" w:eastAsia="仿宋_GB2312"/>
        </w:rPr>
        <w:t>和</w:t>
      </w:r>
      <w:r>
        <w:rPr>
          <w:rFonts w:ascii="仿宋_GB2312" w:hAnsi="仿宋_GB2312" w:cs="仿宋_GB2312" w:eastAsia="仿宋_GB2312"/>
        </w:rPr>
        <w:t>陕西中正诺信工程造价咨询有限责任公司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陕西中正诺信工程造价咨询有限责任公司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陕西中正诺信工程造价咨询有限责任公司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陕西中正诺信工程造价咨询有限责任公司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陕西中正诺信工程造价咨询有限责任公司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陕西中正诺信工程造价咨询有限责任公司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联系人：侯银博</w:t>
      </w:r>
    </w:p>
    <w:p>
      <w:pPr>
        <w:pStyle w:val="null3"/>
      </w:pPr>
      <w:r>
        <w:rPr>
          <w:rFonts w:ascii="仿宋_GB2312" w:hAnsi="仿宋_GB2312" w:cs="仿宋_GB2312" w:eastAsia="仿宋_GB2312"/>
        </w:rPr>
        <w:t>联系电话：15793080778</w:t>
      </w:r>
    </w:p>
    <w:p>
      <w:pPr>
        <w:pStyle w:val="null3"/>
      </w:pPr>
      <w:r>
        <w:rPr>
          <w:rFonts w:ascii="仿宋_GB2312" w:hAnsi="仿宋_GB2312" w:cs="仿宋_GB2312" w:eastAsia="仿宋_GB2312"/>
        </w:rPr>
        <w:t>地址：陕西省西安市碑林区陕西省西安市碑林区雁塔路北段8号2幢1单元11310室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886,000.00</w:t>
      </w:r>
    </w:p>
    <w:p>
      <w:pPr>
        <w:pStyle w:val="null3"/>
      </w:pPr>
      <w:r>
        <w:rPr>
          <w:rFonts w:ascii="仿宋_GB2312" w:hAnsi="仿宋_GB2312" w:cs="仿宋_GB2312" w:eastAsia="仿宋_GB2312"/>
        </w:rPr>
        <w:t>采购包最高限价（元）: 885,972.95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主要改造范围为内墙面、外墙面、屋面改造等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886,000.00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标的名称：主要改造范围为内墙面、外墙面、屋面改造等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工程内容：</w:t>
            </w:r>
            <w:r>
              <w:rPr>
                <w:rFonts w:ascii="仿宋_GB2312" w:hAnsi="仿宋_GB2312" w:cs="仿宋_GB2312" w:eastAsia="仿宋_GB2312"/>
                <w:sz w:val="28"/>
              </w:rPr>
              <w:t>西安市高陵区职业技术教育中心钳工实训楼提升改造项目</w:t>
            </w:r>
            <w:r>
              <w:rPr>
                <w:rFonts w:ascii="仿宋_GB2312" w:hAnsi="仿宋_GB2312" w:cs="仿宋_GB2312" w:eastAsia="仿宋_GB2312"/>
                <w:sz w:val="28"/>
              </w:rPr>
              <w:t>,主要改造范围为内墙面、外墙面、屋面改造等。</w:t>
            </w:r>
          </w:p>
          <w:p>
            <w:pPr>
              <w:pStyle w:val="null3"/>
              <w:ind w:firstLine="560"/>
              <w:jc w:val="both"/>
            </w:pPr>
            <w:r>
              <w:rPr>
                <w:rFonts w:ascii="仿宋_GB2312" w:hAnsi="仿宋_GB2312" w:cs="仿宋_GB2312" w:eastAsia="仿宋_GB2312"/>
                <w:sz w:val="28"/>
              </w:rPr>
              <w:t>工期</w:t>
            </w:r>
            <w:r>
              <w:rPr>
                <w:rFonts w:ascii="仿宋_GB2312" w:hAnsi="仿宋_GB2312" w:cs="仿宋_GB2312" w:eastAsia="仿宋_GB2312"/>
                <w:sz w:val="28"/>
              </w:rPr>
              <w:t>：</w:t>
            </w:r>
            <w:r>
              <w:rPr>
                <w:rFonts w:ascii="仿宋_GB2312" w:hAnsi="仿宋_GB2312" w:cs="仿宋_GB2312" w:eastAsia="仿宋_GB2312"/>
                <w:sz w:val="28"/>
              </w:rPr>
              <w:t>合同签订后</w:t>
            </w:r>
            <w:r>
              <w:rPr>
                <w:rFonts w:ascii="仿宋_GB2312" w:hAnsi="仿宋_GB2312" w:cs="仿宋_GB2312" w:eastAsia="仿宋_GB2312"/>
                <w:sz w:val="28"/>
              </w:rPr>
              <w:t>60日历天</w:t>
            </w:r>
          </w:p>
          <w:p>
            <w:pPr>
              <w:pStyle w:val="null3"/>
              <w:ind w:firstLine="560"/>
              <w:jc w:val="both"/>
            </w:pPr>
            <w:r>
              <w:rPr>
                <w:rFonts w:ascii="仿宋_GB2312" w:hAnsi="仿宋_GB2312" w:cs="仿宋_GB2312" w:eastAsia="仿宋_GB2312"/>
                <w:sz w:val="28"/>
              </w:rPr>
              <w:t>工程地点：</w:t>
            </w:r>
            <w:r>
              <w:rPr>
                <w:rFonts w:ascii="仿宋_GB2312" w:hAnsi="仿宋_GB2312" w:cs="仿宋_GB2312" w:eastAsia="仿宋_GB2312"/>
                <w:sz w:val="28"/>
              </w:rPr>
              <w:t>西安市高陵区职业技术教育中心</w:t>
            </w:r>
          </w:p>
          <w:p>
            <w:pPr>
              <w:pStyle w:val="null3"/>
              <w:ind w:firstLine="560"/>
              <w:jc w:val="both"/>
            </w:pPr>
            <w:r>
              <w:rPr>
                <w:rFonts w:ascii="仿宋_GB2312" w:hAnsi="仿宋_GB2312" w:cs="仿宋_GB2312" w:eastAsia="仿宋_GB2312"/>
                <w:sz w:val="28"/>
              </w:rPr>
              <w:t>质量标准：达到国家现行施工验收规范</w:t>
            </w:r>
            <w:r>
              <w:rPr>
                <w:rFonts w:ascii="仿宋_GB2312" w:hAnsi="仿宋_GB2312" w:cs="仿宋_GB2312" w:eastAsia="仿宋_GB2312"/>
                <w:sz w:val="28"/>
              </w:rPr>
              <w:t>“合格”标准</w:t>
            </w:r>
          </w:p>
          <w:p>
            <w:pPr>
              <w:pStyle w:val="null3"/>
              <w:ind w:firstLine="560"/>
              <w:jc w:val="both"/>
            </w:pPr>
            <w:r>
              <w:rPr>
                <w:rFonts w:ascii="仿宋_GB2312" w:hAnsi="仿宋_GB2312" w:cs="仿宋_GB2312" w:eastAsia="仿宋_GB2312"/>
                <w:sz w:val="28"/>
              </w:rPr>
              <w:t>质量保修期：</w:t>
            </w:r>
            <w:r>
              <w:rPr>
                <w:rFonts w:ascii="仿宋_GB2312" w:hAnsi="仿宋_GB2312" w:cs="仿宋_GB2312" w:eastAsia="仿宋_GB2312"/>
                <w:sz w:val="28"/>
              </w:rPr>
              <w:t>屋面防水工程为</w:t>
            </w:r>
            <w:r>
              <w:rPr>
                <w:rFonts w:ascii="仿宋_GB2312" w:hAnsi="仿宋_GB2312" w:cs="仿宋_GB2312" w:eastAsia="仿宋_GB2312"/>
                <w:sz w:val="28"/>
              </w:rPr>
              <w:t>5年，其他项目保修期为2年</w:t>
            </w:r>
          </w:p>
          <w:p>
            <w:pPr>
              <w:pStyle w:val="null3"/>
              <w:ind w:firstLine="56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本项目采用电子化投标与纸质投标并行的方式，供应商需要于磋商响应文件递交截止时间前在线提交电子响应文件， 同时在磋商响应文件递交截止时间前线下提交一正一副纸质版响应文件，双面打印胶装，电子响应文件与纸质响应文件不一致的，以电子版响应文件为准。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身份授权</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供应商须具备建设部门颁发的建筑装修装饰工程专业承包二级及以上，具有有效的安全生产许可证；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拟委派项目负责人须具有建筑工程专业二级及以上注册建造师资格并具有安全生产考核合格证，在本单位注册且无在建工程；</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提供2024年度经审计的财务审计报告，或采购前三个月内公司存款账户开户银行出具的资信证明（以上两种形式的资料提供任何一种即可）；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提供2025年03月至今已缴纳的至少一个月的纳税证明或完税证明（任意税种），依法免税的单位应提供相关证明材料；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参加本次政府采购活动前3年内在经营活动中没有重大违纪，以及未被列入失信被执行人、重大税收违法失信主体、严重失信主体名单、政府采购严重违法失信行为记录名单的书面声明；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在磋商响应文件中指定落款处，按磋商文件要求盖章、签字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响应文件封面 技术服务合同条款及其他商务要求应答表 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自磋商响应文件递交之日起不少于90日历天</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提供具体可行的施工方案，包括但不限于：①提供详细的施工方案；②拟投入的施工设备设施及材料情况（详见附件格式）；③施工进度计划安排：④施工工作质量、安全、进度控制保障措施：⑤工程资料管理方案；⑥组织协调内容及措施；⑦工作重点与难点分析及对应措施；⑧安全、文明施工方案及措施。 二、评审标准 1、完善性：方案必须全面，对评审内容中的各项要求有详细阐述； 2、可实施性：切合本项目实际情况，提出步骤清晰、合理的方案； 3、针对性：方案能够紧扣项目实际情况，内容科学合理。 上述8项评审内容完全满足评审标准得24分，每有一个评审内容缺项扣3分，每有一项评审内容存在缺陷，扣1分。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针对本项目提供具体可行的人员配置方案，包括但不限于：①团队机构设置；②组成人员名单（至少包含项目经理、技术负责人、施工员、材料员、安全员、质量员、资料员，项目团队其他人员中具有与本项目相关的专业证书，身份证、学历证、职称证、岗位证书等， 项目负责人及团队人员提供有效的相关证书复印件并加盖公章。）；③项目经理部组成及劳动力投入配备合理，满足项目需求人员岗位职责明确； 二、评审标准 1、完善性：内容必须全面，对评审内容中的各项要求有详细阐述； 2、可实施性：切合本项目实际情况，提出步骤清晰、合理； 3、针对性：能够紧扣项目实际情况，内容科学合理。 上述3项评审内容完全满足评审标准得6分，每有一个评审内容缺项扣2分，每有一项评审内容存在缺陷，扣1分。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一、评审内容：针对本项目提供具体可行的工程质量技术组织措施，包括但不限于：①质量目标管理体系；②详细的确保质量的技术组织措施；③施工质量控制措施。二、评审标准 1、完善性：方案必须全面，对评审内容中的各项要求有详细阐述； 2、可实施性：切合本项目实际情况，提出步骤清晰、合理的方案； 3、针对性：方案能够紧扣项目实际情况，内容科学合理。 上述3项评审内容完全满足评审标准得6分，每有一个评审内容缺项扣2分，每有一项评审内容存在缺陷，扣1分。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针对本项目提供具体可行的安全生产技术组织措施，包括但不限于：①安全生产目标②安全施工管理机构设置③安全管理及防护办法④安全检查办法等。 二、评审标准 1、完善性：方案必须全面，对评审内容中的各项要求有详细阐述； 2、可实施性：切合本项目实际情况，提出步骤清晰、合理的方案； 3、针对性：方案能够紧扣项目实际情况，内容科学合理。 上述4项评审内容完全满足评审标准得8分，每有一个评审内容缺项扣2分，每有一项评审内容存在缺陷，扣1分。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针对本项目提供具体可行的应急预案，包括但不限于： ①详细应急保障及应急处理团队及设备设施； ②针对突发事件及紧急情况（包括防火、防盗、防骗、防事故，发生冰雹、暴雪、暴雨等灾害性天气，地震、火灾及停水、停电等其他突发事件）的应急预案； 二、评审标准 1、完善性：方案必须全面，对评审内容中的各项要求有详细阐述； 2、可实施性：切合本项目实际情况，提出步骤清晰、合理的方案； 3、针对性：内容能够紧扣项目实际情况，内容科学合理。 上述2项评审内容完全满足评审标准得6分，每有一个评审内容缺项扣3分，每有一项评审内容存在缺陷，扣1分。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针对本项目提供具体可行的服务承诺及合理化建议，包括但不限于①服务质量承诺；②服务响应时限、人员到位、安全保障、不能完全履行承诺时愿意接受相关处罚等以及其他服务的承诺。 二、评审标准 1、完善性：方案必须全面，对评审内容中的各项要求有详细阐述； 2、可实施性：切合本项目实际情况，提出步骤清晰、合理的方案； 3、针对性：方案能够紧扣项目实际情况，内容科学合理。 上述2项评审内容完全满足评审标准得6，每有一个评审内容缺项扣3分，每有一项评审内容存在缺陷，扣1分。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一、评审内容 根据供应商提供的保修服务承诺及优化建议等方面的承诺措施，包括但不限于①工程保修期内的定期回访方案及维修方案；②保修服务承诺。 二、评审标准 1、完善性：方案必须全面，对评审内容中的各项要求有详细阐述； 2、可实施性：切合本项目实际情况，提出步骤清晰、合理的方案； 3、针对性：方案能够紧扣项目实际情况，内容科学合理。 上述2项评审内容完全满足评审标准得6分，每有一个评审内容缺项扣3分，每有一项评审内容存在缺陷，扣1分。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一、评审内容：包括但不限于：①难点工程及关键工程的关键路径；②确保工期的技术组织；③提供施工进度表或施工网络图，二、评审标准： 1、内容全面完整，描述详细； 2、切合本项目实际情况，实施步骤清晰、合理可行。3.施工进度完整网络图清晰无常识性错误切合本项目实际情况，实施步骤清晰、合理；工期保障措施合理可行。 上述3项评审内容完全满足评审标准得6分，每有一个评审内容缺项扣2分，每有一项评审内容存在缺陷，扣1分。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2022年11月01日至今工程类似项目业绩每项得1分，总分2分(以合同签订日期为准或中标通知书发出时间为准，合同复印件或中标通知书加盖公章附在响应文件中，否则不作为评审依据）。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采用低价优先法计算，即满足磋商文件要求且最终报价最低的供应商的价格为磋商基准价，其价格分为满分。磋商报价得分＝（磋商基准价/最终磋商报价）×30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 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