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版本号：GYZB-2025-02820251127001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银王村便民农资服务超市项目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GYZB-2025-028</w:t>
      </w:r>
      <w:r>
        <w:br/>
      </w:r>
      <w:r>
        <w:br/>
      </w:r>
      <w:r>
        <w:br/>
      </w:r>
    </w:p>
    <w:p>
      <w:pPr>
        <w:pStyle w:val="null3"/>
        <w:jc w:val="center"/>
        <w:outlineLvl w:val="2"/>
      </w:pPr>
      <w:r>
        <w:rPr>
          <w:rFonts w:ascii="仿宋_GB2312" w:hAnsi="仿宋_GB2312" w:cs="仿宋_GB2312" w:eastAsia="仿宋_GB2312"/>
          <w:sz w:val="28"/>
          <w:b/>
        </w:rPr>
        <w:t>西安市高陵区鹿苑街道办事处</w:t>
      </w:r>
    </w:p>
    <w:p>
      <w:pPr>
        <w:pStyle w:val="null3"/>
        <w:jc w:val="center"/>
        <w:outlineLvl w:val="2"/>
      </w:pPr>
      <w:r>
        <w:rPr>
          <w:rFonts w:ascii="仿宋_GB2312" w:hAnsi="仿宋_GB2312" w:cs="仿宋_GB2312" w:eastAsia="仿宋_GB2312"/>
          <w:sz w:val="28"/>
          <w:b/>
        </w:rPr>
        <w:t>陕西国裕工程项目管理有限公司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陕西国裕工程项目管理有限公司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西安市高陵区鹿苑街道办事处</w:t>
      </w:r>
      <w:r>
        <w:rPr>
          <w:rFonts w:ascii="仿宋_GB2312" w:hAnsi="仿宋_GB2312" w:cs="仿宋_GB2312" w:eastAsia="仿宋_GB2312"/>
        </w:rPr>
        <w:t>委托，拟对</w:t>
      </w:r>
      <w:r>
        <w:rPr>
          <w:rFonts w:ascii="仿宋_GB2312" w:hAnsi="仿宋_GB2312" w:cs="仿宋_GB2312" w:eastAsia="仿宋_GB2312"/>
        </w:rPr>
        <w:t>银王村便民农资服务超市项目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GYZB-2025-028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银王村便民农资服务超市项目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高陵区银王村便民农资服务超市项目，项目位于陕西省西安市高陵区银王村；建筑面积882.84㎡；结构类型为：钢结构；基础类型为：独立基础；主要建设内容为：钢结构工程，装饰装修工程，门窗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采购包1（银王村便民农资服务超市项目）：属于专门面向中小企业采购。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或法定代表人身份证明：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3、企业资质：投标人须具备建设行政主管部门颁发的建筑工程施工总承包三级及以上资质，且具备合格有效的安全生产许可证；</w:t>
      </w:r>
    </w:p>
    <w:p>
      <w:pPr>
        <w:pStyle w:val="null3"/>
      </w:pPr>
      <w:r>
        <w:rPr>
          <w:rFonts w:ascii="仿宋_GB2312" w:hAnsi="仿宋_GB2312" w:cs="仿宋_GB2312" w:eastAsia="仿宋_GB2312"/>
        </w:rPr>
        <w:t>4、项目经理要求：拟派项目经理具备建筑工程二级及以上注册建造师证、安全生产考核合格证（建安B证）、无在建工程承诺书（复印件加盖公章）；</w:t>
      </w:r>
    </w:p>
    <w:p>
      <w:pPr>
        <w:pStyle w:val="null3"/>
      </w:pPr>
      <w:r>
        <w:rPr>
          <w:rFonts w:ascii="仿宋_GB2312" w:hAnsi="仿宋_GB2312" w:cs="仿宋_GB2312" w:eastAsia="仿宋_GB2312"/>
        </w:rPr>
        <w:t>5、关联关系：单位负责人为同一人或者存在直接控股、管理关系的不同投标人，不得参加同一合同项下的政府采购活动；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6、非联合体承诺：本项目不接受联合体投标（提供承诺函）；</w:t>
      </w:r>
    </w:p>
    <w:p>
      <w:pPr>
        <w:pStyle w:val="null3"/>
      </w:pPr>
      <w:r>
        <w:rPr>
          <w:rFonts w:ascii="仿宋_GB2312" w:hAnsi="仿宋_GB2312" w:cs="仿宋_GB2312" w:eastAsia="仿宋_GB2312"/>
        </w:rPr>
        <w:t>7、有效的主体证明：具有独立承担民事责任能力的法人、其他组织或自然人，并出具合法有效的营业执照或事业单位法人证书等国家规定的相关证明，自然人参与的提供其身份证明书；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8、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9、社会保障资金缴纳证明：提供投标截止日前6个月内已缴存的至少一个月的社会保障资金缴存单据或社保机构开具的社会保险参保缴费情况证明，依法不需要缴纳社会保障资金的单位应提供相关证明材料；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10、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11、无重大违法记录声明：参加政府采购活动前3年内，在经营活动中没有重大违法记录（提供书面声明）；</w:t>
      </w:r>
    </w:p>
    <w:p>
      <w:pPr>
        <w:pStyle w:val="null3"/>
      </w:pPr>
      <w:r>
        <w:rPr>
          <w:rFonts w:ascii="仿宋_GB2312" w:hAnsi="仿宋_GB2312" w:cs="仿宋_GB2312" w:eastAsia="仿宋_GB2312"/>
        </w:rPr>
        <w:t>12、履行能力：提供具有履行本合同所必需的设备和专业技术能力的承诺（提供承诺书）。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西安市高陵区鹿苑街道办事处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西安市高陵区西街111号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程建锋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13571819307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陕西国裕工程项目管理有限公司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陕西省西安市经济技术开发区凤城七路明光路长和国际D座2004-2室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18691868334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采购包1：1,159,470.23元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西安市高陵区鹿苑街道办事处</w:t>
      </w:r>
      <w:r>
        <w:rPr>
          <w:rFonts w:ascii="仿宋_GB2312" w:hAnsi="仿宋_GB2312" w:cs="仿宋_GB2312" w:eastAsia="仿宋_GB2312"/>
        </w:rPr>
        <w:t>和</w:t>
      </w:r>
      <w:r>
        <w:rPr>
          <w:rFonts w:ascii="仿宋_GB2312" w:hAnsi="仿宋_GB2312" w:cs="仿宋_GB2312" w:eastAsia="仿宋_GB2312"/>
        </w:rPr>
        <w:t>陕西国裕工程项目管理有限公司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西安市高陵区鹿苑街道办事处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陕西国裕工程项目管理有限公司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西安市高陵区鹿苑街道办事处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陕西国裕工程项目管理有限公司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联系人：张丹</w:t>
      </w:r>
    </w:p>
    <w:p>
      <w:pPr>
        <w:pStyle w:val="null3"/>
      </w:pPr>
      <w:r>
        <w:rPr>
          <w:rFonts w:ascii="仿宋_GB2312" w:hAnsi="仿宋_GB2312" w:cs="仿宋_GB2312" w:eastAsia="仿宋_GB2312"/>
        </w:rPr>
        <w:t>联系电话：18691868334</w:t>
      </w:r>
    </w:p>
    <w:p>
      <w:pPr>
        <w:pStyle w:val="null3"/>
      </w:pPr>
      <w:r>
        <w:rPr>
          <w:rFonts w:ascii="仿宋_GB2312" w:hAnsi="仿宋_GB2312" w:cs="仿宋_GB2312" w:eastAsia="仿宋_GB2312"/>
        </w:rPr>
        <w:t>地址：陕西省西安市经济技术开发区凤城七路明光路长和国际D座2004-2室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1,159,470.23</w:t>
      </w:r>
    </w:p>
    <w:p>
      <w:pPr>
        <w:pStyle w:val="null3"/>
      </w:pPr>
      <w:r>
        <w:rPr>
          <w:rFonts w:ascii="仿宋_GB2312" w:hAnsi="仿宋_GB2312" w:cs="仿宋_GB2312" w:eastAsia="仿宋_GB2312"/>
        </w:rPr>
        <w:t>采购包最高限价（元）: 1,159,470.23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银王村便民农资服务超市项目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1,159,470.23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标的名称：银王村便民农资服务超市项目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（一）工程内容：本工程为高陵区银王村便民农资服务超市项目，项目位于陕西省西安市高陵区银王村；建筑面积</w:t>
            </w:r>
            <w:r>
              <w:rPr>
                <w:rFonts w:ascii="仿宋_GB2312" w:hAnsi="仿宋_GB2312" w:cs="仿宋_GB2312" w:eastAsia="仿宋_GB2312"/>
                <w:sz w:val="28"/>
              </w:rPr>
              <w:t>882.84㎡；结构类型为：钢结构；基础类型为：独立基础；主要建设内容为：钢结构工程，装饰装修工程，门窗工程等。</w:t>
            </w:r>
          </w:p>
          <w:p>
            <w:pPr>
              <w:pStyle w:val="null3"/>
              <w:ind w:firstLine="480"/>
            </w:pPr>
            <w:r>
              <w:rPr>
                <w:rFonts w:ascii="仿宋_GB2312" w:hAnsi="仿宋_GB2312" w:cs="仿宋_GB2312" w:eastAsia="仿宋_GB2312"/>
                <w:sz w:val="28"/>
              </w:rPr>
              <w:t>（二）工程地点：西安市高陵区。</w:t>
            </w:r>
          </w:p>
          <w:p>
            <w:pPr>
              <w:pStyle w:val="null3"/>
              <w:ind w:firstLine="480"/>
            </w:pPr>
            <w:r>
              <w:rPr>
                <w:rFonts w:ascii="仿宋_GB2312" w:hAnsi="仿宋_GB2312" w:cs="仿宋_GB2312" w:eastAsia="仿宋_GB2312"/>
                <w:sz w:val="28"/>
              </w:rPr>
              <w:t>（三）计划工期：自合同签订之日起</w:t>
            </w:r>
            <w:r>
              <w:rPr>
                <w:rFonts w:ascii="仿宋_GB2312" w:hAnsi="仿宋_GB2312" w:cs="仿宋_GB2312" w:eastAsia="仿宋_GB2312"/>
                <w:sz w:val="28"/>
              </w:rPr>
              <w:t>90个日历日内竣工。</w:t>
            </w:r>
          </w:p>
          <w:p>
            <w:pPr>
              <w:pStyle w:val="null3"/>
              <w:ind w:firstLine="480"/>
            </w:pPr>
            <w:r>
              <w:rPr>
                <w:rFonts w:ascii="仿宋_GB2312" w:hAnsi="仿宋_GB2312" w:cs="仿宋_GB2312" w:eastAsia="仿宋_GB2312"/>
                <w:sz w:val="28"/>
              </w:rPr>
              <w:t>（四）工程缺陷责任期：自竣工验收合格之日起</w:t>
            </w:r>
            <w:r>
              <w:rPr>
                <w:rFonts w:ascii="仿宋_GB2312" w:hAnsi="仿宋_GB2312" w:cs="仿宋_GB2312" w:eastAsia="仿宋_GB2312"/>
                <w:sz w:val="28"/>
              </w:rPr>
              <w:t>2年。</w:t>
            </w:r>
          </w:p>
          <w:p>
            <w:pPr>
              <w:pStyle w:val="null3"/>
              <w:ind w:firstLine="480"/>
            </w:pPr>
            <w:r>
              <w:rPr>
                <w:rFonts w:ascii="仿宋_GB2312" w:hAnsi="仿宋_GB2312" w:cs="仿宋_GB2312" w:eastAsia="仿宋_GB2312"/>
                <w:sz w:val="28"/>
              </w:rPr>
              <w:t>（五）质量保修期：不少于</w:t>
            </w:r>
            <w:r>
              <w:rPr>
                <w:rFonts w:ascii="仿宋_GB2312" w:hAnsi="仿宋_GB2312" w:cs="仿宋_GB2312" w:eastAsia="仿宋_GB2312"/>
                <w:sz w:val="28"/>
              </w:rPr>
              <w:t>12个月。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其他要求详见工程量清单。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中标（成交）供应商在开标结束后3个工作日内向代理机构提供纸质版响应文件，响应文件为正本一份，副本二份，电子U盘二个（U盘内容包括Word版本、签字盖章扫描后的PDF版本响应文件及广联达版本报价）。纸质响应文件均须A4纸打印，分别各自装订成册并编制目录和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投标人须具备建设行政主管部门颁发的建筑工程施工总承包三级及以上资质，且具备合格有效的安全生产许可证；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拟派项目经理具备建筑工程二级及以上注册建造师证、安全生产考核合格证（建安B证）、无在建工程承诺书（复印件加盖公章）；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有效的主体证明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（2）拟提供服务响应程度；应满足采购文件提出的要求。不允许负偏离； （3）工期：应满足采购文件中要求； （4）地点：应满足采购文件中要求； （5）磋商有效期：应满足采购文件中的规定。</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评审内容：①前期工作的开展准备；②制定的施工方案、方法与技术措施；③能运用先进技术、新能源材料、施工工艺先进，对施工具有高度指导性。 评审依据：每一项内容描述详细，切实可行符合项目实际内容得6分，①～③项合计得18分。内容①～③项任意一项缺项扣6分，扣完为止； 内容①～③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评审内容：①确保质量的技术组织措施；②确保安全生产的技术组织措施；③确保文明施工的技术组织措施；④确保环境保护（噪音、治污减霾和防尘污染）的技术组织措施。 评审依据：每一项内容描述详细，切实可行符合项目实际内容得6分，①～④项合计得24分。内容①～④项任意一项缺项扣6分，扣完为止；内容①～④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施工进度保证措施</w:t>
            </w:r>
          </w:p>
        </w:tc>
        <w:tc>
          <w:tcPr>
            <w:tcW w:type="dxa" w:w="2492"/>
          </w:tcPr>
          <w:p>
            <w:pPr>
              <w:pStyle w:val="null3"/>
            </w:pPr>
            <w:r>
              <w:rPr>
                <w:rFonts w:ascii="仿宋_GB2312" w:hAnsi="仿宋_GB2312" w:cs="仿宋_GB2312" w:eastAsia="仿宋_GB2312"/>
              </w:rPr>
              <w:t>评审内容：①项目进度安排计划；②项目进度保证措施。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人员及施工设备配备</w:t>
            </w:r>
          </w:p>
        </w:tc>
        <w:tc>
          <w:tcPr>
            <w:tcW w:type="dxa" w:w="2492"/>
          </w:tcPr>
          <w:p>
            <w:pPr>
              <w:pStyle w:val="null3"/>
            </w:pPr>
            <w:r>
              <w:rPr>
                <w:rFonts w:ascii="仿宋_GB2312" w:hAnsi="仿宋_GB2312" w:cs="仿宋_GB2312" w:eastAsia="仿宋_GB2312"/>
              </w:rPr>
              <w:t>评审内容：①项目拟投入管理人员、劳动力配备安排；②项目机具、设备拟投入计划及措施（材料、机械等）。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提供2022年11月1日至今类似项目业绩证明材料（须提供合同协议，时间以合同签订时间为准），每份2分，满分10分。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项目经理（负责人）要求</w:t>
            </w:r>
          </w:p>
        </w:tc>
        <w:tc>
          <w:tcPr>
            <w:tcW w:type="dxa" w:w="2492"/>
          </w:tcPr>
          <w:p>
            <w:pPr>
              <w:pStyle w:val="null3"/>
            </w:pPr>
            <w:r>
              <w:rPr>
                <w:rFonts w:ascii="仿宋_GB2312" w:hAnsi="仿宋_GB2312" w:cs="仿宋_GB2312" w:eastAsia="仿宋_GB2312"/>
              </w:rPr>
              <w:t>1.项目经理（负责人）具有相关专业中级职称的得2分，高级职称的得3分。注：需提供项目经理（负责人）等相关证明材料复印件并加盖公章，否则不得分。 2.拟派项目经理（负责人）2022年11月1日至今完成过类似项目业绩，每有1项得1分，满分5分。 注：①时间以合同签订时间为准，若合同上未体现时间，须提供其他有效佐证材料；②以合同约定的项目经理（负责人）姓名为准，如合同中未约定项目负责人，则提供其他有效佐证材料；③企业业绩和项目负责人业绩可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 磋商报价得分=（磋商基准价/最后磋商报价）×价格权值（20%）×100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