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C8B0C">
      <w:pPr>
        <w:kinsoku w:val="0"/>
        <w:spacing w:line="360" w:lineRule="auto"/>
        <w:ind w:firstLine="480" w:firstLineChars="200"/>
        <w:rPr>
          <w:rFonts w:ascii="宋体" w:hAnsi="宋体" w:cs="宋体"/>
          <w:sz w:val="24"/>
          <w:szCs w:val="24"/>
          <w:u w:val="single"/>
        </w:rPr>
      </w:pPr>
      <w:r>
        <w:rPr>
          <w:rFonts w:hint="eastAsia" w:ascii="宋体" w:hAnsi="宋体" w:cs="宋体"/>
          <w:sz w:val="24"/>
          <w:szCs w:val="24"/>
        </w:rPr>
        <w:t>甲方：</w:t>
      </w:r>
    </w:p>
    <w:p w14:paraId="33E9CD21">
      <w:pPr>
        <w:kinsoku w:val="0"/>
        <w:spacing w:line="360" w:lineRule="auto"/>
        <w:ind w:firstLine="480" w:firstLineChars="200"/>
        <w:rPr>
          <w:rFonts w:ascii="宋体" w:hAnsi="宋体" w:cs="宋体"/>
          <w:sz w:val="24"/>
          <w:szCs w:val="24"/>
        </w:rPr>
      </w:pPr>
      <w:r>
        <w:rPr>
          <w:rFonts w:hint="eastAsia" w:ascii="宋体" w:hAnsi="宋体" w:cs="宋体"/>
          <w:sz w:val="24"/>
          <w:szCs w:val="24"/>
        </w:rPr>
        <w:t>乙方：</w:t>
      </w:r>
      <w:r>
        <w:rPr>
          <w:rFonts w:hint="eastAsia" w:ascii="宋体" w:hAnsi="宋体" w:cs="宋体"/>
          <w:sz w:val="24"/>
          <w:szCs w:val="24"/>
          <w:u w:val="single"/>
        </w:rPr>
        <w:t xml:space="preserve">          </w:t>
      </w:r>
    </w:p>
    <w:p w14:paraId="05FF1447">
      <w:pPr>
        <w:kinsoku w:val="0"/>
        <w:spacing w:line="360" w:lineRule="auto"/>
        <w:ind w:firstLine="480" w:firstLineChars="200"/>
        <w:rPr>
          <w:rFonts w:ascii="宋体" w:hAnsi="宋体" w:cs="宋体"/>
          <w:sz w:val="24"/>
          <w:szCs w:val="24"/>
        </w:rPr>
      </w:pPr>
      <w:r>
        <w:rPr>
          <w:rFonts w:hint="eastAsia" w:ascii="宋体" w:hAnsi="宋体" w:cs="宋体"/>
          <w:sz w:val="24"/>
          <w:szCs w:val="24"/>
        </w:rPr>
        <w:t>根据《中华人民共和国民法典》等法律法规，甲方通过</w:t>
      </w:r>
      <w:r>
        <w:rPr>
          <w:rFonts w:hint="eastAsia" w:ascii="宋体" w:hAnsi="宋体" w:cs="宋体"/>
          <w:sz w:val="24"/>
          <w:szCs w:val="24"/>
          <w:lang w:val="en-US" w:eastAsia="zh-CN"/>
        </w:rPr>
        <w:t>公开招标</w:t>
      </w:r>
      <w:r>
        <w:rPr>
          <w:rFonts w:hint="eastAsia" w:ascii="宋体" w:hAnsi="宋体" w:cs="宋体"/>
          <w:sz w:val="24"/>
          <w:szCs w:val="24"/>
        </w:rPr>
        <w:t>，选定乙方为</w:t>
      </w:r>
      <w:r>
        <w:rPr>
          <w:rFonts w:hint="eastAsia" w:ascii="宋体" w:hAnsi="宋体" w:cs="宋体"/>
          <w:sz w:val="24"/>
          <w:szCs w:val="24"/>
          <w:lang w:val="en-US" w:eastAsia="zh-CN"/>
        </w:rPr>
        <w:t>中标</w:t>
      </w:r>
      <w:r>
        <w:rPr>
          <w:rFonts w:hint="eastAsia" w:ascii="宋体" w:hAnsi="宋体" w:cs="宋体"/>
          <w:sz w:val="24"/>
          <w:szCs w:val="24"/>
        </w:rPr>
        <w:t>单位。甲、乙双方在平等基础上协商一致，达成如下合同条款：</w:t>
      </w:r>
    </w:p>
    <w:p w14:paraId="4B31C965">
      <w:pPr>
        <w:kinsoku w:val="0"/>
        <w:spacing w:line="360" w:lineRule="auto"/>
        <w:ind w:firstLine="480" w:firstLineChars="200"/>
        <w:rPr>
          <w:rFonts w:ascii="宋体" w:hAnsi="宋体" w:cs="宋体"/>
          <w:sz w:val="24"/>
          <w:szCs w:val="24"/>
        </w:rPr>
      </w:pPr>
      <w:r>
        <w:rPr>
          <w:rFonts w:hint="eastAsia" w:ascii="宋体" w:hAnsi="宋体" w:cs="宋体"/>
          <w:sz w:val="24"/>
          <w:szCs w:val="24"/>
        </w:rPr>
        <w:t>一、</w:t>
      </w:r>
      <w:r>
        <w:rPr>
          <w:rFonts w:hint="eastAsia" w:ascii="宋体" w:hAnsi="宋体" w:cs="宋体"/>
          <w:b/>
          <w:bCs/>
          <w:sz w:val="24"/>
          <w:szCs w:val="24"/>
        </w:rPr>
        <w:t>合同内容</w:t>
      </w:r>
    </w:p>
    <w:tbl>
      <w:tblPr>
        <w:tblStyle w:val="6"/>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36"/>
        <w:gridCol w:w="1008"/>
        <w:gridCol w:w="1306"/>
        <w:gridCol w:w="964"/>
        <w:gridCol w:w="1922"/>
        <w:gridCol w:w="899"/>
      </w:tblGrid>
      <w:tr w14:paraId="6267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4256924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671CC684">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产品名称</w:t>
            </w: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9FFFEB6">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型号</w:t>
            </w:r>
          </w:p>
        </w:tc>
        <w:tc>
          <w:tcPr>
            <w:tcW w:w="1306" w:type="dxa"/>
            <w:tcBorders>
              <w:top w:val="single" w:color="auto" w:sz="4" w:space="0"/>
              <w:left w:val="single" w:color="auto" w:sz="4" w:space="0"/>
              <w:bottom w:val="single" w:color="auto" w:sz="4" w:space="0"/>
              <w:right w:val="single" w:color="auto" w:sz="4" w:space="0"/>
            </w:tcBorders>
            <w:noWrap w:val="0"/>
            <w:vAlign w:val="center"/>
          </w:tcPr>
          <w:p w14:paraId="2E27DABC">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生产厂家</w:t>
            </w:r>
          </w:p>
        </w:tc>
        <w:tc>
          <w:tcPr>
            <w:tcW w:w="964" w:type="dxa"/>
            <w:tcBorders>
              <w:top w:val="single" w:color="auto" w:sz="4" w:space="0"/>
              <w:left w:val="single" w:color="auto" w:sz="4" w:space="0"/>
              <w:bottom w:val="single" w:color="auto" w:sz="4" w:space="0"/>
              <w:right w:val="single" w:color="auto" w:sz="4" w:space="0"/>
            </w:tcBorders>
            <w:noWrap w:val="0"/>
            <w:vAlign w:val="center"/>
          </w:tcPr>
          <w:p w14:paraId="55F83B5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数量</w:t>
            </w:r>
          </w:p>
        </w:tc>
        <w:tc>
          <w:tcPr>
            <w:tcW w:w="1922" w:type="dxa"/>
            <w:tcBorders>
              <w:top w:val="single" w:color="auto" w:sz="4" w:space="0"/>
              <w:left w:val="single" w:color="auto" w:sz="4" w:space="0"/>
              <w:bottom w:val="single" w:color="auto" w:sz="4" w:space="0"/>
              <w:right w:val="single" w:color="auto" w:sz="4" w:space="0"/>
            </w:tcBorders>
            <w:noWrap w:val="0"/>
            <w:vAlign w:val="center"/>
          </w:tcPr>
          <w:p w14:paraId="25BDDE02">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单价</w:t>
            </w:r>
          </w:p>
        </w:tc>
        <w:tc>
          <w:tcPr>
            <w:tcW w:w="899" w:type="dxa"/>
            <w:tcBorders>
              <w:top w:val="single" w:color="auto" w:sz="4" w:space="0"/>
              <w:left w:val="single" w:color="auto" w:sz="4" w:space="0"/>
              <w:bottom w:val="single" w:color="auto" w:sz="4" w:space="0"/>
              <w:right w:val="single" w:color="auto" w:sz="4" w:space="0"/>
            </w:tcBorders>
            <w:noWrap w:val="0"/>
            <w:vAlign w:val="center"/>
          </w:tcPr>
          <w:p w14:paraId="65B99918">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备注</w:t>
            </w:r>
          </w:p>
        </w:tc>
      </w:tr>
      <w:tr w14:paraId="02D4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2F8F68E3">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3FD9A6C">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A366E04">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0676F4EC">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74F94CB">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7476A6B1">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3365B22C">
            <w:pPr>
              <w:spacing w:line="360" w:lineRule="auto"/>
              <w:jc w:val="center"/>
              <w:textAlignment w:val="center"/>
              <w:rPr>
                <w:rFonts w:hint="eastAsia" w:ascii="宋体" w:hAnsi="宋体" w:cs="宋体"/>
                <w:color w:val="auto"/>
                <w:sz w:val="24"/>
                <w:highlight w:val="none"/>
              </w:rPr>
            </w:pPr>
          </w:p>
        </w:tc>
      </w:tr>
      <w:tr w14:paraId="7966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08CEB9B4">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1C0CF793">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0837078E">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6F356290">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3785C39C">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02D0982F">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7C10A944">
            <w:pPr>
              <w:spacing w:line="360" w:lineRule="auto"/>
              <w:jc w:val="center"/>
              <w:textAlignment w:val="center"/>
              <w:rPr>
                <w:rFonts w:hint="eastAsia" w:ascii="宋体" w:hAnsi="宋体" w:cs="宋体"/>
                <w:color w:val="auto"/>
                <w:sz w:val="24"/>
                <w:highlight w:val="none"/>
              </w:rPr>
            </w:pPr>
          </w:p>
        </w:tc>
      </w:tr>
      <w:tr w14:paraId="048D2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59A577BC">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22089DB">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63E0D0B">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66B8629">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3F5A2C6">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4817A1CE">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4A0EE783">
            <w:pPr>
              <w:spacing w:line="360" w:lineRule="auto"/>
              <w:jc w:val="center"/>
              <w:textAlignment w:val="center"/>
              <w:rPr>
                <w:rFonts w:hint="eastAsia" w:ascii="宋体" w:hAnsi="宋体" w:cs="宋体"/>
                <w:color w:val="auto"/>
                <w:sz w:val="24"/>
                <w:highlight w:val="none"/>
              </w:rPr>
            </w:pPr>
          </w:p>
        </w:tc>
      </w:tr>
      <w:tr w14:paraId="65A85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exact"/>
          <w:jc w:val="center"/>
        </w:trPr>
        <w:tc>
          <w:tcPr>
            <w:tcW w:w="2578" w:type="dxa"/>
            <w:gridSpan w:val="2"/>
            <w:tcBorders>
              <w:top w:val="single" w:color="auto" w:sz="4" w:space="0"/>
              <w:left w:val="single" w:color="auto" w:sz="4" w:space="0"/>
              <w:bottom w:val="single" w:color="auto" w:sz="4" w:space="0"/>
              <w:right w:val="single" w:color="auto" w:sz="4" w:space="0"/>
            </w:tcBorders>
            <w:noWrap w:val="0"/>
            <w:vAlign w:val="center"/>
          </w:tcPr>
          <w:p w14:paraId="2C54661F">
            <w:pPr>
              <w:adjustRightInd w:val="0"/>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总计（人民币/元）</w:t>
            </w:r>
          </w:p>
        </w:tc>
        <w:tc>
          <w:tcPr>
            <w:tcW w:w="6099" w:type="dxa"/>
            <w:gridSpan w:val="5"/>
            <w:tcBorders>
              <w:top w:val="single" w:color="auto" w:sz="4" w:space="0"/>
              <w:left w:val="single" w:color="auto" w:sz="4" w:space="0"/>
              <w:bottom w:val="single" w:color="auto" w:sz="4" w:space="0"/>
              <w:right w:val="single" w:color="auto" w:sz="4" w:space="0"/>
            </w:tcBorders>
            <w:noWrap w:val="0"/>
            <w:vAlign w:val="center"/>
          </w:tcPr>
          <w:p w14:paraId="20CBB6EB">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（大写）</w:t>
            </w:r>
          </w:p>
        </w:tc>
      </w:tr>
    </w:tbl>
    <w:p w14:paraId="6C8C73A8">
      <w:pPr>
        <w:kinsoku w:val="0"/>
        <w:spacing w:line="360" w:lineRule="auto"/>
        <w:ind w:firstLine="480" w:firstLineChars="200"/>
        <w:rPr>
          <w:rFonts w:ascii="宋体" w:hAnsi="宋体" w:cs="宋体"/>
        </w:rPr>
      </w:pPr>
      <w:r>
        <w:rPr>
          <w:rStyle w:val="11"/>
          <w:rFonts w:ascii="宋体" w:hAnsi="宋体"/>
          <w:sz w:val="24"/>
          <w:szCs w:val="24"/>
        </w:rPr>
        <w:t>乙方负责按以上确定的</w:t>
      </w:r>
      <w:r>
        <w:rPr>
          <w:rStyle w:val="11"/>
          <w:rFonts w:hint="eastAsia" w:ascii="宋体" w:hAnsi="宋体"/>
          <w:sz w:val="24"/>
          <w:szCs w:val="24"/>
          <w:lang w:val="en-US" w:eastAsia="zh-CN"/>
        </w:rPr>
        <w:t>货物</w:t>
      </w:r>
      <w:r>
        <w:rPr>
          <w:rStyle w:val="11"/>
          <w:rFonts w:ascii="宋体" w:hAnsi="宋体"/>
          <w:sz w:val="24"/>
          <w:szCs w:val="24"/>
        </w:rPr>
        <w:t>及配套内容进行服务，及时制定服务计划，确保所有服务有序、安全、全面进行，做好服务工作</w:t>
      </w:r>
      <w:r>
        <w:rPr>
          <w:rFonts w:hint="eastAsia" w:ascii="宋体" w:hAnsi="宋体" w:cs="宋体"/>
          <w:sz w:val="24"/>
          <w:szCs w:val="24"/>
        </w:rPr>
        <w:t>。</w:t>
      </w:r>
    </w:p>
    <w:p w14:paraId="3E2905A4">
      <w:pPr>
        <w:spacing w:line="360" w:lineRule="auto"/>
        <w:ind w:firstLine="482" w:firstLineChars="200"/>
        <w:rPr>
          <w:rFonts w:ascii="宋体" w:hAnsi="宋体" w:cs="宋体"/>
          <w:b/>
          <w:bCs/>
          <w:sz w:val="24"/>
          <w:szCs w:val="24"/>
        </w:rPr>
      </w:pPr>
      <w:r>
        <w:rPr>
          <w:rFonts w:hint="eastAsia" w:ascii="宋体" w:hAnsi="宋体" w:cs="宋体"/>
          <w:b/>
          <w:bCs/>
          <w:sz w:val="24"/>
          <w:szCs w:val="24"/>
        </w:rPr>
        <w:t>二、合同价格</w:t>
      </w:r>
    </w:p>
    <w:p w14:paraId="0841CD3E">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合同总价：人民币大写：</w:t>
      </w:r>
      <w:r>
        <w:rPr>
          <w:rFonts w:hint="eastAsia" w:ascii="宋体" w:hAnsi="宋体" w:cs="宋体"/>
          <w:b/>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72FFD9C6">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w:t>
      </w:r>
      <w:r>
        <w:rPr>
          <w:rStyle w:val="11"/>
          <w:rFonts w:ascii="宋体" w:hAnsi="宋体"/>
          <w:sz w:val="24"/>
          <w:szCs w:val="24"/>
        </w:rPr>
        <w:t>是指服务完毕</w:t>
      </w:r>
      <w:r>
        <w:rPr>
          <w:rStyle w:val="11"/>
          <w:rFonts w:hint="eastAsia" w:ascii="宋体" w:hAnsi="宋体"/>
          <w:sz w:val="24"/>
          <w:szCs w:val="24"/>
          <w:lang w:eastAsia="zh-CN"/>
        </w:rPr>
        <w:t>，</w:t>
      </w:r>
      <w:r>
        <w:rPr>
          <w:rStyle w:val="11"/>
          <w:rFonts w:hint="eastAsia" w:ascii="宋体" w:hAnsi="宋体"/>
          <w:sz w:val="24"/>
          <w:szCs w:val="24"/>
          <w:lang w:val="en-US" w:eastAsia="zh-CN"/>
        </w:rPr>
        <w:t>产品到</w:t>
      </w:r>
      <w:r>
        <w:rPr>
          <w:rStyle w:val="11"/>
          <w:rFonts w:ascii="宋体" w:hAnsi="宋体"/>
          <w:sz w:val="24"/>
          <w:szCs w:val="24"/>
        </w:rPr>
        <w:t>所需要的地点、完成后的价格，其中已包含</w:t>
      </w:r>
      <w:r>
        <w:rPr>
          <w:rStyle w:val="11"/>
          <w:rFonts w:hint="eastAsia" w:ascii="宋体" w:hAnsi="宋体"/>
          <w:sz w:val="24"/>
          <w:szCs w:val="24"/>
          <w:lang w:val="en-US" w:eastAsia="zh-CN"/>
        </w:rPr>
        <w:t>产品费、</w:t>
      </w:r>
      <w:r>
        <w:rPr>
          <w:rStyle w:val="11"/>
          <w:rFonts w:ascii="宋体" w:hAnsi="宋体"/>
          <w:sz w:val="24"/>
          <w:szCs w:val="24"/>
        </w:rPr>
        <w:t>服务费用、杂费规费、人工费、设备使用、通讯、文件资料费等产生的一切相关费用。合同履行期间，均不考虑物价波动，为一次性包死价格</w:t>
      </w:r>
      <w:r>
        <w:rPr>
          <w:rFonts w:hint="eastAsia" w:ascii="宋体" w:hAnsi="宋体" w:cs="宋体"/>
          <w:sz w:val="24"/>
          <w:szCs w:val="24"/>
        </w:rPr>
        <w:t>。</w:t>
      </w:r>
    </w:p>
    <w:p w14:paraId="46FB388E">
      <w:pPr>
        <w:numPr>
          <w:ilvl w:val="0"/>
          <w:numId w:val="1"/>
        </w:numPr>
        <w:spacing w:line="360" w:lineRule="auto"/>
        <w:ind w:firstLine="482" w:firstLineChars="200"/>
        <w:rPr>
          <w:rFonts w:ascii="宋体" w:hAnsi="宋体" w:cs="宋体"/>
          <w:b/>
          <w:bCs/>
          <w:sz w:val="24"/>
          <w:szCs w:val="24"/>
        </w:rPr>
      </w:pPr>
      <w:r>
        <w:rPr>
          <w:rFonts w:hint="eastAsia" w:ascii="宋体" w:hAnsi="宋体" w:cs="宋体"/>
          <w:b/>
          <w:bCs/>
          <w:sz w:val="24"/>
          <w:szCs w:val="24"/>
        </w:rPr>
        <w:t>款项支付</w:t>
      </w:r>
    </w:p>
    <w:p w14:paraId="6F2EAD1B">
      <w:pPr>
        <w:spacing w:line="360" w:lineRule="auto"/>
        <w:ind w:firstLine="480" w:firstLineChars="200"/>
        <w:rPr>
          <w:rFonts w:hint="eastAsia" w:ascii="宋体" w:hAnsi="宋体" w:cs="宋体"/>
          <w:bCs/>
          <w:color w:val="FF0000"/>
          <w:sz w:val="24"/>
          <w:szCs w:val="24"/>
          <w:lang w:eastAsia="zh-Hans"/>
        </w:rPr>
      </w:pPr>
      <w:r>
        <w:rPr>
          <w:rFonts w:hint="eastAsia" w:ascii="宋体" w:hAnsi="宋体" w:cs="宋体"/>
          <w:bCs/>
          <w:sz w:val="24"/>
          <w:szCs w:val="24"/>
          <w:lang w:eastAsia="zh-Hans"/>
        </w:rPr>
        <w:t>付款方式：合同签订后 ，达到付款条件起 10 日内，支付合同总金额的 30.00%。设备送达采购人指定地点并验收合格后 ，达到付款条件起 30 日内，支付合同总金额的70.00%。</w:t>
      </w:r>
    </w:p>
    <w:p w14:paraId="295C9121">
      <w:pPr>
        <w:spacing w:line="360" w:lineRule="auto"/>
        <w:ind w:firstLine="482" w:firstLineChars="200"/>
        <w:textAlignment w:val="baseline"/>
        <w:rPr>
          <w:rStyle w:val="11"/>
          <w:rFonts w:ascii="宋体"/>
          <w:b/>
          <w:sz w:val="24"/>
          <w:szCs w:val="24"/>
        </w:rPr>
      </w:pPr>
      <w:r>
        <w:rPr>
          <w:rStyle w:val="11"/>
          <w:rFonts w:ascii="宋体" w:hAnsi="宋体"/>
          <w:b/>
          <w:sz w:val="24"/>
          <w:szCs w:val="24"/>
        </w:rPr>
        <w:t>四、</w:t>
      </w:r>
      <w:r>
        <w:rPr>
          <w:rStyle w:val="11"/>
          <w:rFonts w:hint="eastAsia" w:ascii="宋体" w:hAnsi="宋体"/>
          <w:b/>
          <w:sz w:val="24"/>
          <w:szCs w:val="24"/>
          <w:lang w:val="en-US" w:eastAsia="zh-CN"/>
        </w:rPr>
        <w:t>交货</w:t>
      </w:r>
      <w:bookmarkStart w:id="0" w:name="_GoBack"/>
      <w:bookmarkEnd w:id="0"/>
      <w:r>
        <w:rPr>
          <w:rStyle w:val="11"/>
          <w:rFonts w:ascii="宋体" w:hAnsi="宋体"/>
          <w:b/>
          <w:sz w:val="24"/>
          <w:szCs w:val="24"/>
        </w:rPr>
        <w:t>条件</w:t>
      </w:r>
    </w:p>
    <w:p w14:paraId="42C06B6F">
      <w:pPr>
        <w:tabs>
          <w:tab w:val="left" w:pos="735"/>
        </w:tabs>
        <w:snapToGrid w:val="0"/>
        <w:spacing w:line="360" w:lineRule="auto"/>
        <w:ind w:firstLine="501" w:firstLineChars="209"/>
        <w:textAlignment w:val="baseline"/>
        <w:rPr>
          <w:rStyle w:val="11"/>
          <w:rFonts w:ascii="宋体" w:hAnsi="宋体"/>
          <w:sz w:val="24"/>
          <w:szCs w:val="24"/>
        </w:rPr>
      </w:pPr>
      <w:r>
        <w:rPr>
          <w:rStyle w:val="11"/>
          <w:rFonts w:ascii="宋体" w:hAnsi="宋体"/>
          <w:sz w:val="24"/>
          <w:szCs w:val="24"/>
        </w:rPr>
        <w:t>1</w:t>
      </w:r>
      <w:r>
        <w:rPr>
          <w:rStyle w:val="11"/>
          <w:rFonts w:hint="eastAsia" w:ascii="宋体" w:hAnsi="宋体"/>
          <w:sz w:val="24"/>
          <w:szCs w:val="24"/>
        </w:rPr>
        <w:t>.</w:t>
      </w:r>
      <w:r>
        <w:rPr>
          <w:rStyle w:val="11"/>
          <w:rFonts w:hint="eastAsia" w:ascii="宋体" w:hAnsi="宋体"/>
          <w:sz w:val="24"/>
          <w:szCs w:val="24"/>
          <w:lang w:val="en-US" w:eastAsia="zh-CN"/>
        </w:rPr>
        <w:t>交货</w:t>
      </w:r>
      <w:r>
        <w:rPr>
          <w:rStyle w:val="11"/>
          <w:rFonts w:ascii="宋体" w:hAnsi="宋体"/>
          <w:sz w:val="24"/>
          <w:szCs w:val="24"/>
        </w:rPr>
        <w:t>地点：</w:t>
      </w:r>
    </w:p>
    <w:p w14:paraId="156CE4CA">
      <w:pPr>
        <w:tabs>
          <w:tab w:val="left" w:pos="735"/>
        </w:tabs>
        <w:snapToGrid w:val="0"/>
        <w:spacing w:line="360" w:lineRule="auto"/>
        <w:ind w:firstLine="501" w:firstLineChars="209"/>
        <w:textAlignment w:val="baseline"/>
        <w:rPr>
          <w:rStyle w:val="11"/>
          <w:rFonts w:ascii="宋体" w:hAnsi="宋体"/>
          <w:sz w:val="24"/>
          <w:szCs w:val="24"/>
        </w:rPr>
      </w:pPr>
      <w:r>
        <w:rPr>
          <w:rStyle w:val="11"/>
          <w:rFonts w:ascii="宋体" w:hAnsi="宋体"/>
          <w:sz w:val="24"/>
          <w:szCs w:val="24"/>
        </w:rPr>
        <w:t>2</w:t>
      </w:r>
      <w:r>
        <w:rPr>
          <w:rStyle w:val="11"/>
          <w:rFonts w:hint="eastAsia" w:ascii="宋体" w:hAnsi="宋体"/>
          <w:sz w:val="24"/>
          <w:szCs w:val="24"/>
        </w:rPr>
        <w:t>.</w:t>
      </w:r>
      <w:r>
        <w:rPr>
          <w:rStyle w:val="11"/>
          <w:rFonts w:hint="eastAsia" w:ascii="宋体" w:hAnsi="宋体"/>
          <w:sz w:val="24"/>
          <w:szCs w:val="24"/>
          <w:lang w:val="en-US" w:eastAsia="zh-CN"/>
        </w:rPr>
        <w:t>交货期</w:t>
      </w:r>
      <w:r>
        <w:rPr>
          <w:rStyle w:val="11"/>
          <w:rFonts w:ascii="宋体" w:hAnsi="宋体"/>
          <w:sz w:val="24"/>
          <w:szCs w:val="24"/>
        </w:rPr>
        <w:t>：</w:t>
      </w:r>
    </w:p>
    <w:p w14:paraId="7EB5AF76">
      <w:pPr>
        <w:snapToGrid w:val="0"/>
        <w:spacing w:line="360" w:lineRule="auto"/>
        <w:ind w:firstLine="482" w:firstLineChars="200"/>
        <w:textAlignment w:val="baseline"/>
        <w:rPr>
          <w:rStyle w:val="11"/>
          <w:rFonts w:ascii="宋体" w:hAnsi="宋体"/>
          <w:b/>
          <w:sz w:val="24"/>
        </w:rPr>
      </w:pPr>
      <w:r>
        <w:rPr>
          <w:rStyle w:val="11"/>
          <w:rFonts w:ascii="宋体" w:hAnsi="宋体"/>
          <w:b/>
          <w:sz w:val="24"/>
        </w:rPr>
        <w:t>五、质量保证</w:t>
      </w:r>
    </w:p>
    <w:p w14:paraId="0F34C8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1、产品的质保期为_______年。</w:t>
      </w:r>
    </w:p>
    <w:p w14:paraId="7C4464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2、质保期内，若发生产品质量问题，乙方应免费解决。</w:t>
      </w:r>
    </w:p>
    <w:p w14:paraId="4D2A1A14">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baseline"/>
        <w:rPr>
          <w:rStyle w:val="11"/>
          <w:rFonts w:hint="eastAsia" w:ascii="宋体" w:hAnsi="宋体" w:eastAsia="宋体" w:cs="宋体"/>
          <w:sz w:val="24"/>
        </w:rPr>
      </w:pPr>
      <w:r>
        <w:rPr>
          <w:rFonts w:hint="eastAsia" w:ascii="宋体" w:hAnsi="宋体" w:eastAsia="宋体" w:cs="宋体"/>
          <w:color w:val="auto"/>
          <w:sz w:val="24"/>
          <w:highlight w:val="none"/>
        </w:rPr>
        <w:t>3、超过质保期的维修服务，按照</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承诺</w:t>
      </w:r>
      <w:r>
        <w:rPr>
          <w:rFonts w:hint="eastAsia" w:ascii="宋体" w:hAnsi="宋体" w:eastAsia="宋体" w:cs="宋体"/>
          <w:color w:val="auto"/>
          <w:sz w:val="24"/>
          <w:highlight w:val="none"/>
          <w:lang w:val="en-US" w:eastAsia="zh-CN"/>
        </w:rPr>
        <w:t>和响应文件</w:t>
      </w:r>
      <w:r>
        <w:rPr>
          <w:rFonts w:hint="eastAsia" w:ascii="宋体" w:hAnsi="宋体" w:eastAsia="宋体" w:cs="宋体"/>
          <w:color w:val="auto"/>
          <w:sz w:val="24"/>
          <w:highlight w:val="none"/>
        </w:rPr>
        <w:t>进行。</w:t>
      </w:r>
    </w:p>
    <w:p w14:paraId="6EA20FDF">
      <w:pPr>
        <w:keepNext w:val="0"/>
        <w:keepLines w:val="0"/>
        <w:pageBreakBefore w:val="0"/>
        <w:widowControl w:val="0"/>
        <w:kinsoku/>
        <w:wordWrap/>
        <w:overflowPunct/>
        <w:topLinePunct w:val="0"/>
        <w:autoSpaceDE/>
        <w:autoSpaceDN/>
        <w:bidi w:val="0"/>
        <w:spacing w:line="360" w:lineRule="auto"/>
        <w:ind w:firstLine="480"/>
        <w:textAlignment w:val="baseline"/>
        <w:rPr>
          <w:rStyle w:val="11"/>
          <w:rFonts w:hint="eastAsia" w:ascii="宋体" w:hAnsi="宋体" w:eastAsia="宋体" w:cs="宋体"/>
          <w:sz w:val="24"/>
        </w:rPr>
      </w:pPr>
      <w:r>
        <w:rPr>
          <w:rStyle w:val="11"/>
          <w:rFonts w:hint="eastAsia" w:ascii="宋体" w:hAnsi="宋体" w:eastAsia="宋体" w:cs="宋体"/>
          <w:sz w:val="24"/>
        </w:rPr>
        <w:t>3.乙方在本项目实施过程中造成物件的损坏和丢失等需对本项目按原价三倍赔偿。</w:t>
      </w:r>
    </w:p>
    <w:p w14:paraId="0F45C381">
      <w:pPr>
        <w:keepNext w:val="0"/>
        <w:keepLines w:val="0"/>
        <w:pageBreakBefore w:val="0"/>
        <w:widowControl w:val="0"/>
        <w:kinsoku/>
        <w:wordWrap/>
        <w:overflowPunct/>
        <w:topLinePunct w:val="0"/>
        <w:autoSpaceDE/>
        <w:autoSpaceDN/>
        <w:bidi w:val="0"/>
        <w:spacing w:line="360" w:lineRule="auto"/>
        <w:ind w:firstLine="480"/>
        <w:textAlignment w:val="baseline"/>
        <w:rPr>
          <w:rStyle w:val="11"/>
          <w:rFonts w:hAnsi="宋体" w:cs="Calibri"/>
          <w:b/>
          <w:bCs/>
          <w:color w:val="000000"/>
          <w:sz w:val="24"/>
          <w:szCs w:val="24"/>
        </w:rPr>
      </w:pPr>
      <w:r>
        <w:rPr>
          <w:rFonts w:hint="eastAsia" w:ascii="宋体" w:hAnsi="宋体" w:eastAsia="宋体" w:cs="宋体"/>
          <w:color w:val="auto"/>
          <w:spacing w:val="-6"/>
          <w:sz w:val="24"/>
          <w:highlight w:val="none"/>
          <w:lang w:val="en-US" w:eastAsia="zh-CN"/>
        </w:rPr>
        <w:t>4.</w:t>
      </w:r>
      <w:r>
        <w:rPr>
          <w:rFonts w:hint="eastAsia" w:ascii="宋体" w:hAnsi="宋体" w:eastAsia="宋体" w:cs="宋体"/>
          <w:color w:val="auto"/>
          <w:spacing w:val="-6"/>
          <w:sz w:val="24"/>
          <w:highlight w:val="none"/>
        </w:rPr>
        <w:t>在质保期内，如果发现货物的质量、规格、技术指标等存在与合同中任何一项不符，由乙方负责调整更换维修，费用自行承担。</w:t>
      </w:r>
    </w:p>
    <w:p w14:paraId="70B556D1">
      <w:pPr>
        <w:snapToGrid w:val="0"/>
        <w:spacing w:line="360" w:lineRule="auto"/>
        <w:ind w:firstLine="482" w:firstLineChars="200"/>
        <w:textAlignment w:val="baseline"/>
        <w:rPr>
          <w:rStyle w:val="11"/>
          <w:rFonts w:cs="Calibri"/>
          <w:b/>
          <w:bCs/>
          <w:sz w:val="24"/>
        </w:rPr>
      </w:pPr>
      <w:r>
        <w:rPr>
          <w:rStyle w:val="11"/>
          <w:rFonts w:hAnsi="宋体" w:cs="Calibri"/>
          <w:b/>
          <w:bCs/>
          <w:color w:val="000000"/>
          <w:sz w:val="24"/>
          <w:szCs w:val="24"/>
        </w:rPr>
        <w:t>六、验收</w:t>
      </w:r>
      <w:r>
        <w:rPr>
          <w:rStyle w:val="11"/>
          <w:rFonts w:cs="Calibri"/>
          <w:b/>
          <w:bCs/>
          <w:sz w:val="24"/>
        </w:rPr>
        <w:t>方式</w:t>
      </w:r>
    </w:p>
    <w:p w14:paraId="7A22CD54">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在服务完成</w:t>
      </w:r>
      <w:r>
        <w:rPr>
          <w:rStyle w:val="11"/>
          <w:rFonts w:ascii="宋体" w:hAnsi="宋体"/>
          <w:kern w:val="0"/>
          <w:sz w:val="24"/>
        </w:rPr>
        <w:t>前</w:t>
      </w:r>
      <w:r>
        <w:rPr>
          <w:rStyle w:val="11"/>
          <w:rFonts w:ascii="宋体" w:hAnsi="宋体" w:cs="Calibri"/>
          <w:bCs/>
          <w:sz w:val="24"/>
        </w:rPr>
        <w:t>所发生的一切损失及费用由乙方承担。服务内容达到标书要求的，验收通过；验收不合格的，完成标书服务要求；服务内容仍达不到要求的，按本合同第八条第2款处理。</w:t>
      </w:r>
    </w:p>
    <w:p w14:paraId="321690B7">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违约责任：</w:t>
      </w:r>
    </w:p>
    <w:p w14:paraId="70710F40">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合同生效后，甲乙双方应按合同规定认真履约。合同履约责任只涉及合同甲乙双方，不考虑第三方因素。</w:t>
      </w:r>
    </w:p>
    <w:p w14:paraId="0E184D72">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乙方对服务过程中出现的问题推委、拖延，24小时未作出服务响应，应接受甲方的合理处罚。</w:t>
      </w:r>
    </w:p>
    <w:p w14:paraId="513016B1">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3</w:t>
      </w:r>
      <w:r>
        <w:rPr>
          <w:rStyle w:val="11"/>
          <w:rFonts w:hint="eastAsia" w:ascii="宋体" w:hAnsi="宋体" w:cs="Calibri"/>
          <w:bCs/>
          <w:sz w:val="24"/>
        </w:rPr>
        <w:t>.</w:t>
      </w:r>
      <w:r>
        <w:rPr>
          <w:rStyle w:val="11"/>
          <w:rFonts w:ascii="宋体" w:hAnsi="宋体" w:cs="Calibri"/>
          <w:bCs/>
          <w:sz w:val="24"/>
        </w:rPr>
        <w:t>由于乙方原因不能履行合同服务项目，或履行合同质效达不到规定，甲方有权聘请第三方公司执行合同内所列项目，发生费用从乙方服务费用中扣除支付。</w:t>
      </w:r>
    </w:p>
    <w:p w14:paraId="10831549">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合同争议的解决</w:t>
      </w:r>
    </w:p>
    <w:p w14:paraId="7F110676">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合同一经签订，不得随意变更、中止或终止。对确需变更、调整或者中止、终止合同的，应按规定履行相应的手续。</w:t>
      </w:r>
    </w:p>
    <w:p w14:paraId="05A9AD07">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合同执行中发生争议的，甲、乙双方应协商解决，协商达不成一致时，可向甲方所在地人民法院提请诉讼。</w:t>
      </w:r>
    </w:p>
    <w:p w14:paraId="3014454A">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其它事项</w:t>
      </w:r>
    </w:p>
    <w:p w14:paraId="1CC0F374">
      <w:pPr>
        <w:spacing w:line="360" w:lineRule="auto"/>
        <w:ind w:firstLine="480" w:firstLineChars="200"/>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甲、乙双方做为合同执行的主体，有义务及时完全履行合同。</w:t>
      </w:r>
    </w:p>
    <w:p w14:paraId="52DB4B9C">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合同未尽事宜，由甲、乙双方协商，协商方案作为本合同不可分割的组成部分，与本合同具有同等法律效力。</w:t>
      </w:r>
    </w:p>
    <w:p w14:paraId="60062F40">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3</w:t>
      </w:r>
      <w:r>
        <w:rPr>
          <w:rStyle w:val="11"/>
          <w:rFonts w:hint="eastAsia" w:ascii="宋体" w:hAnsi="宋体" w:cs="Calibri"/>
          <w:bCs/>
          <w:sz w:val="24"/>
        </w:rPr>
        <w:t>.</w:t>
      </w:r>
      <w:r>
        <w:rPr>
          <w:rStyle w:val="11"/>
          <w:rFonts w:ascii="宋体" w:hAnsi="宋体" w:cs="Calibri"/>
          <w:bCs/>
          <w:sz w:val="24"/>
        </w:rPr>
        <w:t>招标文件和乙方的</w:t>
      </w:r>
      <w:r>
        <w:rPr>
          <w:rStyle w:val="11"/>
          <w:rFonts w:hint="eastAsia" w:ascii="宋体" w:hAnsi="宋体" w:cs="Calibri"/>
          <w:bCs/>
          <w:sz w:val="24"/>
          <w:lang w:eastAsia="zh-CN"/>
        </w:rPr>
        <w:t>响应文件</w:t>
      </w:r>
      <w:r>
        <w:rPr>
          <w:rStyle w:val="11"/>
          <w:rFonts w:ascii="宋体" w:hAnsi="宋体" w:cs="Calibri"/>
          <w:bCs/>
          <w:sz w:val="24"/>
        </w:rPr>
        <w:t>以及合同附件均为合同不可分割的部分。</w:t>
      </w:r>
    </w:p>
    <w:p w14:paraId="53031139">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4</w:t>
      </w:r>
      <w:r>
        <w:rPr>
          <w:rStyle w:val="11"/>
          <w:rFonts w:hint="eastAsia" w:ascii="宋体" w:hAnsi="宋体" w:cs="Calibri"/>
          <w:bCs/>
          <w:sz w:val="24"/>
        </w:rPr>
        <w:t>.</w:t>
      </w:r>
      <w:r>
        <w:rPr>
          <w:rStyle w:val="11"/>
          <w:rFonts w:ascii="宋体" w:hAnsi="宋体" w:cs="Calibri"/>
          <w:bCs/>
          <w:sz w:val="24"/>
        </w:rPr>
        <w:t>合同一式陆份，甲方持肆份、乙方执</w:t>
      </w:r>
      <w:r>
        <w:rPr>
          <w:rStyle w:val="11"/>
          <w:rFonts w:hint="eastAsia" w:ascii="宋体" w:hAnsi="宋体" w:cs="Calibri"/>
          <w:bCs/>
          <w:sz w:val="24"/>
        </w:rPr>
        <w:t>贰</w:t>
      </w:r>
      <w:r>
        <w:rPr>
          <w:rStyle w:val="11"/>
          <w:rFonts w:ascii="宋体" w:hAnsi="宋体" w:cs="Calibri"/>
          <w:bCs/>
          <w:sz w:val="24"/>
        </w:rPr>
        <w:t>份。双方签字盖章后生效，合同执行完毕自动失效。（合同的服务承诺长期有效）。</w:t>
      </w:r>
    </w:p>
    <w:p w14:paraId="1ADA7E47">
      <w:pPr>
        <w:spacing w:line="360" w:lineRule="auto"/>
        <w:ind w:firstLine="555"/>
        <w:rPr>
          <w:rFonts w:hint="eastAsia" w:ascii="宋体" w:hAnsi="宋体" w:cs="宋体"/>
          <w:b/>
          <w:sz w:val="24"/>
          <w:szCs w:val="24"/>
        </w:rPr>
      </w:pPr>
      <w:r>
        <w:rPr>
          <w:rFonts w:hint="eastAsia" w:ascii="宋体" w:hAnsi="宋体" w:cs="宋体"/>
          <w:b/>
          <w:sz w:val="24"/>
          <w:szCs w:val="24"/>
        </w:rPr>
        <w:t xml:space="preserve">甲方                                    </w:t>
      </w:r>
      <w:r>
        <w:rPr>
          <w:rFonts w:hint="eastAsia" w:ascii="宋体" w:hAnsi="宋体" w:cs="宋体"/>
          <w:b/>
          <w:sz w:val="24"/>
          <w:szCs w:val="24"/>
          <w:lang w:val="en-US" w:eastAsia="zh-CN"/>
        </w:rPr>
        <w:t xml:space="preserve"> </w:t>
      </w:r>
      <w:r>
        <w:rPr>
          <w:rFonts w:hint="eastAsia" w:ascii="宋体" w:hAnsi="宋体" w:cs="宋体"/>
          <w:b/>
          <w:sz w:val="24"/>
          <w:szCs w:val="24"/>
        </w:rPr>
        <w:t>乙方（全填）</w:t>
      </w:r>
    </w:p>
    <w:p w14:paraId="17DBD01A">
      <w:pPr>
        <w:spacing w:line="360" w:lineRule="auto"/>
        <w:ind w:firstLine="560"/>
        <w:rPr>
          <w:rFonts w:hint="eastAsia" w:ascii="宋体" w:hAnsi="宋体" w:cs="宋体"/>
          <w:b/>
          <w:sz w:val="24"/>
          <w:szCs w:val="24"/>
        </w:rPr>
      </w:pPr>
      <w:r>
        <w:rPr>
          <w:rFonts w:hint="eastAsia" w:ascii="宋体" w:hAnsi="宋体" w:cs="宋体"/>
          <w:sz w:val="24"/>
          <w:szCs w:val="24"/>
        </w:rPr>
        <w:t>单位名称（盖章）：                       单位名称（盖章）：</w:t>
      </w:r>
    </w:p>
    <w:p w14:paraId="318ABEA5">
      <w:pPr>
        <w:spacing w:line="360" w:lineRule="auto"/>
        <w:ind w:firstLine="540"/>
        <w:rPr>
          <w:rFonts w:hint="eastAsia" w:ascii="宋体" w:hAnsi="宋体" w:cs="宋体"/>
          <w:sz w:val="24"/>
          <w:szCs w:val="24"/>
        </w:rPr>
      </w:pPr>
      <w:r>
        <w:rPr>
          <w:rFonts w:hint="eastAsia" w:ascii="宋体" w:hAnsi="宋体" w:cs="宋体"/>
          <w:sz w:val="24"/>
          <w:szCs w:val="24"/>
        </w:rPr>
        <w:t>地址：                                   地址：</w:t>
      </w:r>
    </w:p>
    <w:p w14:paraId="4CDAA71B">
      <w:pPr>
        <w:spacing w:line="360" w:lineRule="auto"/>
        <w:ind w:firstLine="560"/>
        <w:rPr>
          <w:rFonts w:hint="eastAsia" w:ascii="宋体" w:hAnsi="宋体" w:cs="宋体"/>
          <w:sz w:val="24"/>
          <w:szCs w:val="24"/>
        </w:rPr>
      </w:pPr>
      <w:r>
        <w:rPr>
          <w:rFonts w:hint="eastAsia" w:ascii="宋体" w:hAnsi="宋体" w:cs="宋体"/>
          <w:sz w:val="24"/>
          <w:szCs w:val="24"/>
        </w:rPr>
        <w:t>法定代表人：                             法定代表人：（盖章/签字）</w:t>
      </w:r>
    </w:p>
    <w:p w14:paraId="50361D7B">
      <w:pPr>
        <w:spacing w:line="360" w:lineRule="auto"/>
        <w:ind w:firstLine="560"/>
        <w:rPr>
          <w:rFonts w:hint="eastAsia" w:ascii="宋体" w:hAnsi="宋体" w:cs="宋体"/>
          <w:sz w:val="24"/>
          <w:szCs w:val="24"/>
        </w:rPr>
      </w:pPr>
      <w:r>
        <w:rPr>
          <w:rFonts w:hint="eastAsia" w:ascii="宋体" w:hAnsi="宋体" w:cs="宋体"/>
          <w:sz w:val="24"/>
          <w:szCs w:val="24"/>
        </w:rPr>
        <w:t>委托代理人：（签字）                    委托代理人：（签字）</w:t>
      </w:r>
    </w:p>
    <w:p w14:paraId="77390977">
      <w:pPr>
        <w:spacing w:line="360" w:lineRule="auto"/>
        <w:ind w:firstLine="540"/>
        <w:rPr>
          <w:rFonts w:hint="eastAsia" w:ascii="宋体" w:hAnsi="宋体" w:cs="宋体"/>
          <w:sz w:val="24"/>
          <w:szCs w:val="24"/>
        </w:rPr>
      </w:pPr>
      <w:r>
        <w:rPr>
          <w:rFonts w:hint="eastAsia" w:ascii="宋体" w:hAnsi="宋体" w:cs="宋体"/>
          <w:sz w:val="24"/>
          <w:szCs w:val="24"/>
        </w:rPr>
        <w:t>电话：　　　　　　　　　　　　　　　　　电话：</w:t>
      </w:r>
    </w:p>
    <w:p w14:paraId="17C43792">
      <w:pPr>
        <w:spacing w:line="360" w:lineRule="auto"/>
        <w:ind w:firstLine="540"/>
        <w:rPr>
          <w:rFonts w:hint="eastAsia" w:ascii="宋体" w:hAnsi="宋体" w:cs="宋体"/>
          <w:sz w:val="24"/>
          <w:szCs w:val="24"/>
        </w:rPr>
      </w:pPr>
      <w:r>
        <w:rPr>
          <w:rFonts w:hint="eastAsia" w:ascii="宋体" w:hAnsi="宋体" w:cs="宋体"/>
          <w:sz w:val="24"/>
          <w:szCs w:val="24"/>
        </w:rPr>
        <w:t>传真：               　　               传真：</w:t>
      </w:r>
    </w:p>
    <w:p w14:paraId="7F604BDD">
      <w:pPr>
        <w:spacing w:line="360" w:lineRule="auto"/>
        <w:ind w:firstLine="570"/>
        <w:rPr>
          <w:rFonts w:hint="eastAsia" w:ascii="宋体" w:hAnsi="宋体" w:cs="宋体"/>
          <w:sz w:val="24"/>
          <w:szCs w:val="24"/>
        </w:rPr>
      </w:pPr>
      <w:r>
        <w:rPr>
          <w:rFonts w:hint="eastAsia" w:ascii="宋体" w:hAnsi="宋体" w:cs="宋体"/>
          <w:sz w:val="24"/>
          <w:szCs w:val="24"/>
        </w:rPr>
        <w:t>邮编：　　　　　　　　　　　　　　　　　邮编：</w:t>
      </w:r>
    </w:p>
    <w:p w14:paraId="3A472C0C">
      <w:pPr>
        <w:spacing w:line="360" w:lineRule="auto"/>
        <w:ind w:firstLine="570"/>
        <w:rPr>
          <w:rFonts w:hint="eastAsia"/>
          <w:lang w:val="en-US" w:eastAsia="zh-Hans"/>
        </w:rPr>
      </w:pPr>
      <w:r>
        <w:rPr>
          <w:rFonts w:hint="eastAsia" w:ascii="宋体" w:hAnsi="宋体" w:cs="宋体"/>
          <w:sz w:val="24"/>
          <w:szCs w:val="24"/>
        </w:rPr>
        <w:t>　　　　　　　　　　　　　　　　　　　</w:t>
      </w:r>
      <w:r>
        <w:rPr>
          <w:rFonts w:hint="eastAsia" w:ascii="宋体" w:hAnsi="宋体" w:cs="宋体"/>
          <w:sz w:val="24"/>
          <w:szCs w:val="24"/>
          <w:lang w:val="en-US" w:eastAsia="zh-CN"/>
        </w:rPr>
        <w:t xml:space="preserve"> </w:t>
      </w:r>
      <w:r>
        <w:rPr>
          <w:rFonts w:hint="eastAsia" w:ascii="宋体" w:hAnsi="宋体" w:cs="宋体"/>
          <w:sz w:val="24"/>
          <w:szCs w:val="24"/>
        </w:rPr>
        <w:t xml:space="preserve"> 开户银行及账号：</w:t>
      </w:r>
    </w:p>
    <w:p w14:paraId="6B1E896A">
      <w:pPr>
        <w:pStyle w:val="12"/>
        <w:spacing w:line="360" w:lineRule="auto"/>
        <w:rPr>
          <w:rFonts w:hint="eastAsia" w:ascii="宋体" w:hAnsi="宋体" w:eastAsia="宋体" w:cs="宋体"/>
          <w:lang w:val="en-US" w:eastAsia="zh-Hans"/>
        </w:rPr>
      </w:pPr>
    </w:p>
    <w:p w14:paraId="2897C5AB">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2DBC7"/>
    <w:multiLevelType w:val="singleLevel"/>
    <w:tmpl w:val="5912DBC7"/>
    <w:lvl w:ilvl="0" w:tentative="0">
      <w:start w:val="7"/>
      <w:numFmt w:val="chineseCounting"/>
      <w:suff w:val="nothing"/>
      <w:lvlText w:val="%1、"/>
      <w:lvlJc w:val="left"/>
      <w:pPr>
        <w:textAlignment w:val="baseline"/>
      </w:pPr>
      <w:rPr>
        <w:rStyle w:val="11"/>
      </w:rPr>
    </w:lvl>
  </w:abstractNum>
  <w:abstractNum w:abstractNumId="1">
    <w:nsid w:val="7EBA4DB1"/>
    <w:multiLevelType w:val="singleLevel"/>
    <w:tmpl w:val="7EBA4DB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1AE77C8F"/>
    <w:rsid w:val="1F7313AF"/>
    <w:rsid w:val="374B4003"/>
    <w:rsid w:val="40113D60"/>
    <w:rsid w:val="490444BD"/>
    <w:rsid w:val="49D2064A"/>
    <w:rsid w:val="531B0FE3"/>
    <w:rsid w:val="58284D14"/>
    <w:rsid w:val="5CA51503"/>
    <w:rsid w:val="5DDC65FC"/>
    <w:rsid w:val="684D0A65"/>
    <w:rsid w:val="6B6B7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firstLineChars="200"/>
    </w:pPr>
    <w:rPr>
      <w:szCs w:val="20"/>
    </w:rPr>
  </w:style>
  <w:style w:type="character" w:styleId="8">
    <w:name w:val="Strong"/>
    <w:qFormat/>
    <w:uiPriority w:val="22"/>
    <w:rPr>
      <w:b/>
      <w:bCs/>
    </w:rPr>
  </w:style>
  <w:style w:type="character" w:styleId="9">
    <w:name w:val="page number"/>
    <w:basedOn w:val="7"/>
    <w:qFormat/>
    <w:uiPriority w:val="0"/>
  </w:style>
  <w:style w:type="paragraph" w:styleId="10">
    <w:name w:val="List Paragraph"/>
    <w:basedOn w:val="1"/>
    <w:qFormat/>
    <w:uiPriority w:val="34"/>
    <w:pPr>
      <w:ind w:firstLine="420" w:firstLineChars="200"/>
    </w:pPr>
  </w:style>
  <w:style w:type="character" w:customStyle="1" w:styleId="11">
    <w:name w:val="NormalCharacter"/>
    <w:qFormat/>
    <w:uiPriority w:val="0"/>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1169</Words>
  <Characters>1201</Characters>
  <Lines>0</Lines>
  <Paragraphs>0</Paragraphs>
  <TotalTime>0</TotalTime>
  <ScaleCrop>false</ScaleCrop>
  <LinksUpToDate>false</LinksUpToDate>
  <CharactersWithSpaces>1475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趁早</cp:lastModifiedBy>
  <dcterms:modified xsi:type="dcterms:W3CDTF">2025-12-01T07:43:19Z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E4C78839E44D457AAA78974988F50DC3_12</vt:lpwstr>
  </property>
  <property fmtid="{D5CDD505-2E9C-101B-9397-08002B2CF9AE}" pid="4" name="KSOTemplateDocerSaveRecord">
    <vt:lpwstr>eyJoZGlkIjoiYjZiYjcxNGE4NjViOGViYzVmNDI4NDA5ZjQ4NDY4OWUiLCJ1c2VySWQiOiIyNDE1Nzk0OTUifQ==</vt:lpwstr>
  </property>
</Properties>
</file>