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版本号：GYZB-2025-02220251201001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高陵区取水口监测计量项目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GYZB-2025-022</w:t>
      </w:r>
      <w:r>
        <w:br/>
      </w:r>
      <w:r>
        <w:br/>
      </w:r>
      <w:r>
        <w:br/>
      </w:r>
    </w:p>
    <w:p>
      <w:pPr>
        <w:pStyle w:val="null3"/>
        <w:jc w:val="center"/>
        <w:outlineLvl w:val="2"/>
      </w:pPr>
      <w:r>
        <w:rPr>
          <w:rFonts w:ascii="仿宋_GB2312" w:hAnsi="仿宋_GB2312" w:cs="仿宋_GB2312" w:eastAsia="仿宋_GB2312"/>
          <w:sz w:val="28"/>
          <w:b/>
        </w:rPr>
        <w:t>西安市高陵区水资源服务中心</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西安市高陵区水资源服务中心</w:t>
      </w:r>
      <w:r>
        <w:rPr>
          <w:rFonts w:ascii="仿宋_GB2312" w:hAnsi="仿宋_GB2312" w:cs="仿宋_GB2312" w:eastAsia="仿宋_GB2312"/>
        </w:rPr>
        <w:t>委托，拟对</w:t>
      </w:r>
      <w:r>
        <w:rPr>
          <w:rFonts w:ascii="仿宋_GB2312" w:hAnsi="仿宋_GB2312" w:cs="仿宋_GB2312" w:eastAsia="仿宋_GB2312"/>
        </w:rPr>
        <w:t>高陵区取水口监测计量项目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GYZB-2025-022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高陵区取水口监测计量项目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在高陵区选取16个农灌样本井安装以电折水计量监测设备，采购16套农灌样本井以电折水计量监测设备，并安装调试。农灌样本井以电折水计量监测设备要具有实时监测农灌样本井的实时抽水流量，最终将监测数据上传到数据接收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采购包1（高陵区取水口监测计量项目）：属于专门面向小微企业采购。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w:t>
      </w:r>
    </w:p>
    <w:p>
      <w:pPr>
        <w:pStyle w:val="null3"/>
      </w:pPr>
      <w:r>
        <w:rPr>
          <w:rFonts w:ascii="仿宋_GB2312" w:hAnsi="仿宋_GB2312" w:cs="仿宋_GB2312" w:eastAsia="仿宋_GB2312"/>
        </w:rPr>
        <w:t>2、信用查询要求：不得为“信用中国”网站（www.creditchina.gov.cn）中列入失信被执行人和重大税收违法失信主体的供应商，不得为中国政府采购网（www.ccgp.gov.cn）政府采购严重违法失信行为记录名单中被财政部门禁止参加政府采购活动的供应商，以现场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西安市高陵区水资源服务中心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西安市高陵区西环城路23号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西安市高陵区水资源服务中心经办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029-86911665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王蕊聪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15991261661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代理服务费收费标准：参考《国家计委关于印发〈招标代理服务费管理暂行办法〉的通知》（计价格〔2002〕1980号）规定，不足五千按五千收取，具体金额将在结果公告中公布。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西安市高陵区水资源服务中心</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西安市高陵区水资源服务中心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西安市高陵区水资源服务中心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陕西国裕工程项目管理有限公司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联系人：雷林</w:t>
      </w:r>
    </w:p>
    <w:p>
      <w:pPr>
        <w:pStyle w:val="null3"/>
      </w:pPr>
      <w:r>
        <w:rPr>
          <w:rFonts w:ascii="仿宋_GB2312" w:hAnsi="仿宋_GB2312" w:cs="仿宋_GB2312" w:eastAsia="仿宋_GB2312"/>
        </w:rPr>
        <w:t>联系电话：13379083323</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高陵区选取16个农灌样本井安装以电折水计量监测设备，采购16套农灌样本井以电折水计量监测设备，并安装调试。农灌样本井以电折水计量监测设备要具有实时监测农灌样本井的实时抽水流量，最终将监测数据上传到数据接收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高陵区取水口监测计量项目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标的名称：高陵区取水口监测计量项目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一、项目背景</w:t>
            </w:r>
            <w:r>
              <w:br/>
            </w:r>
            <w:r>
              <w:rPr>
                <w:rFonts w:ascii="仿宋_GB2312" w:hAnsi="仿宋_GB2312" w:cs="仿宋_GB2312" w:eastAsia="仿宋_GB2312"/>
              </w:rPr>
              <w:t xml:space="preserve"> 在高陵区选取16个农灌样本井安装以电折水计量监测设备，采购16套农灌样本井以电折水计量监测设备，并安装调试。农灌样本井以电折水计量监测设备要具有实时监测农灌样本井的实时抽水流量，最终将监测数据上传到数据接收平台。</w:t>
            </w:r>
            <w:r>
              <w:br/>
            </w:r>
            <w:r>
              <w:rPr>
                <w:rFonts w:ascii="仿宋_GB2312" w:hAnsi="仿宋_GB2312" w:cs="仿宋_GB2312" w:eastAsia="仿宋_GB2312"/>
              </w:rPr>
              <w:t xml:space="preserve"> 二、建设内容及周期</w:t>
            </w:r>
            <w:r>
              <w:br/>
            </w:r>
            <w:r>
              <w:rPr>
                <w:rFonts w:ascii="仿宋_GB2312" w:hAnsi="仿宋_GB2312" w:cs="仿宋_GB2312" w:eastAsia="仿宋_GB2312"/>
              </w:rPr>
              <w:t xml:space="preserve"> 采购16套农灌样本井以电折水计量监测设备，并安装调试。最终将监测数据上传到数据接收平台。</w:t>
            </w:r>
            <w:r>
              <w:br/>
            </w:r>
            <w:r>
              <w:rPr>
                <w:rFonts w:ascii="仿宋_GB2312" w:hAnsi="仿宋_GB2312" w:cs="仿宋_GB2312" w:eastAsia="仿宋_GB2312"/>
              </w:rPr>
              <w:t xml:space="preserve"> 设备清单：</w:t>
            </w:r>
          </w:p>
          <w:tbl>
            <w:tblPr>
              <w:tblBorders>
                <w:top w:val="none" w:color="000000" w:sz="4"/>
                <w:left w:val="none" w:color="000000" w:sz="4"/>
                <w:bottom w:val="none" w:color="000000" w:sz="4"/>
                <w:right w:val="none" w:color="000000" w:sz="4"/>
                <w:insideH w:val="none"/>
                <w:insideV w:val="none"/>
              </w:tblBorders>
            </w:tblPr>
            <w:tblGrid>
              <w:gridCol w:w="315"/>
              <w:gridCol w:w="1348"/>
              <w:gridCol w:w="501"/>
              <w:gridCol w:w="372"/>
            </w:tblGrid>
            <w:tr>
              <w:tc>
                <w:tcPr>
                  <w:tcW w:type="dxa" w:w="3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3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产品名称</w:t>
                  </w:r>
                </w:p>
              </w:tc>
              <w:tc>
                <w:tcPr>
                  <w:tcW w:type="dxa" w:w="5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3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15"/>
                  <w:vMerge/>
                  <w:tcBorders>
                    <w:top w:val="single" w:color="000000" w:sz="4"/>
                    <w:left w:val="single" w:color="000000" w:sz="4"/>
                    <w:bottom w:val="single" w:color="000000" w:sz="4"/>
                    <w:right w:val="single" w:color="000000" w:sz="4"/>
                  </w:tcBorders>
                </w:tcPr>
                <w:p/>
              </w:tc>
              <w:tc>
                <w:tcPr>
                  <w:tcW w:type="dxa" w:w="1348"/>
                  <w:vMerge/>
                  <w:tcBorders>
                    <w:top w:val="single" w:color="000000" w:sz="4"/>
                    <w:left w:val="none" w:color="000000" w:sz="4"/>
                    <w:bottom w:val="single" w:color="000000" w:sz="4"/>
                    <w:right w:val="single" w:color="000000" w:sz="4"/>
                  </w:tcBorders>
                </w:tcPr>
                <w:p/>
              </w:tc>
              <w:tc>
                <w:tcPr>
                  <w:tcW w:type="dxa" w:w="501"/>
                  <w:vMerge/>
                  <w:tcBorders>
                    <w:top w:val="single" w:color="000000" w:sz="4"/>
                    <w:left w:val="none" w:color="000000" w:sz="4"/>
                    <w:bottom w:val="single" w:color="000000" w:sz="4"/>
                    <w:right w:val="single" w:color="000000" w:sz="4"/>
                  </w:tcBorders>
                </w:tcPr>
                <w:p/>
              </w:tc>
              <w:tc>
                <w:tcPr>
                  <w:tcW w:type="dxa" w:w="372"/>
                  <w:vMerge/>
                  <w:tcBorders>
                    <w:top w:val="single" w:color="000000" w:sz="4"/>
                    <w:left w:val="none" w:color="000000" w:sz="4"/>
                    <w:bottom w:val="single" w:color="000000" w:sz="4"/>
                    <w:right w:val="single" w:color="000000" w:sz="4"/>
                  </w:tcBorders>
                </w:tcP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电磁流量计</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水资源控制器（集成数传模块）</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太阳能光伏板</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太阳能光伏板支架</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供电锂电池组（集成光伏控制器）</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设备机箱</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安装辅材</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设备安装、调试</w:t>
                  </w:r>
                </w:p>
              </w:tc>
              <w:tc>
                <w:tcPr>
                  <w:tcW w:type="dxa" w:w="5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处</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r>
          </w:tbl>
          <w:p>
            <w:pPr>
              <w:pStyle w:val="null3"/>
            </w:pPr>
            <w:r>
              <w:rPr>
                <w:rFonts w:ascii="仿宋_GB2312" w:hAnsi="仿宋_GB2312" w:cs="仿宋_GB2312" w:eastAsia="仿宋_GB2312"/>
              </w:rPr>
              <w:t>核心产品为</w:t>
            </w:r>
            <w:r>
              <w:rPr>
                <w:rFonts w:ascii="仿宋_GB2312" w:hAnsi="仿宋_GB2312" w:cs="仿宋_GB2312" w:eastAsia="仿宋_GB2312"/>
              </w:rPr>
              <w:t>电磁流量计</w:t>
            </w:r>
          </w:p>
          <w:p>
            <w:pPr>
              <w:pStyle w:val="null3"/>
            </w:pPr>
            <w:r>
              <w:rPr>
                <w:rFonts w:ascii="仿宋_GB2312" w:hAnsi="仿宋_GB2312" w:cs="仿宋_GB2312" w:eastAsia="仿宋_GB2312"/>
              </w:rPr>
              <w:t>三、技术要求</w:t>
            </w:r>
            <w:r>
              <w:br/>
            </w:r>
            <w:r>
              <w:rPr>
                <w:rFonts w:ascii="仿宋_GB2312" w:hAnsi="仿宋_GB2312" w:cs="仿宋_GB2312" w:eastAsia="仿宋_GB2312"/>
              </w:rPr>
              <w:t xml:space="preserve"> 1.取水口在线监测计量设施由数据采集、数据传输两部分构成。</w:t>
            </w:r>
            <w:r>
              <w:br/>
            </w:r>
            <w:r>
              <w:rPr>
                <w:rFonts w:ascii="仿宋_GB2312" w:hAnsi="仿宋_GB2312" w:cs="仿宋_GB2312" w:eastAsia="仿宋_GB2312"/>
              </w:rPr>
              <w:t xml:space="preserve"> （1）数据采集：主要依靠流量计测取水量（流量或水量）。</w:t>
            </w:r>
            <w:r>
              <w:br/>
            </w:r>
            <w:r>
              <w:rPr>
                <w:rFonts w:ascii="仿宋_GB2312" w:hAnsi="仿宋_GB2312" w:cs="仿宋_GB2312" w:eastAsia="仿宋_GB2312"/>
              </w:rPr>
              <w:t xml:space="preserve"> （2）数据传输：取用水监控体系的信息采集站点分布于市内广大区域，信息传输通道依据站点本身特点和周边通讯条件，考虑到传输的信息流量都比较小，本次项目建设中使用 4G/GPRS 通信方式。通信方式的使用规定和要求符合《水资源监测数据传输规约》（SZY 206-2021）。承诺以电折水样板井按照数据传输规约协议将监测数据上传到接收平台。</w:t>
            </w:r>
            <w:r>
              <w:br/>
            </w:r>
            <w:r>
              <w:rPr>
                <w:rFonts w:ascii="仿宋_GB2312" w:hAnsi="仿宋_GB2312" w:cs="仿宋_GB2312" w:eastAsia="仿宋_GB2312"/>
              </w:rPr>
              <w:t xml:space="preserve"> 四、建设管理及运行维护</w:t>
            </w:r>
            <w:r>
              <w:br/>
            </w:r>
            <w:r>
              <w:rPr>
                <w:rFonts w:ascii="仿宋_GB2312" w:hAnsi="仿宋_GB2312" w:cs="仿宋_GB2312" w:eastAsia="仿宋_GB2312"/>
              </w:rPr>
              <w:t xml:space="preserve"> 项目建成后严格按照《水资源水量监测技术导则》、《水利信息系统运行维护规范》、《国家水资源监控能力建设项目运行维护技术规范》等相关标准规范的规定和水资源管理工作的要求。承诺“以电折水”样板井的取水计量设施建设完全符合相关技术指南和导则。</w:t>
            </w:r>
            <w:r>
              <w:br/>
            </w:r>
            <w:r>
              <w:rPr>
                <w:rFonts w:ascii="仿宋_GB2312" w:hAnsi="仿宋_GB2312" w:cs="仿宋_GB2312" w:eastAsia="仿宋_GB2312"/>
              </w:rPr>
              <w:t xml:space="preserve"> 五、安装要求</w:t>
            </w:r>
            <w:r>
              <w:br/>
            </w:r>
            <w:r>
              <w:rPr>
                <w:rFonts w:ascii="仿宋_GB2312" w:hAnsi="仿宋_GB2312" w:cs="仿宋_GB2312" w:eastAsia="仿宋_GB2312"/>
              </w:rPr>
              <w:t xml:space="preserve"> 调试步骤及试验要求</w:t>
            </w:r>
            <w:r>
              <w:br/>
            </w:r>
            <w:r>
              <w:rPr>
                <w:rFonts w:ascii="仿宋_GB2312" w:hAnsi="仿宋_GB2312" w:cs="仿宋_GB2312" w:eastAsia="仿宋_GB2312"/>
              </w:rPr>
              <w:t xml:space="preserve"> （1）按照与数据采集终端连接的各个水资源监测设备的试验要求观察数据采集终端每次采集到的数据与比测数据是否符合误差要求，符合要求则可以投入正常使用，否则，应检查相应设备本身以及与数据采集终端的连接是否存在问题，如有问题，则排除相关问题直至合格。</w:t>
            </w:r>
            <w:r>
              <w:br/>
            </w:r>
            <w:r>
              <w:rPr>
                <w:rFonts w:ascii="仿宋_GB2312" w:hAnsi="仿宋_GB2312" w:cs="仿宋_GB2312" w:eastAsia="仿宋_GB2312"/>
              </w:rPr>
              <w:t xml:space="preserve"> （2）承诺设备编码（测站编码、测站地址、站点地址）的申请须向接收平台提供条目内容完整的信息档案，由平台授权下发给各监测站点编码。</w:t>
            </w:r>
            <w:r>
              <w:br/>
            </w:r>
            <w:r>
              <w:rPr>
                <w:rFonts w:ascii="仿宋_GB2312" w:hAnsi="仿宋_GB2312" w:cs="仿宋_GB2312" w:eastAsia="仿宋_GB2312"/>
              </w:rPr>
              <w:t xml:space="preserve"> 安装环境要求</w:t>
            </w:r>
            <w:r>
              <w:br/>
            </w:r>
            <w:r>
              <w:rPr>
                <w:rFonts w:ascii="仿宋_GB2312" w:hAnsi="仿宋_GB2312" w:cs="仿宋_GB2312" w:eastAsia="仿宋_GB2312"/>
              </w:rPr>
              <w:t xml:space="preserve"> （1）施工场所应有醒目、清晰、易懂的电气安全标识；</w:t>
            </w:r>
            <w:r>
              <w:br/>
            </w:r>
            <w:r>
              <w:rPr>
                <w:rFonts w:ascii="仿宋_GB2312" w:hAnsi="仿宋_GB2312" w:cs="仿宋_GB2312" w:eastAsia="仿宋_GB2312"/>
              </w:rPr>
              <w:t xml:space="preserve"> （2）在雨、雪、大风天气情况下不得进行室外施工作业；</w:t>
            </w:r>
            <w:r>
              <w:br/>
            </w:r>
            <w:r>
              <w:rPr>
                <w:rFonts w:ascii="仿宋_GB2312" w:hAnsi="仿宋_GB2312" w:cs="仿宋_GB2312" w:eastAsia="仿宋_GB2312"/>
              </w:rPr>
              <w:t xml:space="preserve"> （3）施工人员应穿绝缘鞋，带低压绝缘手套，使用绝缘工具；</w:t>
            </w:r>
            <w:r>
              <w:br/>
            </w:r>
            <w:r>
              <w:rPr>
                <w:rFonts w:ascii="仿宋_GB2312" w:hAnsi="仿宋_GB2312" w:cs="仿宋_GB2312" w:eastAsia="仿宋_GB2312"/>
              </w:rPr>
              <w:t xml:space="preserve"> （4）在安装光伏系统时，安装场所上空的架空电线应有隔离措施。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全部设备到达采购人指定地点安装、调试、数据上传完成并验收合格后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12</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成交供应商须在结果公告发布之日起5个工作日内，提交响应文件一正二副至陕西省西安市未央区陕西省西安市经济技术开发区凤城七路明光路长和国际D座2004-2室（陕西国裕工程项目管理有限公司）。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 2、财务状况报告：提供2024年度的财务审计报告（成立时间至提交响应文件截止时间不足一年的可提供成立后任意时段的资产负债表）或其基本存款账户开户银行出具的资信证明及基本存款账户开户许可证（基本账户存款信息）； 3、社会保障资金缴纳证明：提供近一年内缴纳的至少1个月的社会保障资金缴存单据或社保机构开具的社会保险参保缴费情况证明，依法不需要缴纳社会保障资金的单位应提供相关证明材料； 4、税收缴纳证明：提供近一年内已缴纳的至少1个月的纳税证明或完税证明，依法免税的单位应提供相关证明材料； 5、无重大违法记录声明函：参加政府采购活动前三年内，在经营活动中没有重大违法记录的书面声明（成立时间至提交响应文件截止时间不足一年的可提供成立至今的书面声明）； 6、履约能力承诺：提供具有履行合同所必需的设备和专业技术能力的承诺；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现场查询记录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响应文件有效期符合谈判文件的要求。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（1）货币单位符合竞争性谈判文件要求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完全响应竞争性谈判文件要求的各项技术、商务实质性条款</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竞争性谈判响应文件组成</w:t>
            </w:r>
          </w:p>
        </w:tc>
        <w:tc>
          <w:tcPr>
            <w:tcW w:type="dxa" w:w="3322"/>
          </w:tcPr>
          <w:p>
            <w:pPr>
              <w:pStyle w:val="null3"/>
            </w:pPr>
            <w:r>
              <w:rPr>
                <w:rFonts w:ascii="仿宋_GB2312" w:hAnsi="仿宋_GB2312" w:cs="仿宋_GB2312" w:eastAsia="仿宋_GB2312"/>
              </w:rPr>
              <w:t>竞争性谈判响应文件应包含竞争性谈判文件要求的所有内容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产品技术参数表.docx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