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版本号：YDZB-2025-120520251215001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高陵区取水口在线计量监测和标识牌项目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YDZB-2025-1205</w:t>
      </w:r>
      <w:r>
        <w:br/>
      </w:r>
      <w:r>
        <w:br/>
      </w:r>
      <w:r>
        <w:br/>
      </w:r>
    </w:p>
    <w:p>
      <w:pPr>
        <w:pStyle w:val="null3"/>
        <w:jc w:val="center"/>
        <w:outlineLvl w:val="2"/>
      </w:pPr>
      <w:r>
        <w:rPr>
          <w:rFonts w:ascii="仿宋_GB2312" w:hAnsi="仿宋_GB2312" w:cs="仿宋_GB2312" w:eastAsia="仿宋_GB2312"/>
          <w:sz w:val="28"/>
          <w:b/>
        </w:rPr>
        <w:t>西安市高陵区水资源服务中心</w:t>
      </w:r>
    </w:p>
    <w:p>
      <w:pPr>
        <w:pStyle w:val="null3"/>
        <w:jc w:val="center"/>
        <w:outlineLvl w:val="2"/>
      </w:pPr>
      <w:r>
        <w:rPr>
          <w:rFonts w:ascii="仿宋_GB2312" w:hAnsi="仿宋_GB2312" w:cs="仿宋_GB2312" w:eastAsia="仿宋_GB2312"/>
          <w:sz w:val="28"/>
          <w:b/>
        </w:rPr>
        <w:t>远大工程项目管理有限公司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远大工程项目管理有限公司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西安市高陵区水资源服务中心</w:t>
      </w:r>
      <w:r>
        <w:rPr>
          <w:rFonts w:ascii="仿宋_GB2312" w:hAnsi="仿宋_GB2312" w:cs="仿宋_GB2312" w:eastAsia="仿宋_GB2312"/>
        </w:rPr>
        <w:t>委托，拟对</w:t>
      </w:r>
      <w:r>
        <w:rPr>
          <w:rFonts w:ascii="仿宋_GB2312" w:hAnsi="仿宋_GB2312" w:cs="仿宋_GB2312" w:eastAsia="仿宋_GB2312"/>
        </w:rPr>
        <w:t>高陵区取水口在线计量监测和标识牌项目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YDZB-2025-1205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高陵区取水口在线计量监测和标识牌项目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在高陵区取水口新建在线计量监测设施30处，建设标识牌352处，进一步促进高陵区取水口规范化管理水平，提高取水量监测的覆盖率，全面推进高陵区水资源监控能力的提升。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采购包1（高陵区取水口在线计量监测和标识牌项目）：属于专门面向中小企业采购。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w:t>
      </w:r>
    </w:p>
    <w:p>
      <w:pPr>
        <w:pStyle w:val="null3"/>
      </w:pPr>
      <w:r>
        <w:rPr>
          <w:rFonts w:ascii="仿宋_GB2312" w:hAnsi="仿宋_GB2312" w:cs="仿宋_GB2312" w:eastAsia="仿宋_GB2312"/>
        </w:rPr>
        <w:t>4、社保资金缴纳证明：提供响应文件提交截止时间一年内至少一个月的社会保障资金缴存单据或社保机构开具的社会保险参保缴费情况证明；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w:t>
      </w:r>
    </w:p>
    <w:p>
      <w:pPr>
        <w:pStyle w:val="null3"/>
      </w:pPr>
      <w:r>
        <w:rPr>
          <w:rFonts w:ascii="仿宋_GB2312" w:hAnsi="仿宋_GB2312" w:cs="仿宋_GB2312" w:eastAsia="仿宋_GB2312"/>
        </w:rPr>
        <w:t>7、控股管理关系：提供直接控股和管理关系清单。若与其他供应商存在单位负责人为同一人或者存在直接控股、管理关系的，则按无效响应文件处理；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西安市高陵区水资源服务中心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西安市高陵区西环城路23号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029-86911665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远大工程项目管理有限公司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陕西省西安市未央区陕西省西安市经开区凤城八路长和国际18幢2单元2101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王锋伟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18092832728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国家发展改革委关于降低部分建设项目收费标准规范收费行为等有关问题的通知》发改价格[2011]534号文件规定，按标准计取代理服务费。账户名：远大工程项目管理有限公司 开户行：中国建设银行股份有限公司陕西省分行营业部 账号：61001902900052516854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西安市高陵区水资源服务中心</w:t>
      </w:r>
      <w:r>
        <w:rPr>
          <w:rFonts w:ascii="仿宋_GB2312" w:hAnsi="仿宋_GB2312" w:cs="仿宋_GB2312" w:eastAsia="仿宋_GB2312"/>
        </w:rPr>
        <w:t>和</w:t>
      </w:r>
      <w:r>
        <w:rPr>
          <w:rFonts w:ascii="仿宋_GB2312" w:hAnsi="仿宋_GB2312" w:cs="仿宋_GB2312" w:eastAsia="仿宋_GB2312"/>
        </w:rPr>
        <w:t>远大工程项目管理有限公司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西安市高陵区水资源服务中心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远大工程项目管理有限公司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远大工程项目管理有限公司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联系人：王锋伟</w:t>
      </w:r>
    </w:p>
    <w:p>
      <w:pPr>
        <w:pStyle w:val="null3"/>
      </w:pPr>
      <w:r>
        <w:rPr>
          <w:rFonts w:ascii="仿宋_GB2312" w:hAnsi="仿宋_GB2312" w:cs="仿宋_GB2312" w:eastAsia="仿宋_GB2312"/>
        </w:rPr>
        <w:t>联系电话：18092832728</w:t>
      </w:r>
    </w:p>
    <w:p>
      <w:pPr>
        <w:pStyle w:val="null3"/>
      </w:pPr>
      <w:r>
        <w:rPr>
          <w:rFonts w:ascii="仿宋_GB2312" w:hAnsi="仿宋_GB2312" w:cs="仿宋_GB2312" w:eastAsia="仿宋_GB2312"/>
        </w:rPr>
        <w:t>地址：陕西省西安市经开区凤城八路长和国际18幢2单元2101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在高陵区取水口新建在线计量监测设施30处，建设标识牌352处，进一步促进高陵区取水口规范化管理水平，提高取水量监测的覆盖率，全面推进高陵区水资源监控能力的提升。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高陵区取水口在线计量监测和标识牌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标的名称：高陵区取水口在线计量监测和标识牌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89"/>
              <w:gridCol w:w="676"/>
              <w:gridCol w:w="1173"/>
              <w:gridCol w:w="240"/>
              <w:gridCol w:w="266"/>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序号</w:t>
                  </w:r>
                </w:p>
              </w:tc>
              <w:tc>
                <w:tcPr>
                  <w:tcW w:type="dxa" w:w="6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货物/服务名称</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主要参数/服务内容</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单位</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数量</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一</w:t>
                  </w:r>
                </w:p>
              </w:tc>
              <w:tc>
                <w:tcPr>
                  <w:tcW w:type="dxa" w:w="235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b/>
                    </w:rPr>
                    <w:t>取水口在线计量监测</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调研、勘察、数据汇总</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完成</w:t>
                  </w:r>
                  <w:r>
                    <w:rPr>
                      <w:rFonts w:ascii="仿宋_GB2312" w:hAnsi="仿宋_GB2312" w:cs="仿宋_GB2312" w:eastAsia="仿宋_GB2312"/>
                      <w:sz w:val="20"/>
                    </w:rPr>
                    <w:t>调研、勘察、数据汇总</w:t>
                  </w:r>
                  <w:r>
                    <w:rPr>
                      <w:rFonts w:ascii="仿宋_GB2312" w:hAnsi="仿宋_GB2312" w:cs="仿宋_GB2312" w:eastAsia="仿宋_GB2312"/>
                      <w:sz w:val="20"/>
                    </w:rPr>
                    <w:t>相关工作内容</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电磁流量计</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电磁流量计测量精度高</w:t>
                  </w:r>
                  <w:r>
                    <w:rPr>
                      <w:rFonts w:ascii="仿宋_GB2312" w:hAnsi="仿宋_GB2312" w:cs="仿宋_GB2312" w:eastAsia="仿宋_GB2312"/>
                      <w:sz w:val="20"/>
                    </w:rPr>
                    <w:t>±0.5%</w:t>
                  </w:r>
                  <w:r>
                    <w:rPr>
                      <w:rFonts w:ascii="仿宋_GB2312" w:hAnsi="仿宋_GB2312" w:cs="仿宋_GB2312" w:eastAsia="仿宋_GB2312"/>
                      <w:sz w:val="20"/>
                    </w:rPr>
                    <w:t>级、管段式法兰连接，可正向、反向计量。无阻流部件、无压损、直管段要求低。合理选用衬里和电极材料、可达到良好的耐磨和耐腐蚀性。</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▲采集终端机（RTU）</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供电</w:t>
                  </w:r>
                  <w:r>
                    <w:rPr>
                      <w:rFonts w:ascii="仿宋_GB2312" w:hAnsi="仿宋_GB2312" w:cs="仿宋_GB2312" w:eastAsia="仿宋_GB2312"/>
                      <w:sz w:val="20"/>
                    </w:rPr>
                    <w:t>24VDC</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路网口，</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RS232</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RS485</w:t>
                  </w:r>
                  <w:r>
                    <w:rPr>
                      <w:rFonts w:ascii="仿宋_GB2312" w:hAnsi="仿宋_GB2312" w:cs="仿宋_GB2312" w:eastAsia="仿宋_GB2312"/>
                      <w:sz w:val="20"/>
                    </w:rPr>
                    <w:t>，符合《水资源监测数据传输规约》（SZY206-2012）的规定。</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w:t>
                  </w:r>
                  <w:r>
                    <w:rPr>
                      <w:rFonts w:ascii="仿宋_GB2312" w:hAnsi="仿宋_GB2312" w:cs="仿宋_GB2312" w:eastAsia="仿宋_GB2312"/>
                      <w:sz w:val="20"/>
                    </w:rPr>
                    <w:t>90W</w:t>
                  </w:r>
                  <w:r>
                    <w:rPr>
                      <w:rFonts w:ascii="仿宋_GB2312" w:hAnsi="仿宋_GB2312" w:cs="仿宋_GB2312" w:eastAsia="仿宋_GB2312"/>
                      <w:sz w:val="20"/>
                    </w:rPr>
                    <w:t>光伏板/集成光伏控制器锂电池/支架</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90W</w:t>
                  </w:r>
                  <w:r>
                    <w:rPr>
                      <w:rFonts w:ascii="仿宋_GB2312" w:hAnsi="仿宋_GB2312" w:cs="仿宋_GB2312" w:eastAsia="仿宋_GB2312"/>
                      <w:sz w:val="20"/>
                    </w:rPr>
                    <w:t>，充电过程快速、平稳，内置蓄电池温度补偿器，24V 电压自适应，自耗电小。</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触摸屏</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4.5</w:t>
                  </w:r>
                  <w:r>
                    <w:rPr>
                      <w:rFonts w:ascii="仿宋_GB2312" w:hAnsi="仿宋_GB2312" w:cs="仿宋_GB2312" w:eastAsia="仿宋_GB2312"/>
                      <w:sz w:val="20"/>
                    </w:rPr>
                    <w:t>寸内置协议</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防水设备机箱</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600*500*300</w:t>
                  </w:r>
                  <w:r>
                    <w:rPr>
                      <w:rFonts w:ascii="仿宋_GB2312" w:hAnsi="仿宋_GB2312" w:cs="仿宋_GB2312" w:eastAsia="仿宋_GB2312"/>
                      <w:sz w:val="20"/>
                    </w:rPr>
                    <w:t>㎜，冷钢材质厚度≥1.2㎜，喷涂</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设备安装辅料</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焊接法兰盘、电缆、穿线管</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8</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设备安装、调试、数据上传</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安装；流量计、光伏板、设备机箱；调试：数据采集与现场显示；数据上传：实时采集日累计流量数据上传与接收平台对接。</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处</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b/>
                    </w:rPr>
                    <w:t>二</w:t>
                  </w:r>
                  <w:r>
                    <w:rPr>
                      <w:rFonts w:ascii="仿宋_GB2312" w:hAnsi="仿宋_GB2312" w:cs="仿宋_GB2312" w:eastAsia="仿宋_GB2312"/>
                      <w:sz w:val="22"/>
                      <w:b/>
                    </w:rPr>
                    <w:t>、</w:t>
                  </w:r>
                  <w:r>
                    <w:rPr>
                      <w:rFonts w:ascii="仿宋_GB2312" w:hAnsi="仿宋_GB2312" w:cs="仿宋_GB2312" w:eastAsia="仿宋_GB2312"/>
                      <w:sz w:val="22"/>
                      <w:b/>
                    </w:rPr>
                    <w:t>取水口标识牌</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b/>
                    </w:rPr>
                    <w:t>1</w:t>
                  </w:r>
                  <w:r>
                    <w:rPr>
                      <w:rFonts w:ascii="仿宋_GB2312" w:hAnsi="仿宋_GB2312" w:cs="仿宋_GB2312" w:eastAsia="仿宋_GB2312"/>
                      <w:sz w:val="22"/>
                      <w:b/>
                    </w:rPr>
                    <w:t>、台账建立</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信息收集</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项目编号、取水单位（个人）名称、项目名称、统一社会代码、取水用途、取水量、取水口（水源类型）、设计取水口数量、项目类型、取水许可证编号、审批时间、发证机关、有效期限、建设单位电话等相关信息。</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352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取水口信息采集内容</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经、纬度；标高、成井深度、取水层、静水位、运行状态、计量设施、井权单位联系人及电话、标识牌安装时间等相关内容。</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352</w:t>
                  </w:r>
                </w:p>
              </w:tc>
            </w:tr>
            <w:tr>
              <w:tc>
                <w:tcPr>
                  <w:tcW w:type="dxa" w:w="86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b/>
                    </w:rPr>
                    <w:t>2</w:t>
                  </w:r>
                  <w:r>
                    <w:rPr>
                      <w:rFonts w:ascii="仿宋_GB2312" w:hAnsi="仿宋_GB2312" w:cs="仿宋_GB2312" w:eastAsia="仿宋_GB2312"/>
                      <w:sz w:val="22"/>
                      <w:b/>
                    </w:rPr>
                    <w:t>、标识牌制作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立柱式标识牌、悬挂式标识牌</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352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立柱式标识牌制作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符合相关规范标准</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悬挂式标识牌制作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符合相关规范标准</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个</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345</w:t>
                  </w:r>
                </w:p>
              </w:tc>
            </w:tr>
            <w:tr>
              <w:tc>
                <w:tcPr>
                  <w:tcW w:type="dxa" w:w="86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b/>
                    </w:rPr>
                    <w:t>3</w:t>
                  </w:r>
                  <w:r>
                    <w:rPr>
                      <w:rFonts w:ascii="仿宋_GB2312" w:hAnsi="仿宋_GB2312" w:cs="仿宋_GB2312" w:eastAsia="仿宋_GB2312"/>
                      <w:sz w:val="22"/>
                      <w:b/>
                    </w:rPr>
                    <w:t>、标识牌安装</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立柱式标识牌、悬挂式标识牌</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处</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352</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、质保期：设备质保期</w:t>
            </w:r>
            <w:r>
              <w:rPr>
                <w:rFonts w:ascii="仿宋_GB2312" w:hAnsi="仿宋_GB2312" w:cs="仿宋_GB2312" w:eastAsia="仿宋_GB2312"/>
                <w:sz w:val="21"/>
              </w:rPr>
              <w:t>1</w:t>
            </w:r>
            <w:r>
              <w:rPr>
                <w:rFonts w:ascii="仿宋_GB2312" w:hAnsi="仿宋_GB2312" w:cs="仿宋_GB2312" w:eastAsia="仿宋_GB2312"/>
                <w:sz w:val="21"/>
              </w:rPr>
              <w:t>年。凡国家有规定的，或优于磋商文件要求的，遵照执行。</w:t>
            </w:r>
          </w:p>
          <w:p>
            <w:pPr>
              <w:pStyle w:val="null3"/>
            </w:pPr>
            <w:r>
              <w:rPr>
                <w:rFonts w:ascii="仿宋_GB2312" w:hAnsi="仿宋_GB2312" w:cs="仿宋_GB2312" w:eastAsia="仿宋_GB2312"/>
                <w:sz w:val="21"/>
              </w:rPr>
              <w:t>2</w:t>
            </w:r>
            <w:r>
              <w:rPr>
                <w:rFonts w:ascii="仿宋_GB2312" w:hAnsi="仿宋_GB2312" w:cs="仿宋_GB2312" w:eastAsia="仿宋_GB2312"/>
                <w:sz w:val="21"/>
              </w:rPr>
              <w:t>、质量要求：达到国家及所在地的法律、法规、规章、规范性文件、行业技术标准，满足磋商文件要求</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、服务要求：在设备安装调试期间，成交供应商必须注意现场人员安全，加强安全措施，并对施工人员进行安全教育。</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、核心产品：电磁流量计。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（1）符合中华人民共和国国家安全质量标准或行业标准。 （2）符合采购文件和成交供应商响应文件的要求。 （3）货物运抵现场后，采购人将对产品质量、规格等进行检验。如发现产品与磋商文件、响应文件、合同不符，采购人有权根据检验结果要求成交供应商立即更换或提出索赔要求。 （4）成交供应商应将货物的用户手册、保修手册、有关单证资料及配备件、随机工具等交付给采购人，使用操作及安全须知等重要资料应附有中文说明。 （5）采购人组成验收小组按国家有关规定、规范或根据成交供应商所提交的验收方案和实施办法进行验收，必要时邀请相关的专业人员或机构参与验收。因货物的质量问题发生争议时，由本地质量技术监督部门鉴定。货物符合质量技术标准的，鉴定费由采购人承担，否则鉴定费由成交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设备质保期1年。凡国家有规定的，或优于磋商文件要求的，遵照执行。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1、甲方逾期付款的赔偿乙方实际损失。 2、乙方逾期交货或逾期交付最终安装成果，甲方有权扣除乙方合同总价款0.2%，最多扣除20%的违约金。 3、因履行本合同引起的或与本合同有关的争议，甲、乙双方应首先通过友好协商解决;如果协商不能解决争议，甲乙双方同意采取下列两种方式的第( 2 )种方式解决争议: (1)向甲方所在地有管辖权的人民法院提起诉讼，适用中华人民共和国法律; (2)向西安市仲裁委员会按其仲裁规则申请仲裁。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3.5.1合格供应商少于3家的处理 3.5.1.1评审过程中，若出现合格供应商只有2家时，符合《政府采购竞争性磋商采购方式管理暂行办法》第3条第4项情形的，或者本项目为政府购买服务指导性目录中的，可以继续进行；只有1家时，采购人应依法重新组织采购活动。 3.5.1.2评审过程中，除符合第3.5.1.1条条款规定情形外，若出现合格供应商少于3家时，采购人应依法重新组织采购活动。 3.5.2本项目需要落实的政府采购政策：（1）《国务院办公厅关于建立政府强制采购节能产品制度的通知》（国办发〔2007〕51号）；（2）《财政部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3.5.3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叁套，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磋商的，须出具法定代表人（负责人）身份证明书及身份证正反两面扫描件或护照资料页扫描件；法定代表人（负责人）授权委托代理人参加磋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（1）响应文件封面 （2）响应函 （3）法定代表人（负责人）委托授权书</w:t>
            </w:r>
          </w:p>
        </w:tc>
        <w:tc>
          <w:tcPr>
            <w:tcW w:type="dxa" w:w="1661"/>
          </w:tcPr>
          <w:p>
            <w:pPr>
              <w:pStyle w:val="null3"/>
            </w:pPr>
            <w:r>
              <w:rPr>
                <w:rFonts w:ascii="仿宋_GB2312" w:hAnsi="仿宋_GB2312" w:cs="仿宋_GB2312" w:eastAsia="仿宋_GB2312"/>
              </w:rPr>
              <w:t>响应文件封面 法定代表人身份证明书及授权委托书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响应文件完整且编排有序，响应内容基本完整，无重大错漏；</w:t>
            </w:r>
          </w:p>
        </w:tc>
        <w:tc>
          <w:tcPr>
            <w:tcW w:type="dxa" w:w="1661"/>
          </w:tcPr>
          <w:p>
            <w:pPr>
              <w:pStyle w:val="null3"/>
            </w:pPr>
            <w:r>
              <w:rPr>
                <w:rFonts w:ascii="仿宋_GB2312" w:hAnsi="仿宋_GB2312" w:cs="仿宋_GB2312" w:eastAsia="仿宋_GB2312"/>
              </w:rPr>
              <w:t>响应文件封面 法定代表人身份证明书及授权委托书 产品技术参数表 分项报价表 中小企业声明函 残疾人福利性单位声明函 商务应答表 技术方案 标的清单 供应商应提交的相关资格证明材料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（1）货币单位符合磋商文件要求（2）未超出采购预算或最高限价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技术指标分关键技术指标（▲项）和一般技术指标。完全满足磋商文件要求得10分，关键技术指标（▲项）有1项负偏离扣5.0分，扣完为止；一般技术指标有1项负偏离扣2.0分，扣完为止。 说明：（1）关键技术指标（▲项）供应商须提供相关技术指标证明材料（包括但不限于第三方检测报告、产品彩页、功能截图等）予以佐证，证明材料须呈现相应功能；（2）若未提供或证明材料不清晰，按负偏离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1、根据供应商对项目需求的理解：①项目实施工作思路；②项目实施工作调研内容；③项目实施目标分析。对项目要求理解准确，内容齐全、结构完整、表述准确、条理清晰得12.0分，方案每缺失一项，扣4.0分。 2、评审标准： 完整性：方案须全面，对评审内容中的各项要求有详细描述； 可实施性：切合本项目实际情况，实施步骤清晰、合理； 针对性：方案能够紧扣项目实际情况，内容科学合理。 3、根据评审标准对项目需求的理解进行评审，每有一处内容存在缺陷的扣2.0分，扣完为止。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项目需求编制实施方案：①安装调试实施方案；②维护服务实施方案；③调研、勘察及数据汇总实施方案；④信息收集内容方案；⑤项目实施流程、计划、进度安排。对项目要求理解准确，内容齐全、结构完整、表述准确、条理清晰得25.0分，方案每缺失一项，扣5.0分。 2、评审标准： 完整性：方案须全面，对评审内容中的各项要求有详细描述； 可实施性：切合本项目实际情况，实施步骤清晰、合理； 针对性：方案能够紧扣项目实际情况，内容科学合理。 3、根据评审标准对供应商实施方案进行评审，每有一处内容存在缺陷的扣2.5分，扣完为止。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1、根据项目需求制定保障措施：①拟派团队人员配置方案及人员实力；②进度保障措施；③质量保障措施；④安全保障措施及突发情况处理方案。对项目要求理解准确，内容齐全、结构完整、表述准确、条理清晰得12.0分，方案每缺失一项，扣3.0分。 2、评审标准： 完整性：方案须全面，对评审内容中的各项要求有详细描述； 可实施性：切合本项目实际情况，实施步骤清晰、合理； 针对性：方案能够紧扣项目实际情况，内容科学合理。 3、根据评审标准对供应商保障措施进行评审，每有一处内容存在缺陷的扣1.0分，扣完为止。 备注：缺陷是指内容不合理、虽有内容但不完善、内容表述前后不一致、套用其他项目方案或与项目需求不匹配及其他不利于项目实施的等任意一种情形。注：拟派团队人员必须为本单位人员。</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维保售后服务相关承诺</w:t>
            </w:r>
          </w:p>
        </w:tc>
        <w:tc>
          <w:tcPr>
            <w:tcW w:type="dxa" w:w="2492"/>
          </w:tcPr>
          <w:p>
            <w:pPr>
              <w:pStyle w:val="null3"/>
            </w:pPr>
            <w:r>
              <w:rPr>
                <w:rFonts w:ascii="仿宋_GB2312" w:hAnsi="仿宋_GB2312" w:cs="仿宋_GB2312" w:eastAsia="仿宋_GB2312"/>
              </w:rPr>
              <w:t>1、根据供应商相关维保售后服务相关承诺进行评审：①承诺质保1年期间免费上门服务；②承诺人工、配件、交通费用由供应商负责；③承诺24小时远程技术服务支持；④承诺无需更换设备的，1天内完成修复，需更换设备的，3天内完成修复。承诺内容齐全、结构完整、表述准确、条理清晰，符合或优于要求得8.0分，承诺每缺失一项，扣2.0分。 2、评审标准： 完整性：方案须全面，对评审内容中的各项要求有详细描述； 可实施性：切合本项目实际情况，实施步骤清晰、合理； 针对性：方案能够紧扣项目实际情况，内容科学合理。 3、根据评审标准对供应商维保售后服务相关承诺进行评审，每有一处内容存在缺陷的扣1.0分，扣完为止。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供应商提供2022年01月01日至今取水口在线计量监测或取水口标识牌项目业绩，得3分； 业绩证明（以合同（协议）或中标（成交）通知书为准。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即满足磋商文件要求且最后报价最低的供应商的价格为磋商基准价，其价格分为满分。其他供应商的价格分统一按照下列公式计算：磋商报价得分=（磋商基准价/最后磋商报价）×30%×100。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