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版本号：LZBC2025-1482.20251216001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文物考古勘探发掘服务项目（发掘劳务）(二次)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LZBC2025-1482.</w:t>
      </w:r>
      <w:r>
        <w:br/>
      </w:r>
      <w:r>
        <w:br/>
      </w:r>
      <w:r>
        <w:br/>
      </w:r>
    </w:p>
    <w:p>
      <w:pPr>
        <w:pStyle w:val="null3"/>
        <w:jc w:val="center"/>
        <w:outlineLvl w:val="2"/>
      </w:pPr>
      <w:r>
        <w:rPr>
          <w:rFonts w:ascii="仿宋_GB2312" w:hAnsi="仿宋_GB2312" w:cs="仿宋_GB2312" w:eastAsia="仿宋_GB2312"/>
          <w:sz w:val="28"/>
          <w:b/>
        </w:rPr>
        <w:t>西安市自然资源和规划局高陵分局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西安市自然资源和规划局高陵分局</w:t>
      </w:r>
      <w:r>
        <w:rPr>
          <w:rFonts w:ascii="仿宋_GB2312" w:hAnsi="仿宋_GB2312" w:cs="仿宋_GB2312" w:eastAsia="仿宋_GB2312"/>
        </w:rPr>
        <w:t>委托，拟对</w:t>
      </w:r>
      <w:r>
        <w:rPr>
          <w:rFonts w:ascii="仿宋_GB2312" w:hAnsi="仿宋_GB2312" w:cs="仿宋_GB2312" w:eastAsia="仿宋_GB2312"/>
        </w:rPr>
        <w:t>文物考古勘探发掘服务项目（发掘劳务）(二次)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LZBC2025-1482.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文物考古勘探发掘服务项目（发掘劳务）(二次)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市文物局、市发展和改革委员会、市财政局、市自然资源和规划局、市住房和城乡建设局联合印发《关于印发西安市基本建设工程考古工作实施方案的通知》(市文物发〔2023]283号)要求，按照“既有利于基本建设，又有利于文物保护”原则，全面落实“先考古、后出让”。对以上区域范围内所涉及项目进行考古发掘(民工劳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采购包1（文物考古勘探发掘服务项目（发掘劳务））：属于专门面向中小企业采购。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3、财务状况报告：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5、履行合同所必需的设备和专业技术能力书面声明函：供应商应提供履行合同所必需的设备和专业技术能力书面声明函，供应商需在项目电子化交易系统中按要求上传相应证明文件并进行电子签章。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6、本采购包专门面向中小企业采购：参与的供应商（联合体）服务全部由符合政策要求的中小企业承接，供应商需在项目电子化交易系统中按要求上传相应证明文件并进行电子签章。</w:t>
      </w:r>
    </w:p>
    <w:p>
      <w:pPr>
        <w:pStyle w:val="null3"/>
      </w:pPr>
      <w:r>
        <w:rPr>
          <w:rFonts w:ascii="仿宋_GB2312" w:hAnsi="仿宋_GB2312" w:cs="仿宋_GB2312" w:eastAsia="仿宋_GB2312"/>
        </w:rPr>
        <w:t>7、联合体协议书：若为联合体响应，则须提供联合体协议书，供应商需在项目电子化交易系统中按要求上传相应证明文件并进行电子签章。</w:t>
      </w:r>
    </w:p>
    <w:p>
      <w:pPr>
        <w:pStyle w:val="null3"/>
      </w:pPr>
      <w:r>
        <w:rPr>
          <w:rFonts w:ascii="仿宋_GB2312" w:hAnsi="仿宋_GB2312" w:cs="仿宋_GB2312" w:eastAsia="仿宋_GB2312"/>
        </w:rPr>
        <w:t>8、信用状况：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西安市自然资源和规划局高陵分局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高陵区环城东路165号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029-86918820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陕西省西安市高新区太白南路181号A座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李昕宇、王申午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因本项目服务期限为自合同签订之日起一年内，一年服务截止，下一年度在预算保障的前提下，采购人对于成交人考核，考核合格续签一年，续签最长不能超过两年，总计服务期不超三年。故依据《政府采购代理机构管理暂行办法》（财库〔2018〕2号），本项目代理服务费以预算金额作为收费基数，参照计价格[2002]1 980号、发改价格[2011]534号、发改办价格〔2003〕857号中服务类执行后乘以3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西安市自然资源和规划局高陵分局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西安市自然资源和规划局高陵分局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西安市自然资源和规划局高陵分局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联系人：李昕宇</w:t>
      </w:r>
    </w:p>
    <w:p>
      <w:pPr>
        <w:pStyle w:val="null3"/>
      </w:pPr>
      <w:r>
        <w:rPr>
          <w:rFonts w:ascii="仿宋_GB2312" w:hAnsi="仿宋_GB2312" w:cs="仿宋_GB2312" w:eastAsia="仿宋_GB2312"/>
        </w:rPr>
        <w:t>联系电话：029-88228899-638</w:t>
      </w:r>
    </w:p>
    <w:p>
      <w:pPr>
        <w:pStyle w:val="null3"/>
      </w:pPr>
      <w:r>
        <w:rPr>
          <w:rFonts w:ascii="仿宋_GB2312" w:hAnsi="仿宋_GB2312" w:cs="仿宋_GB2312" w:eastAsia="仿宋_GB2312"/>
        </w:rPr>
        <w:t>地址：西安市太白南路181号西部电子社区A座A区501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市文物局、市发展和改革委员会、市财政局、市自然资源和规划局、市住房和城乡建设局联合印发《关于印发西安市基本建设工程考古工作实施方案的通知》(市文物发〔2023]283号)要求，按照“既有利于基本建设，又有利于文物保护”原则，全面落实“先考古、后出让”。对以上区域范围内所涉及项目进行考古发掘(民工劳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标的名称：文物勘探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服务区域</w:t>
            </w:r>
            <w:r>
              <w:rPr>
                <w:rFonts w:ascii="仿宋_GB2312" w:hAnsi="仿宋_GB2312" w:cs="仿宋_GB2312" w:eastAsia="仿宋_GB2312"/>
                <w:sz w:val="24"/>
              </w:rPr>
              <w:t>:</w:t>
            </w:r>
            <w:r>
              <w:rPr>
                <w:rFonts w:ascii="仿宋_GB2312" w:hAnsi="仿宋_GB2312" w:cs="仿宋_GB2312" w:eastAsia="仿宋_GB2312"/>
                <w:sz w:val="24"/>
              </w:rPr>
              <w:t>鹿苑街办、通远街办、崇皇街办、姬家街办、泾渭街办、耿镇街办、张卜街办。</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技术要求</w:t>
            </w:r>
          </w:p>
          <w:p>
            <w:pPr>
              <w:pStyle w:val="null3"/>
              <w:ind w:firstLine="480"/>
              <w:jc w:val="both"/>
            </w:pPr>
            <w:r>
              <w:rPr>
                <w:rFonts w:ascii="仿宋_GB2312" w:hAnsi="仿宋_GB2312" w:cs="仿宋_GB2312" w:eastAsia="仿宋_GB2312"/>
                <w:sz w:val="24"/>
              </w:rPr>
              <w:t>须按照《中华人民共和国文物保护法》《陕西省文物保护条例》《西安市不可移动文物保护条例》、国家文物局《考古发掘管理办法》《田野考古工作规程》等有关法律、法规的规定和采购人的要求，配合考古发掘单位开展考古发掘民工劳务工作。</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应负责配合考古发掘的民工土方、安保、支护、土方回填及密目网覆盖相关服务工作。</w:t>
            </w:r>
          </w:p>
          <w:p>
            <w:pPr>
              <w:pStyle w:val="null3"/>
              <w:ind w:firstLine="480"/>
              <w:jc w:val="both"/>
            </w:pPr>
            <w:r>
              <w:rPr>
                <w:rFonts w:ascii="仿宋_GB2312" w:hAnsi="仿宋_GB2312" w:cs="仿宋_GB2312" w:eastAsia="仿宋_GB2312"/>
                <w:sz w:val="24"/>
              </w:rPr>
              <w:t>应拥有足够的人力、财力、物力和专业技术能力等资源保证按时按质按量完成委托业务</w:t>
            </w:r>
          </w:p>
          <w:p>
            <w:pPr>
              <w:pStyle w:val="null3"/>
              <w:ind w:firstLine="480"/>
              <w:jc w:val="both"/>
            </w:pPr>
            <w:r>
              <w:rPr>
                <w:rFonts w:ascii="仿宋_GB2312" w:hAnsi="仿宋_GB2312" w:cs="仿宋_GB2312" w:eastAsia="仿宋_GB2312"/>
                <w:sz w:val="24"/>
              </w:rPr>
              <w:t>应对自身安全负责，并给项目工作人员提供相应的保险保障。</w:t>
            </w:r>
          </w:p>
          <w:p>
            <w:pPr>
              <w:pStyle w:val="null3"/>
              <w:ind w:firstLine="480"/>
              <w:jc w:val="both"/>
            </w:pPr>
            <w:r>
              <w:rPr>
                <w:rFonts w:ascii="仿宋_GB2312" w:hAnsi="仿宋_GB2312" w:cs="仿宋_GB2312" w:eastAsia="仿宋_GB2312"/>
                <w:sz w:val="24"/>
              </w:rPr>
              <w:t>应有健全的组织机构和内部管理制度，有完善的质量保证体系和安全管理制度。</w:t>
            </w:r>
          </w:p>
          <w:p>
            <w:pPr>
              <w:pStyle w:val="null3"/>
              <w:ind w:firstLine="480"/>
              <w:jc w:val="both"/>
            </w:pPr>
            <w:r>
              <w:rPr>
                <w:rFonts w:ascii="仿宋_GB2312" w:hAnsi="仿宋_GB2312" w:cs="仿宋_GB2312" w:eastAsia="仿宋_GB2312"/>
                <w:sz w:val="24"/>
              </w:rPr>
              <w:t>定期对人员进行相关文物、考古知识的培训。应独立完成工作任务，不得以任何形式将工作任务再委托其他个人和机构。</w:t>
            </w:r>
          </w:p>
          <w:p>
            <w:pPr>
              <w:pStyle w:val="null3"/>
              <w:ind w:firstLine="480"/>
              <w:jc w:val="both"/>
            </w:pPr>
            <w:r>
              <w:rPr>
                <w:rFonts w:ascii="仿宋_GB2312" w:hAnsi="仿宋_GB2312" w:cs="仿宋_GB2312" w:eastAsia="仿宋_GB2312"/>
                <w:sz w:val="24"/>
              </w:rPr>
              <w:t>负责考古发掘施工过程中的安全保卫工作，严格执行《考古发掘配合服务合同》的相关要求，遵守考古工地的安全规定，确保考古工地的施工安全、人员安全和文物安全。</w:t>
            </w:r>
          </w:p>
          <w:p>
            <w:pPr>
              <w:pStyle w:val="null3"/>
              <w:ind w:firstLine="480"/>
              <w:jc w:val="both"/>
            </w:pPr>
            <w:r>
              <w:rPr>
                <w:rFonts w:ascii="仿宋_GB2312" w:hAnsi="仿宋_GB2312" w:cs="仿宋_GB2312" w:eastAsia="仿宋_GB2312"/>
                <w:sz w:val="24"/>
              </w:rPr>
              <w:t>应坚持</w:t>
            </w:r>
            <w:r>
              <w:rPr>
                <w:rFonts w:ascii="仿宋_GB2312" w:hAnsi="仿宋_GB2312" w:cs="仿宋_GB2312" w:eastAsia="仿宋_GB2312"/>
                <w:sz w:val="24"/>
              </w:rPr>
              <w:t>“</w:t>
            </w:r>
            <w:r>
              <w:rPr>
                <w:rFonts w:ascii="仿宋_GB2312" w:hAnsi="仿宋_GB2312" w:cs="仿宋_GB2312" w:eastAsia="仿宋_GB2312"/>
                <w:sz w:val="24"/>
              </w:rPr>
              <w:t>安全第一、预防为主</w:t>
            </w:r>
            <w:r>
              <w:rPr>
                <w:rFonts w:ascii="仿宋_GB2312" w:hAnsi="仿宋_GB2312" w:cs="仿宋_GB2312" w:eastAsia="仿宋_GB2312"/>
                <w:sz w:val="24"/>
              </w:rPr>
              <w:t>”</w:t>
            </w:r>
            <w:r>
              <w:rPr>
                <w:rFonts w:ascii="仿宋_GB2312" w:hAnsi="仿宋_GB2312" w:cs="仿宋_GB2312" w:eastAsia="仿宋_GB2312"/>
                <w:sz w:val="24"/>
              </w:rPr>
              <w:t>的原则，在开工前应根据实际情况制定工作方案及应急预案。负责组织对所有参与工作的人员进行安全警示教育，提高安全意识，防止和避免因工作失误和安全措施不到位诱发的安全责任事故。</w:t>
            </w:r>
          </w:p>
          <w:p>
            <w:pPr>
              <w:pStyle w:val="null3"/>
              <w:ind w:firstLine="480"/>
              <w:jc w:val="both"/>
            </w:pPr>
            <w:r>
              <w:rPr>
                <w:rFonts w:ascii="仿宋_GB2312" w:hAnsi="仿宋_GB2312" w:cs="仿宋_GB2312" w:eastAsia="仿宋_GB2312"/>
                <w:sz w:val="24"/>
              </w:rPr>
              <w:t>在考古发掘工作中对发现的古遗址、古墓葬等地下文物古迹负有看管保护的责任，并对相关信息负有保密的责任。</w:t>
            </w:r>
          </w:p>
          <w:p>
            <w:pPr>
              <w:pStyle w:val="null3"/>
              <w:ind w:firstLine="480"/>
              <w:jc w:val="both"/>
            </w:pPr>
            <w:r>
              <w:rPr>
                <w:rFonts w:ascii="仿宋_GB2312" w:hAnsi="仿宋_GB2312" w:cs="仿宋_GB2312" w:eastAsia="仿宋_GB2312"/>
                <w:sz w:val="24"/>
              </w:rPr>
              <w:t>全权负责考古驻地的所有工作人员、财物、设备设施以及暂存文物标本的文物库房等的安全保卫工作驻地暂存文物和标本的临时文物库房，必须符合有关存放文物的安全要求。</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商务要求</w:t>
            </w:r>
          </w:p>
          <w:p>
            <w:pPr>
              <w:pStyle w:val="null3"/>
              <w:ind w:firstLine="480"/>
              <w:jc w:val="both"/>
            </w:pPr>
            <w:r>
              <w:rPr>
                <w:rFonts w:ascii="仿宋_GB2312" w:hAnsi="仿宋_GB2312" w:cs="仿宋_GB2312" w:eastAsia="仿宋_GB2312"/>
                <w:sz w:val="24"/>
              </w:rPr>
              <w:t>服务期限</w:t>
            </w:r>
          </w:p>
          <w:p>
            <w:pPr>
              <w:pStyle w:val="null3"/>
              <w:ind w:firstLine="480"/>
              <w:jc w:val="both"/>
            </w:pPr>
            <w:r>
              <w:rPr>
                <w:rFonts w:ascii="仿宋_GB2312" w:hAnsi="仿宋_GB2312" w:cs="仿宋_GB2312" w:eastAsia="仿宋_GB2312"/>
                <w:sz w:val="24"/>
              </w:rPr>
              <w:t>自合同签订之日起一年内，一年服务截止，下一年度在预算保障的前提下，采购人对于成交人考核，考核合格续签一年，续签最长不能超过两年，总计服务期不超三年。</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进度要求</w:t>
            </w:r>
          </w:p>
          <w:p>
            <w:pPr>
              <w:pStyle w:val="null3"/>
              <w:ind w:firstLine="480"/>
              <w:jc w:val="both"/>
            </w:pPr>
            <w:r>
              <w:rPr>
                <w:rFonts w:ascii="仿宋_GB2312" w:hAnsi="仿宋_GB2312" w:cs="仿宋_GB2312" w:eastAsia="仿宋_GB2312"/>
                <w:sz w:val="24"/>
              </w:rPr>
              <w:t>配合发掘技术单位完成必要的考古发掘现场工作</w:t>
            </w:r>
            <w:r>
              <w:rPr>
                <w:rFonts w:ascii="仿宋_GB2312" w:hAnsi="仿宋_GB2312" w:cs="仿宋_GB2312" w:eastAsia="仿宋_GB2312"/>
                <w:sz w:val="24"/>
              </w:rPr>
              <w:t>:</w:t>
            </w:r>
            <w:r>
              <w:rPr>
                <w:rFonts w:ascii="仿宋_GB2312" w:hAnsi="仿宋_GB2312" w:cs="仿宋_GB2312" w:eastAsia="仿宋_GB2312"/>
                <w:sz w:val="24"/>
              </w:rPr>
              <w:t>协调省院出具考古发掘报告、土方回填及密目网覆盖</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六、</w:t>
            </w:r>
            <w:r>
              <w:rPr>
                <w:rFonts w:ascii="仿宋_GB2312" w:hAnsi="仿宋_GB2312" w:cs="仿宋_GB2312" w:eastAsia="仿宋_GB2312"/>
                <w:sz w:val="24"/>
              </w:rPr>
              <w:t>成果交付要求</w:t>
            </w:r>
          </w:p>
          <w:p>
            <w:pPr>
              <w:pStyle w:val="null3"/>
              <w:ind w:firstLine="480"/>
              <w:jc w:val="both"/>
            </w:pPr>
            <w:r>
              <w:rPr>
                <w:rFonts w:ascii="仿宋_GB2312" w:hAnsi="仿宋_GB2312" w:cs="仿宋_GB2312" w:eastAsia="仿宋_GB2312"/>
                <w:sz w:val="24"/>
              </w:rPr>
              <w:t>考古发掘工作结束后，乙方负责土方回填工作，土方回填质量要求</w:t>
            </w:r>
            <w:r>
              <w:rPr>
                <w:rFonts w:ascii="仿宋_GB2312" w:hAnsi="仿宋_GB2312" w:cs="仿宋_GB2312" w:eastAsia="仿宋_GB2312"/>
                <w:sz w:val="24"/>
              </w:rPr>
              <w:t>:</w:t>
            </w:r>
            <w:r>
              <w:rPr>
                <w:rFonts w:ascii="仿宋_GB2312" w:hAnsi="仿宋_GB2312" w:cs="仿宋_GB2312" w:eastAsia="仿宋_GB2312"/>
                <w:sz w:val="24"/>
              </w:rPr>
              <w:t>须用无有机物的黄土进行回填</w:t>
            </w:r>
            <w:r>
              <w:rPr>
                <w:rFonts w:ascii="仿宋_GB2312" w:hAnsi="仿宋_GB2312" w:cs="仿宋_GB2312" w:eastAsia="仿宋_GB2312"/>
                <w:sz w:val="24"/>
              </w:rPr>
              <w:t>(</w:t>
            </w:r>
            <w:r>
              <w:rPr>
                <w:rFonts w:ascii="仿宋_GB2312" w:hAnsi="仿宋_GB2312" w:cs="仿宋_GB2312" w:eastAsia="仿宋_GB2312"/>
                <w:sz w:val="24"/>
              </w:rPr>
              <w:t>不能用建筑垃圾及其它带有黄土的有机物回填</w:t>
            </w:r>
            <w:r>
              <w:rPr>
                <w:rFonts w:ascii="仿宋_GB2312" w:hAnsi="仿宋_GB2312" w:cs="仿宋_GB2312" w:eastAsia="仿宋_GB2312"/>
                <w:sz w:val="24"/>
              </w:rPr>
              <w:t>)</w:t>
            </w:r>
            <w:r>
              <w:rPr>
                <w:rFonts w:ascii="仿宋_GB2312" w:hAnsi="仿宋_GB2312" w:cs="仿宋_GB2312" w:eastAsia="仿宋_GB2312"/>
                <w:sz w:val="24"/>
              </w:rPr>
              <w:t>。乙方使用的机械、车辆和工具设施以及乙方的管理人员和雇用的民工等由乙方全权负责。</w:t>
            </w:r>
          </w:p>
          <w:p>
            <w:pPr>
              <w:pStyle w:val="null3"/>
              <w:ind w:firstLine="480"/>
              <w:jc w:val="both"/>
            </w:pPr>
            <w:r>
              <w:rPr>
                <w:rFonts w:ascii="仿宋_GB2312" w:hAnsi="仿宋_GB2312" w:cs="仿宋_GB2312" w:eastAsia="仿宋_GB2312"/>
                <w:sz w:val="24"/>
              </w:rPr>
              <w:t>七、质量验收标准</w:t>
            </w:r>
          </w:p>
          <w:p>
            <w:pPr>
              <w:pStyle w:val="null3"/>
              <w:ind w:firstLine="480"/>
              <w:jc w:val="both"/>
            </w:pPr>
            <w:r>
              <w:rPr>
                <w:rFonts w:ascii="仿宋_GB2312" w:hAnsi="仿宋_GB2312" w:cs="仿宋_GB2312" w:eastAsia="仿宋_GB2312"/>
                <w:sz w:val="24"/>
              </w:rPr>
              <w:t>必要考古发掘经省考古院现场验收合格后，配合单位完成土方回填</w:t>
            </w:r>
            <w:r>
              <w:rPr>
                <w:rFonts w:ascii="仿宋_GB2312" w:hAnsi="仿宋_GB2312" w:cs="仿宋_GB2312" w:eastAsia="仿宋_GB2312"/>
                <w:sz w:val="24"/>
              </w:rPr>
              <w:t>(</w:t>
            </w:r>
            <w:r>
              <w:rPr>
                <w:rFonts w:ascii="仿宋_GB2312" w:hAnsi="仿宋_GB2312" w:cs="仿宋_GB2312" w:eastAsia="仿宋_GB2312"/>
                <w:sz w:val="24"/>
              </w:rPr>
              <w:t>黄土回填</w:t>
            </w:r>
            <w:r>
              <w:rPr>
                <w:rFonts w:ascii="仿宋_GB2312" w:hAnsi="仿宋_GB2312" w:cs="仿宋_GB2312" w:eastAsia="仿宋_GB2312"/>
                <w:sz w:val="24"/>
              </w:rPr>
              <w:t>)</w:t>
            </w:r>
            <w:r>
              <w:rPr>
                <w:rFonts w:ascii="仿宋_GB2312" w:hAnsi="仿宋_GB2312" w:cs="仿宋_GB2312" w:eastAsia="仿宋_GB2312"/>
                <w:sz w:val="24"/>
              </w:rPr>
              <w:t>及密目网覆盖。</w:t>
            </w:r>
          </w:p>
          <w:p>
            <w:pPr>
              <w:pStyle w:val="null3"/>
              <w:ind w:firstLine="480"/>
              <w:jc w:val="both"/>
            </w:pPr>
            <w:r>
              <w:rPr>
                <w:rFonts w:ascii="仿宋_GB2312" w:hAnsi="仿宋_GB2312" w:cs="仿宋_GB2312" w:eastAsia="仿宋_GB2312"/>
                <w:sz w:val="24"/>
              </w:rPr>
              <w:t>八</w:t>
            </w:r>
            <w:r>
              <w:rPr>
                <w:rFonts w:ascii="仿宋_GB2312" w:hAnsi="仿宋_GB2312" w:cs="仿宋_GB2312" w:eastAsia="仿宋_GB2312"/>
                <w:sz w:val="24"/>
              </w:rPr>
              <w:t>、</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合同未尽事宜，由甲、乙双方协商解决，协商不成的，提交项目所在地人民法院进行仲裁。</w:t>
            </w:r>
          </w:p>
          <w:p>
            <w:pPr>
              <w:pStyle w:val="null3"/>
              <w:ind w:firstLine="480"/>
              <w:jc w:val="both"/>
            </w:pPr>
            <w:r>
              <w:rPr>
                <w:rFonts w:ascii="仿宋_GB2312" w:hAnsi="仿宋_GB2312" w:cs="仿宋_GB2312" w:eastAsia="仿宋_GB2312"/>
                <w:sz w:val="24"/>
              </w:rPr>
              <w:t>九、项目限价</w:t>
            </w:r>
          </w:p>
          <w:p>
            <w:pPr>
              <w:pStyle w:val="null3"/>
              <w:ind w:firstLine="480"/>
              <w:jc w:val="both"/>
            </w:pPr>
            <w:r>
              <w:rPr>
                <w:rFonts w:ascii="仿宋_GB2312" w:hAnsi="仿宋_GB2312" w:cs="仿宋_GB2312" w:eastAsia="仿宋_GB2312"/>
                <w:sz w:val="24"/>
              </w:rPr>
              <w:t>本项目采用固定单价进行结算</w:t>
            </w:r>
          </w:p>
          <w:p>
            <w:pPr>
              <w:pStyle w:val="null3"/>
              <w:ind w:firstLine="480"/>
              <w:jc w:val="both"/>
            </w:pPr>
            <w:r>
              <w:rPr>
                <w:rFonts w:ascii="仿宋_GB2312" w:hAnsi="仿宋_GB2312" w:cs="仿宋_GB2312" w:eastAsia="仿宋_GB2312"/>
                <w:sz w:val="24"/>
              </w:rPr>
              <w:t>全费用综合单价采购限价：</w:t>
            </w:r>
            <w:r>
              <w:rPr>
                <w:rFonts w:ascii="仿宋_GB2312" w:hAnsi="仿宋_GB2312" w:cs="仿宋_GB2312" w:eastAsia="仿宋_GB2312"/>
                <w:sz w:val="24"/>
              </w:rPr>
              <w:t>827.42</w:t>
            </w:r>
            <w:r>
              <w:rPr>
                <w:rFonts w:ascii="仿宋_GB2312" w:hAnsi="仿宋_GB2312" w:cs="仿宋_GB2312" w:eastAsia="仿宋_GB2312"/>
                <w:sz w:val="24"/>
              </w:rPr>
              <w:t>元</w:t>
            </w:r>
            <w:r>
              <w:rPr>
                <w:rFonts w:ascii="仿宋_GB2312" w:hAnsi="仿宋_GB2312" w:cs="仿宋_GB2312" w:eastAsia="仿宋_GB2312"/>
                <w:sz w:val="24"/>
              </w:rPr>
              <w:t>/m</w:t>
            </w:r>
            <w:r>
              <w:rPr>
                <w:rFonts w:ascii="仿宋_GB2312" w:hAnsi="仿宋_GB2312" w:cs="仿宋_GB2312" w:eastAsia="仿宋_GB2312"/>
                <w:sz w:val="24"/>
              </w:rPr>
              <w:t>（深度</w:t>
            </w:r>
            <w:r>
              <w:rPr>
                <w:rFonts w:ascii="仿宋_GB2312" w:hAnsi="仿宋_GB2312" w:cs="仿宋_GB2312" w:eastAsia="仿宋_GB2312"/>
                <w:sz w:val="24"/>
              </w:rPr>
              <w:t>2.0</w:t>
            </w:r>
            <w:r>
              <w:rPr>
                <w:rFonts w:ascii="仿宋_GB2312" w:hAnsi="仿宋_GB2312" w:cs="仿宋_GB2312" w:eastAsia="仿宋_GB2312"/>
                <w:sz w:val="24"/>
              </w:rPr>
              <w:t>米以上每增加</w:t>
            </w:r>
            <w:r>
              <w:rPr>
                <w:rFonts w:ascii="仿宋_GB2312" w:hAnsi="仿宋_GB2312" w:cs="仿宋_GB2312" w:eastAsia="仿宋_GB2312"/>
                <w:sz w:val="24"/>
              </w:rPr>
              <w:t>0.5</w:t>
            </w:r>
            <w:r>
              <w:rPr>
                <w:rFonts w:ascii="仿宋_GB2312" w:hAnsi="仿宋_GB2312" w:cs="仿宋_GB2312" w:eastAsia="仿宋_GB2312"/>
                <w:sz w:val="24"/>
              </w:rPr>
              <w:t>米递增</w:t>
            </w:r>
            <w:r>
              <w:rPr>
                <w:rFonts w:ascii="仿宋_GB2312" w:hAnsi="仿宋_GB2312" w:cs="仿宋_GB2312" w:eastAsia="仿宋_GB2312"/>
                <w:sz w:val="24"/>
              </w:rPr>
              <w:t>15%</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因系统设置原因无法准确表述支付方式，实际支付方式如下：项目全部完成后，达到付款条件起30个工作日，支付合同金额的100%。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自合同签订之日起一年内，一年服务截止，下一年度在预算保障的前提下，采购人对于成交人考核，考核合格续签一年，续签最长不能超过两年，总计服务期不超三年。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定标准为：从业人员300人以下的为中小微型企业。其中，从业人员100人及以上的为中型企业；从业人员10人及以上的为小型企业；从业人员10人以下的为微型企业。 2、本项目专门面向中小企业采购（残疾人福利性单位、监狱企业视同小型、微型企业）。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4、本项目接受联合体投标，联合体成员数要求≤4个。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法人需提供合法有效的营业执照，其他组织需提供合法有效的营业执照（或事业单位法人证书）等证明资料，自然人须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应提供税收缴纳凭证及社会保险缴纳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供应商应提供参加政府采购活动前3年内在经营活动中没有重大违法记录的书面声明：参加政府采购活动前3年内在经营活动中没有重大违法记录的书面声明，重大违法记录是指供应商因违法经营受到刑事处罚或者责令停产停业、吊销许可证或者执照、较大数额罚款等行政处罚。供应商需在项目电子化交易系统中按要求上传相应证明文件。</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供应商应提供履行合同所必需的设备和专业技术能力书面声明函，供应商需在项目电子化交易系统中按要求上传相应证明文件并进行电子签章。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联合体协议书</w:t>
            </w:r>
          </w:p>
        </w:tc>
        <w:tc>
          <w:tcPr>
            <w:tcW w:type="dxa" w:w="3322"/>
          </w:tcPr>
          <w:p>
            <w:pPr>
              <w:pStyle w:val="null3"/>
            </w:pPr>
            <w:r>
              <w:rPr>
                <w:rFonts w:ascii="仿宋_GB2312" w:hAnsi="仿宋_GB2312" w:cs="仿宋_GB2312" w:eastAsia="仿宋_GB2312"/>
              </w:rPr>
              <w:t>若为联合体响应，则须提供联合体协议书，供应商需在项目电子化交易系统中按要求上传相应证明文件并进行电子签章。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报价唯一，磋商总报价及单价报价均未超过采购预算或限价</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符合文件要求</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响应文件有效期符合采购文件要求</w:t>
            </w:r>
          </w:p>
        </w:tc>
        <w:tc>
          <w:tcPr>
            <w:tcW w:type="dxa" w:w="1661"/>
          </w:tcPr>
          <w:p>
            <w:pPr>
              <w:pStyle w:val="null3"/>
            </w:pPr>
            <w:r>
              <w:rPr>
                <w:rFonts w:ascii="仿宋_GB2312" w:hAnsi="仿宋_GB2312" w:cs="仿宋_GB2312" w:eastAsia="仿宋_GB2312"/>
              </w:rPr>
              <w:t>格式.docx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一、评审内容：针对本项目内容提出适用于本项目的整体服务方案，方案包括：①前期的准备方案；②项目实施过程的方案；③后续处理方案。 二、评审标准：1、完整性：方案必须全面，对评审内容中的各项要求有详细描述。 2、针对性：方案能够紧扣项目实际情况，内容科学合理。 3、可实施性：切合本项目实际情况，提出步骤清晰、合理的方案。 三、赋分标准（满分18分） 每完全满足一个评审标准得2分；针对评审标准存在不合理处的得1分；内容与本项目无关或未提供的得0分。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本项目内容提出适用于本项目的服务承诺，包括：①对本项目质量、项目实施进度、后期服务等方面做出承诺；②对服务时限内团队稳定性做出承诺；③对人员到位情况、人员及文物安全等方面做出承诺；④对服务期内服务质量一致性等相关内容做出承诺。 二、评审标准 1、完整性：承诺必须全面，对评审内容中的各项要求有详细描述。 2、针对性：承诺能够紧扣项目实际情况，内容科学合理。 3、可实施性：切合本项目实际情况，提出合理的承诺内容。 三、赋分标准（满分12分）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文物保护方案</w:t>
            </w:r>
          </w:p>
        </w:tc>
        <w:tc>
          <w:tcPr>
            <w:tcW w:type="dxa" w:w="2492"/>
          </w:tcPr>
          <w:p>
            <w:pPr>
              <w:pStyle w:val="null3"/>
            </w:pPr>
            <w:r>
              <w:rPr>
                <w:rFonts w:ascii="仿宋_GB2312" w:hAnsi="仿宋_GB2312" w:cs="仿宋_GB2312" w:eastAsia="仿宋_GB2312"/>
              </w:rPr>
              <w:t>一、评审内容：针对本项目内容提出适用于本项目的整体服务方案，方案包括：①文物古迹的保护方案；②对存放文物库房的看护方案。 二、评审标准：1、完整性：方案必须全面，对评审内容中的各项要求有详细描述。 2、针对性：方案能够紧扣项目实际情况，内容科学合理。 3、可实施性：切合本项目实际情况，提出步骤清晰、合理的方案。 三、赋分标准（满分6分）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拟投入本项目的工具设备情况</w:t>
            </w:r>
          </w:p>
        </w:tc>
        <w:tc>
          <w:tcPr>
            <w:tcW w:type="dxa" w:w="2492"/>
          </w:tcPr>
          <w:p>
            <w:pPr>
              <w:pStyle w:val="null3"/>
            </w:pPr>
            <w:r>
              <w:rPr>
                <w:rFonts w:ascii="仿宋_GB2312" w:hAnsi="仿宋_GB2312" w:cs="仿宋_GB2312" w:eastAsia="仿宋_GB2312"/>
              </w:rPr>
              <w:t>一、评审内容：供应商针对本项目拟投入本项目的工具设备情况，包括设备新旧程度、数量等。 二、评审标准及赋分（满分5分） 工具配置齐全，数量充足，充分满足工作需求计5分； 工具配置齐全，基本满足工作需求计4分；工具配置较齐全，勉强满足工作需求计3分； 有一定的工具配置，设备陈旧计2分；有工具配置，但对项目需求满足不彻底计1分。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一、评审内容：针对本项目内容提出适用于本项目的保障措施，方案包括：①服务质量保证措施；②确保安全作业的保障措施以及出现突发状况或问题后的补救措施；③项目实施进度保障措施。 二、评审标准：1、完整性：措施全面，对评审内容中的各项要求有详细描述。2、针对性：相关措施能够紧扣项目实际情况，内容科学合理。 3、可实施性：切合本项目实际情况，提出步骤清晰、合理的保障措施。 三、赋分标准（满分9分） 每完全满足一个评审标准得1分；针对评审标准存在不合理处的得0.5分；内容与本项目无关或未提供的得0分。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一、评审内容：针对本项目的服务提供详细的过程中的方案，内容包括：①保密措施②保密责任。 二、评审标准：1、完整性：方案须全面，对评审内容中的各项要求描述详细； 2、可实施性：切合本项目实际情况，实施步骤清晰、合理； 三、赋分依据（满分10分） 每完全满足一个评审标准得2.5分，内容与本项目无关或未提供的得0分。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廉洁方案和措施，对本项目发掘过程中所发现的所有文物、遗迹 、墓葬等有相关的廉洁方案和制度约束工作人员，保证工作人员恪守工作制度、廉洁自律 （满分5分）。 廉洁方案和措施完整、全面、可行性强，能够确保本项目廉洁要求的得5分； 方案措施基本完整、全面、有一定的可行性的得3分； 方案和措施简单，可行性一般的得1分；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一、评审内容：供应商根据项目工作特点提供完善的应急预案措施。 二、评审标准及赋分（满分10分） 应急预案措施科学合理、全面，实施性强，有针对性计10分； 应急预案措施较科学合理、较全面，有一定实施性计8分； 应急预案措施基本合理、全面，实施性一般计5分； 有应急预案，实施性不强计2分。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人员配置情况</w:t>
            </w:r>
          </w:p>
        </w:tc>
        <w:tc>
          <w:tcPr>
            <w:tcW w:type="dxa" w:w="2492"/>
          </w:tcPr>
          <w:p>
            <w:pPr>
              <w:pStyle w:val="null3"/>
            </w:pPr>
            <w:r>
              <w:rPr>
                <w:rFonts w:ascii="仿宋_GB2312" w:hAnsi="仿宋_GB2312" w:cs="仿宋_GB2312" w:eastAsia="仿宋_GB2312"/>
              </w:rPr>
              <w:t>供应商有针对本项目的专业服务团队，人员配备数量充足，组织结构合理，人员分工明确满足要求、各专业配置齐全、人员相关资料提供充足、人员证书齐全，能充分满足本项目需求的得5分； 有针对本项目的专业服务团队，人员配备数量充足，专业人员配备能够基本满足项目实施需要，分工有一定的合理性，专业配置齐全、人员相关资料提供充足的，基本能满足项目需求的得4分； 有针对本项目的专业服务团队，人员配备数量一般、专业配置基本能够基本满足项目实施需要但分工合理性有缺失的，人员相关资料提供有缺失，人员证书未附全的得3分； 有针对本项目的专业服务团队，人员配备数量较少，专业配置有缺失的，人员证书未附全的得2分； 有针对本项目的专业服务团队，人员配备简单、人员证书未附的得1分； 人员配置严重不足或未提供的不得分。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提供2022年1月1日至今类似业绩（以加盖供应商公章的合同复印件或扫描件作为评审依据），每提供一个业绩得2分，满分10分。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各有效供应商的评审价中，取最终报价最低者作为基准价，各有效供应商的价格评分统一按照下列公式计算：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详见附件：合同（发掘劳务）.docx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