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版本号：SXDC2025-ZB-3420251224001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高陵区农村生活污水治理工程PPP项目咨询服务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SXDC2025-ZB-34</w:t>
      </w:r>
      <w:r>
        <w:br/>
      </w:r>
      <w:r>
        <w:br/>
      </w:r>
      <w:r>
        <w:br/>
      </w:r>
    </w:p>
    <w:p>
      <w:pPr>
        <w:pStyle w:val="null3"/>
        <w:jc w:val="center"/>
        <w:outlineLvl w:val="2"/>
      </w:pPr>
      <w:r>
        <w:rPr>
          <w:rFonts w:ascii="仿宋_GB2312" w:hAnsi="仿宋_GB2312" w:cs="仿宋_GB2312" w:eastAsia="仿宋_GB2312"/>
          <w:sz w:val="28"/>
          <w:b/>
        </w:rPr>
        <w:t>西安市高陵区财政局</w:t>
      </w:r>
    </w:p>
    <w:p>
      <w:pPr>
        <w:pStyle w:val="null3"/>
        <w:jc w:val="center"/>
        <w:outlineLvl w:val="2"/>
      </w:pPr>
      <w:r>
        <w:rPr>
          <w:rFonts w:ascii="仿宋_GB2312" w:hAnsi="仿宋_GB2312" w:cs="仿宋_GB2312" w:eastAsia="仿宋_GB2312"/>
          <w:sz w:val="28"/>
          <w:b/>
        </w:rPr>
        <w:t>陕西迪诚项目管理有限公司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陕西迪诚项目管理有限公司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西安市高陵区财政局</w:t>
      </w:r>
      <w:r>
        <w:rPr>
          <w:rFonts w:ascii="仿宋_GB2312" w:hAnsi="仿宋_GB2312" w:cs="仿宋_GB2312" w:eastAsia="仿宋_GB2312"/>
        </w:rPr>
        <w:t>委托，拟对</w:t>
      </w:r>
      <w:r>
        <w:rPr>
          <w:rFonts w:ascii="仿宋_GB2312" w:hAnsi="仿宋_GB2312" w:cs="仿宋_GB2312" w:eastAsia="仿宋_GB2312"/>
        </w:rPr>
        <w:t>高陵区农村生活污水治理工程PPP项目咨询服务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SXDC2025-ZB-34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高陵区农村生活污水治理工程PPP项目咨询服务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总投资约为7.18亿元，涉及6个街办、57个行政村，项目计划新建污水处理站3座；新建污水收集管道约922公里；配套新建污水提升泵站46座；新建运维管理中心1座。项目合作期25年（建设期3年，运营期22年），回报机制为可行性缺口补助。该项目已完成44个行政村工程建设，合计铺设管网588.25公里，建成检查井10362个、隔油井24095个、提升泵站68座，完成1座周家村污水站建设，累计完成投资约7.10亿元（最终以竣工审计金额为准）。其中20个行政村管网已投入使用。原计划实施的57个行政村中，剩余13个行政村由于拆迁原因，不具备实施条件，拟终止以PPP模式实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采购包1（高陵区农村生活污水治理工程PPP项目咨询服务）：属于专门面向中小企业采购。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人授权委托书：法定代表人授权书（附法定代表人、被授权人身份证复印件）及被授权人身份证复印件（法定代表人直接参加的，须提供法定代表人身份证明及身份证复印件）；非法人单位参照执行；</w:t>
      </w:r>
    </w:p>
    <w:p>
      <w:pPr>
        <w:pStyle w:val="null3"/>
      </w:pPr>
      <w:r>
        <w:rPr>
          <w:rFonts w:ascii="仿宋_GB2312" w:hAnsi="仿宋_GB2312" w:cs="仿宋_GB2312" w:eastAsia="仿宋_GB2312"/>
        </w:rPr>
        <w:t>2、信誉要求：供应商不得为“信用中国”网站（www.creditchina.gov.cn）（中国执行信息公开网）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3、关联关系：单位负责人为同一人或者存在直接控股、管理关系的不同投标人，不得参加同一合同项下的政府采购活动；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4、非联合体承诺书：本项目不接受联合体投标，供应商须提供承诺。</w:t>
      </w:r>
    </w:p>
    <w:p>
      <w:pPr>
        <w:pStyle w:val="null3"/>
      </w:pPr>
      <w:r>
        <w:rPr>
          <w:rFonts w:ascii="仿宋_GB2312" w:hAnsi="仿宋_GB2312" w:cs="仿宋_GB2312" w:eastAsia="仿宋_GB2312"/>
        </w:rPr>
        <w:t>5、有效的主体资格证明文件：具有独立承担民事责任能力的法人、其他组织或自然人，并出具合法有效的营业执照或事业单位法人证书等国家规定的相关证明，自然人参与的提供其身份证明书；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6、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7、社会保障资金缴纳证明：提供投标截止日前6个月内已缴存的至少一个月的社会保障资金缴存单据或社保机构开具的社会保险参保缴费情况证明，依法不需要缴纳社会保障资金的单位应提供相关证明材料；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财务状况报告：提供2024年度经审计的财务报告或提交投标文件截止时间三个月内其基本账户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9、无重大违法记录：参加政府采购活动前3年内，在经营活动中没有重大违法记录（提供书面声明）；</w:t>
      </w:r>
    </w:p>
    <w:p>
      <w:pPr>
        <w:pStyle w:val="null3"/>
      </w:pPr>
      <w:r>
        <w:rPr>
          <w:rFonts w:ascii="仿宋_GB2312" w:hAnsi="仿宋_GB2312" w:cs="仿宋_GB2312" w:eastAsia="仿宋_GB2312"/>
        </w:rPr>
        <w:t>10、履行能力：提供具有履行本合同所必需的设备和专业技术能力的承诺（提供承诺书）。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西安市高陵区财政局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西安市高陵区南环西路189号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王珂</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029-86916521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陕西迪诚项目管理有限公司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西安市未央区凤城四路世融国际中心A厅805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029-86256981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及（发改办价格〔2011〕534号）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西安市高陵区财政局</w:t>
      </w:r>
      <w:r>
        <w:rPr>
          <w:rFonts w:ascii="仿宋_GB2312" w:hAnsi="仿宋_GB2312" w:cs="仿宋_GB2312" w:eastAsia="仿宋_GB2312"/>
        </w:rPr>
        <w:t>和</w:t>
      </w:r>
      <w:r>
        <w:rPr>
          <w:rFonts w:ascii="仿宋_GB2312" w:hAnsi="仿宋_GB2312" w:cs="仿宋_GB2312" w:eastAsia="仿宋_GB2312"/>
        </w:rPr>
        <w:t>陕西迪诚项目管理有限公司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西安市高陵区财政局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陕西迪诚项目管理有限公司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西安市高陵区财政局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陕西迪诚项目管理有限公司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陕西迪诚项目管理有限公司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陕西迪诚项目管理有限公司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陕西迪诚项目管理有限公司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联系人：杨欢</w:t>
      </w:r>
    </w:p>
    <w:p>
      <w:pPr>
        <w:pStyle w:val="null3"/>
      </w:pPr>
      <w:r>
        <w:rPr>
          <w:rFonts w:ascii="仿宋_GB2312" w:hAnsi="仿宋_GB2312" w:cs="仿宋_GB2312" w:eastAsia="仿宋_GB2312"/>
        </w:rPr>
        <w:t>联系电话：029-86256981</w:t>
      </w:r>
    </w:p>
    <w:p>
      <w:pPr>
        <w:pStyle w:val="null3"/>
      </w:pPr>
      <w:r>
        <w:rPr>
          <w:rFonts w:ascii="仿宋_GB2312" w:hAnsi="仿宋_GB2312" w:cs="仿宋_GB2312" w:eastAsia="仿宋_GB2312"/>
        </w:rPr>
        <w:t>地址：西安市未央区凤城四路世融国际中心A厅805</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该项目总投资约为7.18亿元，涉及6个街办、57个行政村，项目计划新建污水处理站3座；新建污水收集管道约922公里；配套新建污水提升泵站46座；新建运维管理中心1座。项目合作期25年（建设期3年，运营期22年），回报机制为可行性缺口补助。该项目已完成44个行政村工程建设，合计铺设管网588.25公里，建成检查井10362个、隔油井24095个、提升泵站68座，完成1座周家村污水站建设，累计完成投资约7.10亿元（最终以竣工审计金额为准）。其中20个行政村管网已投入使用。原计划实施的57个行政村中，剩余13个行政村由于拆迁原因，不具备实施条件，拟终止以PPP模式实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高陵区农村生活污水治理工程PPP项目咨询服务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标的名称：高陵区农村生活污水治理工程PPP项目咨询服务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项目概述</w:t>
            </w:r>
          </w:p>
          <w:p>
            <w:pPr>
              <w:pStyle w:val="null3"/>
              <w:ind w:firstLine="480"/>
              <w:jc w:val="both"/>
            </w:pPr>
            <w:r>
              <w:rPr>
                <w:rFonts w:ascii="仿宋_GB2312" w:hAnsi="仿宋_GB2312" w:cs="仿宋_GB2312" w:eastAsia="仿宋_GB2312"/>
                <w:sz w:val="24"/>
                <w:color w:val="000000"/>
              </w:rPr>
              <w:t>该项目总投资约为</w:t>
            </w:r>
            <w:r>
              <w:rPr>
                <w:rFonts w:ascii="仿宋_GB2312" w:hAnsi="仿宋_GB2312" w:cs="仿宋_GB2312" w:eastAsia="仿宋_GB2312"/>
                <w:sz w:val="24"/>
                <w:color w:val="000000"/>
              </w:rPr>
              <w:t>7.18亿元，涉及6个街办、57个行政村，项目计划新建污水处理站3座；新建污水收集管道约922公里；配套新建污水提升泵站46座；新建运维管理中心1座。项目合作期25年（建设期3年，运营期22年），回报机制为可行性缺口补助。该项目已完成44个行政村工程建设，合计铺设管网588.25公里，建成检查井10362个、隔油井24095个、提升泵站68座，完成1座周家村污水站建设，累计完成投资约7.10亿元（最终以竣工审计金额为准）。其中20个行政村管网已投入使用。原计划实施的57个行政村中，剩余13个行政村由于拆迁原因，不具备实施条件，拟终止以PPP模式实施。</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商务要求</w:t>
            </w:r>
          </w:p>
          <w:p>
            <w:pPr>
              <w:pStyle w:val="null3"/>
              <w:ind w:firstLine="480"/>
              <w:jc w:val="both"/>
            </w:pPr>
            <w:r>
              <w:rPr>
                <w:rFonts w:ascii="仿宋_GB2312" w:hAnsi="仿宋_GB2312" w:cs="仿宋_GB2312" w:eastAsia="仿宋_GB2312"/>
                <w:sz w:val="24"/>
                <w:color w:val="000000"/>
              </w:rPr>
              <w:t>1、服务时间：</w:t>
            </w:r>
            <w:r>
              <w:rPr>
                <w:rFonts w:ascii="仿宋_GB2312" w:hAnsi="仿宋_GB2312" w:cs="仿宋_GB2312" w:eastAsia="仿宋_GB2312"/>
                <w:sz w:val="24"/>
                <w:color w:val="000000"/>
              </w:rPr>
              <w:t>自合同签订之日起至项目约定的咨询服务内容完成之日。</w:t>
            </w:r>
          </w:p>
          <w:p>
            <w:pPr>
              <w:pStyle w:val="null3"/>
              <w:ind w:firstLine="480"/>
              <w:jc w:val="both"/>
            </w:pPr>
            <w:r>
              <w:rPr>
                <w:rFonts w:ascii="仿宋_GB2312" w:hAnsi="仿宋_GB2312" w:cs="仿宋_GB2312" w:eastAsia="仿宋_GB2312"/>
                <w:sz w:val="24"/>
                <w:color w:val="000000"/>
              </w:rPr>
              <w:t>2、服务地点：西安市高陵区。</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、付款方式</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1）完成咨询服务合同签订后，十个工作日内，由甲方向乙方支付咨询服务费用的20%；</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2）存量处置方案编制完成后，十个工作日内，由甲方向乙方支付咨询服务费用的40%；协助社会资本谈判并根据谈判结果编制项目补充协议且各方签署后，十个工作日内，由甲方向乙方支付咨询服务费用的20%；</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3）建设期绩效考核方案编制完成后，且协助开展建设期绩效评价后，十个工作日内，由甲方向乙方支付咨询服务费用的20%。</w:t>
            </w:r>
          </w:p>
          <w:p>
            <w:pPr>
              <w:pStyle w:val="null3"/>
              <w:ind w:firstLine="480"/>
              <w:jc w:val="both"/>
            </w:pPr>
            <w:r>
              <w:rPr>
                <w:rFonts w:ascii="仿宋_GB2312" w:hAnsi="仿宋_GB2312" w:cs="仿宋_GB2312" w:eastAsia="仿宋_GB2312"/>
                <w:sz w:val="24"/>
                <w:color w:val="000000"/>
              </w:rPr>
              <w:t>4、进度要求</w:t>
            </w:r>
          </w:p>
          <w:p>
            <w:pPr>
              <w:pStyle w:val="null3"/>
              <w:ind w:firstLine="480"/>
              <w:jc w:val="both"/>
            </w:pPr>
            <w:r>
              <w:rPr>
                <w:rFonts w:ascii="仿宋_GB2312" w:hAnsi="仿宋_GB2312" w:cs="仿宋_GB2312" w:eastAsia="仿宋_GB2312"/>
                <w:sz w:val="24"/>
                <w:color w:val="000000"/>
              </w:rPr>
              <w:t>按照部、省、市有关节点规定要求。</w:t>
            </w:r>
          </w:p>
          <w:p>
            <w:pPr>
              <w:pStyle w:val="null3"/>
              <w:ind w:firstLine="480"/>
              <w:jc w:val="both"/>
            </w:pPr>
            <w:r>
              <w:rPr>
                <w:rFonts w:ascii="仿宋_GB2312" w:hAnsi="仿宋_GB2312" w:cs="仿宋_GB2312" w:eastAsia="仿宋_GB2312"/>
                <w:sz w:val="24"/>
                <w:color w:val="000000"/>
              </w:rPr>
              <w:t>5、质量验收标准或规范</w:t>
            </w:r>
          </w:p>
          <w:p>
            <w:pPr>
              <w:pStyle w:val="null3"/>
              <w:ind w:firstLine="480"/>
              <w:jc w:val="both"/>
            </w:pPr>
            <w:r>
              <w:rPr>
                <w:rFonts w:ascii="仿宋_GB2312" w:hAnsi="仿宋_GB2312" w:cs="仿宋_GB2312" w:eastAsia="仿宋_GB2312"/>
                <w:sz w:val="24"/>
                <w:color w:val="000000"/>
              </w:rPr>
              <w:t>现行的国家标准或国家行政部门颁布的法律法规、规章制度等，是项目验收的另一个重要依据。没有国家标准的，可以参考行业标准，达到</w:t>
            </w:r>
            <w:r>
              <w:rPr>
                <w:rFonts w:ascii="仿宋_GB2312" w:hAnsi="仿宋_GB2312" w:cs="仿宋_GB2312" w:eastAsia="仿宋_GB2312"/>
                <w:sz w:val="24"/>
                <w:color w:val="000000"/>
              </w:rPr>
              <w:t>“合格”要求。</w:t>
            </w:r>
          </w:p>
          <w:p>
            <w:pPr>
              <w:pStyle w:val="null3"/>
              <w:ind w:firstLine="480"/>
              <w:jc w:val="both"/>
            </w:pPr>
            <w:r>
              <w:rPr>
                <w:rFonts w:ascii="仿宋_GB2312" w:hAnsi="仿宋_GB2312" w:cs="仿宋_GB2312" w:eastAsia="仿宋_GB2312"/>
                <w:sz w:val="24"/>
                <w:color w:val="000000"/>
              </w:rPr>
              <w:t>6、违约责任</w:t>
            </w:r>
          </w:p>
          <w:p>
            <w:pPr>
              <w:pStyle w:val="null3"/>
              <w:ind w:firstLine="480"/>
              <w:jc w:val="both"/>
            </w:pPr>
            <w:r>
              <w:rPr>
                <w:rFonts w:ascii="仿宋_GB2312" w:hAnsi="仿宋_GB2312" w:cs="仿宋_GB2312" w:eastAsia="仿宋_GB2312"/>
                <w:sz w:val="24"/>
                <w:color w:val="000000"/>
              </w:rPr>
              <w:t>合同中未约定的，按《民法典》中的相关条款执行。</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咨询服务内容</w:t>
            </w:r>
          </w:p>
          <w:p>
            <w:pPr>
              <w:pStyle w:val="null3"/>
              <w:jc w:val="both"/>
            </w:pPr>
            <w:r>
              <w:rPr>
                <w:rFonts w:ascii="仿宋_GB2312" w:hAnsi="仿宋_GB2312" w:cs="仿宋_GB2312" w:eastAsia="仿宋_GB2312"/>
                <w:sz w:val="24"/>
                <w:color w:val="000000"/>
              </w:rPr>
              <w:t>（一）建设期绩效评价</w:t>
            </w:r>
          </w:p>
          <w:p>
            <w:pPr>
              <w:pStyle w:val="null3"/>
              <w:jc w:val="both"/>
            </w:pPr>
            <w:r>
              <w:rPr>
                <w:rFonts w:ascii="仿宋_GB2312" w:hAnsi="仿宋_GB2312" w:cs="仿宋_GB2312" w:eastAsia="仿宋_GB2312"/>
                <w:sz w:val="24"/>
                <w:color w:val="000000"/>
              </w:rPr>
              <w:t>1.绩效考核方案</w:t>
            </w:r>
          </w:p>
          <w:p>
            <w:pPr>
              <w:pStyle w:val="null3"/>
              <w:ind w:firstLine="480"/>
              <w:jc w:val="both"/>
            </w:pPr>
            <w:r>
              <w:rPr>
                <w:rFonts w:ascii="仿宋_GB2312" w:hAnsi="仿宋_GB2312" w:cs="仿宋_GB2312" w:eastAsia="仿宋_GB2312"/>
                <w:sz w:val="24"/>
                <w:color w:val="000000"/>
              </w:rPr>
              <w:t>协助业主单位参照财金〔</w:t>
            </w:r>
            <w:r>
              <w:rPr>
                <w:rFonts w:ascii="仿宋_GB2312" w:hAnsi="仿宋_GB2312" w:cs="仿宋_GB2312" w:eastAsia="仿宋_GB2312"/>
                <w:sz w:val="24"/>
                <w:color w:val="000000"/>
              </w:rPr>
              <w:t>2020〕13号文件的要求编制本项目绩效评价方案。针对项目总体绩效目标实现情况，从全生命周期的项目产出、成本效益、物有所值实现情况及对本地区财政承受能力的影响、监管成效、可持续性、PPP模式应用等方面编制绩效评价指标体系。并根据政策要求及项目实际组织编制绩效评价方案，包括项目基本情况、绩效目标和指标体系、评价目的和依据、评价对象和范围、评价方法、组织与实施计划、资料收集与调查等。</w:t>
            </w:r>
          </w:p>
          <w:p>
            <w:pPr>
              <w:pStyle w:val="null3"/>
              <w:jc w:val="both"/>
            </w:pPr>
            <w:r>
              <w:rPr>
                <w:rFonts w:ascii="仿宋_GB2312" w:hAnsi="仿宋_GB2312" w:cs="仿宋_GB2312" w:eastAsia="仿宋_GB2312"/>
                <w:sz w:val="24"/>
                <w:color w:val="000000"/>
              </w:rPr>
              <w:t>2.协助开展建设期绩效评价</w:t>
            </w:r>
          </w:p>
          <w:p>
            <w:pPr>
              <w:pStyle w:val="null3"/>
              <w:ind w:firstLine="480"/>
              <w:jc w:val="both"/>
            </w:pPr>
            <w:r>
              <w:rPr>
                <w:rFonts w:ascii="仿宋_GB2312" w:hAnsi="仿宋_GB2312" w:cs="仿宋_GB2312" w:eastAsia="仿宋_GB2312"/>
                <w:sz w:val="24"/>
                <w:color w:val="000000"/>
              </w:rPr>
              <w:t>结合本项目实施进度及存量处置工作时点，协助业主单位开展建设期绩效评价，对项目公司（社会资本）围绕本项目开展的建设情况进行评价确定，作为存量处置及后续移交的重要依据。具体工作内容包括下达绩效评价通知，通知项目公司（社会资本）及相关部门做好准备和配合工作；组织实施绩效评价；编制绩效评价报告，包括项目基本情况、绩效评价工作情况、评价结论和绩效分析、存在问题及原因分析、相关建议、其他需要说明的问题；资料归档；评价结果反馈。</w:t>
            </w:r>
          </w:p>
          <w:p>
            <w:pPr>
              <w:pStyle w:val="null3"/>
              <w:jc w:val="both"/>
            </w:pPr>
            <w:r>
              <w:rPr>
                <w:rFonts w:ascii="仿宋_GB2312" w:hAnsi="仿宋_GB2312" w:cs="仿宋_GB2312" w:eastAsia="仿宋_GB2312"/>
                <w:sz w:val="24"/>
                <w:color w:val="000000"/>
              </w:rPr>
              <w:t>（二）编制存量处置方案</w:t>
            </w:r>
          </w:p>
          <w:p>
            <w:pPr>
              <w:pStyle w:val="null3"/>
              <w:ind w:firstLine="480"/>
              <w:jc w:val="both"/>
            </w:pPr>
            <w:r>
              <w:rPr>
                <w:rFonts w:ascii="仿宋_GB2312" w:hAnsi="仿宋_GB2312" w:cs="仿宋_GB2312" w:eastAsia="仿宋_GB2312"/>
                <w:sz w:val="24"/>
                <w:color w:val="000000"/>
              </w:rPr>
              <w:t>根据中、省、市关于</w:t>
            </w:r>
            <w:r>
              <w:rPr>
                <w:rFonts w:ascii="仿宋_GB2312" w:hAnsi="仿宋_GB2312" w:cs="仿宋_GB2312" w:eastAsia="仿宋_GB2312"/>
                <w:sz w:val="24"/>
                <w:color w:val="000000"/>
              </w:rPr>
              <w:t>PPP存量项目处置的管理要求，结合项目实际情况，编制存量处置方案，就项目实施进展、结果、剩余收益水平等进行封装运作，按照相关合同约定、投资及双方沟通情况，进行财务测算，分析支出责任，就终止合作事宜进行明确。设置处置流程，就双方履约合作终止的工作交接、责任划分进行明确。</w:t>
            </w:r>
          </w:p>
          <w:p>
            <w:pPr>
              <w:pStyle w:val="null3"/>
              <w:jc w:val="both"/>
            </w:pPr>
            <w:r>
              <w:rPr>
                <w:rFonts w:ascii="仿宋_GB2312" w:hAnsi="仿宋_GB2312" w:cs="仿宋_GB2312" w:eastAsia="仿宋_GB2312"/>
                <w:sz w:val="24"/>
                <w:color w:val="000000"/>
              </w:rPr>
              <w:t>（三）协助项目谈判编制补充协议</w:t>
            </w:r>
          </w:p>
          <w:p>
            <w:pPr>
              <w:pStyle w:val="null3"/>
              <w:ind w:firstLine="480"/>
              <w:jc w:val="both"/>
            </w:pPr>
            <w:r>
              <w:rPr>
                <w:rFonts w:ascii="仿宋_GB2312" w:hAnsi="仿宋_GB2312" w:cs="仿宋_GB2312" w:eastAsia="仿宋_GB2312"/>
                <w:sz w:val="24"/>
                <w:color w:val="000000"/>
              </w:rPr>
              <w:t>根据存量项目处置方案及项目实际，协助业主单位与社会资本就项目终止合作事宜进行谈判，并根据谈判结果编制项目终止协议。</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b/>
                <w:color w:val="000000"/>
              </w:rPr>
              <w:t>四、服务要求</w:t>
            </w:r>
          </w:p>
          <w:p>
            <w:pPr>
              <w:pStyle w:val="null3"/>
              <w:jc w:val="both"/>
            </w:pPr>
            <w:r>
              <w:rPr>
                <w:rFonts w:ascii="仿宋_GB2312" w:hAnsi="仿宋_GB2312" w:cs="仿宋_GB2312" w:eastAsia="仿宋_GB2312"/>
                <w:sz w:val="24"/>
                <w:color w:val="000000"/>
              </w:rPr>
              <w:t>（一）人员配置</w:t>
            </w:r>
          </w:p>
          <w:p>
            <w:pPr>
              <w:pStyle w:val="null3"/>
              <w:ind w:firstLine="480"/>
              <w:jc w:val="both"/>
            </w:pPr>
            <w:r>
              <w:rPr>
                <w:rFonts w:ascii="仿宋_GB2312" w:hAnsi="仿宋_GB2312" w:cs="仿宋_GB2312" w:eastAsia="仿宋_GB2312"/>
                <w:sz w:val="24"/>
                <w:color w:val="000000"/>
              </w:rPr>
              <w:t>项目人员数量合理，人员结构恰当，职责分工明确，具有参与类似项目的工作经验。</w:t>
            </w:r>
          </w:p>
          <w:p>
            <w:pPr>
              <w:pStyle w:val="null3"/>
              <w:jc w:val="both"/>
            </w:pPr>
            <w:r>
              <w:rPr>
                <w:rFonts w:ascii="仿宋_GB2312" w:hAnsi="仿宋_GB2312" w:cs="仿宋_GB2312" w:eastAsia="仿宋_GB2312"/>
                <w:sz w:val="24"/>
                <w:color w:val="000000"/>
              </w:rPr>
              <w:t>（二）服务标准：</w:t>
            </w:r>
          </w:p>
          <w:p>
            <w:pPr>
              <w:pStyle w:val="null3"/>
              <w:ind w:firstLine="480"/>
              <w:jc w:val="both"/>
            </w:pPr>
            <w:r>
              <w:rPr>
                <w:rFonts w:ascii="仿宋_GB2312" w:hAnsi="仿宋_GB2312" w:cs="仿宋_GB2312" w:eastAsia="仿宋_GB2312"/>
                <w:sz w:val="24"/>
                <w:color w:val="000000"/>
              </w:rPr>
              <w:t>按规定工作时限完成高陵区农村生活污水治理工程</w:t>
            </w:r>
            <w:r>
              <w:rPr>
                <w:rFonts w:ascii="仿宋_GB2312" w:hAnsi="仿宋_GB2312" w:cs="仿宋_GB2312" w:eastAsia="仿宋_GB2312"/>
                <w:sz w:val="24"/>
                <w:color w:val="000000"/>
              </w:rPr>
              <w:t>PPP项目咨询服务相关工作内容。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项目人员数量合理，人员结构恰当，职责分工明确，具有参与类似项目的工作经验。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自合同签订之日起至项目约定的咨询服务内容完成之日。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西安市高陵区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现行的国家标准或国家行政部门颁布的法律法规、规章制度等，是项目验收的另一个重要依据。没有国家标准的，可以参考行业标准，达到“合格”要求。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完成咨询服务合同签订后，由甲方向乙方支付咨询服务费用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存量处置方案编制完成后，由甲方向乙方支付咨询服务费用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协助社会资本谈判并根据谈判结果编制项目补充协议且各方签署后，由甲方向乙方支付咨询服务费用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建设期绩效考核方案编制完成后，且协助开展建设期绩效评价后，由甲方向乙方支付咨询服务费用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合同中未约定的，按《民法典》中的相关条款执行。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企业名称：陕西迪诚项目管理有限公司 纳税登记号：91610132MA712KBG7Y 地址：陕西省西安市经济技术开发区凤城四路世融国际中心8层805室 开户行：中国建设银行股份有限公司西安世融嘉城支行 账号：61050175540000000417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法定代表人身份证明或法人授权委托书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法定代表人授权书（附法定代表人、被授权人身份证复印件）及被授权人身份证复印件（法定代表人直接参加的，须提供法定代表人身份证明及身份证复印件）；非法人单位参照执行；</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国执行信息公开网）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本项目不接受联合体投标，供应商须提供承诺。</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有效的主体资格证明文件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提供具有履行本合同所必需的设备和专业技术能力的承诺（提供承诺书）。</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（3）报价唯一：只能有一个有效报价，不得提交选择性报价，且报价不超过最高限价。 （4）第一次磋商报价：第一次磋商报价不超过最高限价。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资格证明材料.docx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资格证明材料.docx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（1）对磋商文件响应程度：要求全面响应，不能有任何采购人不能接受的附加条件 （2）服务期限：应满足磋商文件中要求的服务期 （3）服务地点：应满足磋商文件中要求的服务地点 （4）磋商有效期：应满足磋商文件中的规定</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资格证明材料.docx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w:t>
            </w:r>
          </w:p>
        </w:tc>
        <w:tc>
          <w:tcPr>
            <w:tcW w:type="dxa" w:w="2492"/>
          </w:tcPr>
          <w:p>
            <w:pPr>
              <w:pStyle w:val="null3"/>
            </w:pPr>
            <w:r>
              <w:rPr>
                <w:rFonts w:ascii="仿宋_GB2312" w:hAnsi="仿宋_GB2312" w:cs="仿宋_GB2312" w:eastAsia="仿宋_GB2312"/>
              </w:rPr>
              <w:t>对本项目所需服务内容的了解程度进行说明，根据各投标单位对该项目内容的了解以及实施的意义，评审委员会自主赋分： （1）对本项目了解程度很详细，且完全了解本项目实施的重要意义，计：(4-5]分； （2）对本项目了解了基本大概，但对项目实施的意义理解不够深刻，计：(2-4]分； 对本项目了解含糊不清，与项目实施本意有偏差，计：(0-2]分； 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针对本项目提供具体可行的服务方案，包括但不限于①组织架构；②方案设计；③人员配备；④制度；⑤项目实施；⑥数据及资料管理方案；⑦组织协调内容及措施；⑧工作重点与难点分析及对应措施。 二、评审标准 1、完善性：方案必须全面，对评审内容中的各项要求有详细阐述； 2、可实施性：切合本项目实际情况，提出步骤清晰、合理的方案； 3、针对性：方案能够紧扣项目实际情况，内容科学合理。 上述8项评审内容全部满足评审标准得56分，每有一个评审内容缺项扣7分，每有一项评审内容存在缺陷，扣2分，扣完为止。 说明：缺陷是指内容没有结合项目实际需求、虽有内容但不完善、不全面、内容表述前后不一致、套用其他项目方案或与项目需求不匹配及其他不利于项目实施的等任意一种情形。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对存量项目处置的理解及如何应用在本项目的建议</w:t>
            </w:r>
          </w:p>
        </w:tc>
        <w:tc>
          <w:tcPr>
            <w:tcW w:type="dxa" w:w="2492"/>
          </w:tcPr>
          <w:p>
            <w:pPr>
              <w:pStyle w:val="null3"/>
            </w:pPr>
            <w:r>
              <w:rPr>
                <w:rFonts w:ascii="仿宋_GB2312" w:hAnsi="仿宋_GB2312" w:cs="仿宋_GB2312" w:eastAsia="仿宋_GB2312"/>
              </w:rPr>
              <w:t>对存量项目处置的理解及如何应用在本项目的建议，根据供应商所提供建议的合理性、有效性以及完整性赋分。优得(7-10]分，一般得(4-7]分，差得(1-4]分，未提供的不得分。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质量控制方法及承诺</w:t>
            </w:r>
          </w:p>
        </w:tc>
        <w:tc>
          <w:tcPr>
            <w:tcW w:type="dxa" w:w="2492"/>
          </w:tcPr>
          <w:p>
            <w:pPr>
              <w:pStyle w:val="null3"/>
            </w:pPr>
            <w:r>
              <w:rPr>
                <w:rFonts w:ascii="仿宋_GB2312" w:hAnsi="仿宋_GB2312" w:cs="仿宋_GB2312" w:eastAsia="仿宋_GB2312"/>
              </w:rPr>
              <w:t>质量控制方法及承诺符合本项目，质量控制具体方法及承诺切实可行，服务质量保障内容具有真实性、可行性，评审委员会自主赋分，满分 5 分。未提供得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针对本项目服务的建设性服务意见</w:t>
            </w:r>
          </w:p>
        </w:tc>
        <w:tc>
          <w:tcPr>
            <w:tcW w:type="dxa" w:w="2492"/>
          </w:tcPr>
          <w:p>
            <w:pPr>
              <w:pStyle w:val="null3"/>
            </w:pPr>
            <w:r>
              <w:rPr>
                <w:rFonts w:ascii="仿宋_GB2312" w:hAnsi="仿宋_GB2312" w:cs="仿宋_GB2312" w:eastAsia="仿宋_GB2312"/>
              </w:rPr>
              <w:t>针对本项目提出建设性服务意见，评审委员会根据增值服务内容的多样性、创新性、可行性等方面根 据各投标人优劣程度打分，按其响应程度计0~5 分。未提供得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供应商提供2022年10月01日起至今同类项目业绩， 提供合同或协议复印件加盖公章，每提供一份得 3 分(时间以合同落款时间为准)，满分 9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详见附件：咨询服务合同样板.docx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