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版本号：RKZB-2025-02100120251225002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米家崖崩塌（东段）应急治理工程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RKZB-2025-021001</w:t>
      </w:r>
      <w:r>
        <w:br/>
      </w:r>
      <w:r>
        <w:br/>
      </w:r>
      <w:r>
        <w:br/>
      </w:r>
    </w:p>
    <w:p>
      <w:pPr>
        <w:pStyle w:val="null3"/>
        <w:jc w:val="center"/>
        <w:outlineLvl w:val="2"/>
      </w:pPr>
      <w:r>
        <w:rPr>
          <w:rFonts w:ascii="仿宋_GB2312" w:hAnsi="仿宋_GB2312" w:cs="仿宋_GB2312" w:eastAsia="仿宋_GB2312"/>
          <w:sz w:val="28"/>
          <w:b/>
        </w:rPr>
        <w:t>西安市高陵区泾渭街道办事处</w:t>
      </w:r>
    </w:p>
    <w:p>
      <w:pPr>
        <w:pStyle w:val="null3"/>
        <w:jc w:val="center"/>
        <w:outlineLvl w:val="2"/>
      </w:pPr>
      <w:r>
        <w:rPr>
          <w:rFonts w:ascii="仿宋_GB2312" w:hAnsi="仿宋_GB2312" w:cs="仿宋_GB2312" w:eastAsia="仿宋_GB2312"/>
          <w:sz w:val="28"/>
          <w:b/>
        </w:rPr>
        <w:t>瑞科项目管理有限公司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瑞科项目管理有限公司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西安市高陵区泾渭街道办事处</w:t>
      </w:r>
      <w:r>
        <w:rPr>
          <w:rFonts w:ascii="仿宋_GB2312" w:hAnsi="仿宋_GB2312" w:cs="仿宋_GB2312" w:eastAsia="仿宋_GB2312"/>
        </w:rPr>
        <w:t>委托，拟对</w:t>
      </w:r>
      <w:r>
        <w:rPr>
          <w:rFonts w:ascii="仿宋_GB2312" w:hAnsi="仿宋_GB2312" w:cs="仿宋_GB2312" w:eastAsia="仿宋_GB2312"/>
        </w:rPr>
        <w:t>米家崖崩塌（东段）应急治理工程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RKZB-2025-021001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米家崖崩塌（东段）应急治理工程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米家崖崩塌（东段）项目位于渭河和泾河之间的三级阶地边缘的陡坎处，南侧为渭河三级阶地，北侧为泾河一级阶地，整体地势呈南高北低，地貌交界处的陡坎即为拟治理的崩塌区域。米家崖崩塌（东段）B1 长度约 260m，坡向 10°~80°（可分为北侧 B1N和东侧 B1E两段），整体坡高 12~15m，坡面形态呈上缓下陡状，顶部为坡度不足 10°的平台，坡体上部坡度约25°~35°，前缘为近直立的临空面，陡立临空面高度 7-12m。B1 崩塌区宽约 260m，厚 2-4m，体积约 0.97×104m3，为一小型黄土崩塌。具体内容详见竞争性磋商文件及工程量清单。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采购包1（米家崖崩塌（东段）应急治理工程（一标段））：属于专门面向中小企业采购。</w:t>
      </w:r>
    </w:p>
    <w:p>
      <w:pPr>
        <w:pStyle w:val="null3"/>
      </w:pPr>
      <w:r>
        <w:rPr>
          <w:rFonts w:ascii="仿宋_GB2312" w:hAnsi="仿宋_GB2312" w:cs="仿宋_GB2312" w:eastAsia="仿宋_GB2312"/>
        </w:rPr>
        <w:t>采购包2（米家崖崩塌（东段）应急治理工程（二标段））：属于专门面向中小企业采购。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2、企业资质：供应商须具备建设行政主管部门颁发的市政公用工程施工总承包三级(含三级)及以上资质，且具备合法有效的安全生产许可证；</w:t>
      </w:r>
    </w:p>
    <w:p>
      <w:pPr>
        <w:pStyle w:val="null3"/>
      </w:pPr>
      <w:r>
        <w:rPr>
          <w:rFonts w:ascii="仿宋_GB2312" w:hAnsi="仿宋_GB2312" w:cs="仿宋_GB2312" w:eastAsia="仿宋_GB2312"/>
        </w:rPr>
        <w:t>3、拟派项目负责人资格要求：供应商拟派项目负责人须具有建设行政主管部门颁发市政公用工程专业二级（含二级）及以上注册建造师证书及安全生产考核合格证（建安B证），在本单位注册且无在建项目；</w:t>
      </w:r>
    </w:p>
    <w:p>
      <w:pPr>
        <w:pStyle w:val="null3"/>
      </w:pPr>
      <w:r>
        <w:rPr>
          <w:rFonts w:ascii="仿宋_GB2312" w:hAnsi="仿宋_GB2312" w:cs="仿宋_GB2312" w:eastAsia="仿宋_GB2312"/>
        </w:rPr>
        <w:t>4、信誉信息：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5、非联合体声明：本项目不接受联合体磋商。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2、企业资质：供应商须具备建设行政主管部门颁发的市政公用工程施工总承包三级(含三级)及以上资质，且具备合法有效的安全生产许可证；</w:t>
      </w:r>
    </w:p>
    <w:p>
      <w:pPr>
        <w:pStyle w:val="null3"/>
      </w:pPr>
      <w:r>
        <w:rPr>
          <w:rFonts w:ascii="仿宋_GB2312" w:hAnsi="仿宋_GB2312" w:cs="仿宋_GB2312" w:eastAsia="仿宋_GB2312"/>
        </w:rPr>
        <w:t>3、拟派项目负责人资格要求：供应商拟派项目负责人须具有建设行政主管部门颁发市政公用工程专业二级（含二级）及以上注册建造师证书及安全生产考核合格证（建安B证），在本单位注册且无在建项目；</w:t>
      </w:r>
    </w:p>
    <w:p>
      <w:pPr>
        <w:pStyle w:val="null3"/>
      </w:pPr>
      <w:r>
        <w:rPr>
          <w:rFonts w:ascii="仿宋_GB2312" w:hAnsi="仿宋_GB2312" w:cs="仿宋_GB2312" w:eastAsia="仿宋_GB2312"/>
        </w:rPr>
        <w:t>4、信誉信息：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5、非联合体声明：本项目不接受联合体磋商。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西安市高陵区泾渭街道办事处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西安市高陵区泾渭中路338号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029-86030100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陕西省西安市经济技术开发区未央路303号保利中达广场2207室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王博霖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15691975288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采购包1：741,320.88元</w:t>
            </w:r>
          </w:p>
          <w:p>
            <w:pPr>
              <w:pStyle w:val="null3"/>
            </w:pPr>
            <w:r>
              <w:rPr>
                <w:rFonts w:ascii="仿宋_GB2312" w:hAnsi="仿宋_GB2312" w:cs="仿宋_GB2312" w:eastAsia="仿宋_GB2312"/>
              </w:rPr>
              <w:t>采购包2：2,216,961.72元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作为基数，参照发改价格[2011]534号文件及《国家发展改革委关于进一步放开建设项目专业服务价格的通知》（发改价格〔2015〕299号）文的规定标准收取。由成交供应商在领取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西安市高陵区泾渭街道办事处</w:t>
      </w:r>
      <w:r>
        <w:rPr>
          <w:rFonts w:ascii="仿宋_GB2312" w:hAnsi="仿宋_GB2312" w:cs="仿宋_GB2312" w:eastAsia="仿宋_GB2312"/>
        </w:rPr>
        <w:t>和</w:t>
      </w:r>
      <w:r>
        <w:rPr>
          <w:rFonts w:ascii="仿宋_GB2312" w:hAnsi="仿宋_GB2312" w:cs="仿宋_GB2312" w:eastAsia="仿宋_GB2312"/>
        </w:rPr>
        <w:t>瑞科项目管理有限公司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西安市高陵区泾渭街道办事处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瑞科项目管理有限公司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西安市高陵区泾渭街道办事处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参照《建筑工程施工质量验收统一标准》组织验收，甲方组织相关人员到现场组织验收，通过使用定位仪、测量仪、红外设备对该工程进行验收。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参照《建筑工程施工质量验收统一标准》组织验收，甲方组织相关人员到现场组织验收，通过使用定位仪、测量仪、红外设备对该工程进行验收。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王博霖</w:t>
      </w:r>
    </w:p>
    <w:p>
      <w:pPr>
        <w:pStyle w:val="null3"/>
      </w:pPr>
      <w:r>
        <w:rPr>
          <w:rFonts w:ascii="仿宋_GB2312" w:hAnsi="仿宋_GB2312" w:cs="仿宋_GB2312" w:eastAsia="仿宋_GB2312"/>
        </w:rPr>
        <w:t>联系电话：15691975288</w:t>
      </w:r>
    </w:p>
    <w:p>
      <w:pPr>
        <w:pStyle w:val="null3"/>
      </w:pPr>
      <w:r>
        <w:rPr>
          <w:rFonts w:ascii="仿宋_GB2312" w:hAnsi="仿宋_GB2312" w:cs="仿宋_GB2312" w:eastAsia="仿宋_GB2312"/>
        </w:rPr>
        <w:t>地址：陕西省西安市经济技术开发区未央路303号保利中达广场2207室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741,320.88</w:t>
      </w:r>
    </w:p>
    <w:p>
      <w:pPr>
        <w:pStyle w:val="null3"/>
      </w:pPr>
      <w:r>
        <w:rPr>
          <w:rFonts w:ascii="仿宋_GB2312" w:hAnsi="仿宋_GB2312" w:cs="仿宋_GB2312" w:eastAsia="仿宋_GB2312"/>
        </w:rPr>
        <w:t>采购包最高限价（元）: 741,320.88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米家崖崩塌（东段）应急治理工程（一标段）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741,320.88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2,216,961.72</w:t>
      </w:r>
    </w:p>
    <w:p>
      <w:pPr>
        <w:pStyle w:val="null3"/>
      </w:pPr>
      <w:r>
        <w:rPr>
          <w:rFonts w:ascii="仿宋_GB2312" w:hAnsi="仿宋_GB2312" w:cs="仿宋_GB2312" w:eastAsia="仿宋_GB2312"/>
        </w:rPr>
        <w:t>采购包最高限价（元）: 2,216,961.72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米家崖崩塌（东段）应急治理工程（二标段）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2,216,961.72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标的名称：米家崖崩塌（东段）应急治理工程（一标段）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1.工期：</w:t>
            </w:r>
            <w:r>
              <w:rPr>
                <w:rFonts w:ascii="仿宋_GB2312" w:hAnsi="仿宋_GB2312" w:cs="仿宋_GB2312" w:eastAsia="仿宋_GB2312"/>
                <w:sz w:val="21"/>
              </w:rPr>
              <w:t>90</w:t>
            </w:r>
            <w:r>
              <w:rPr>
                <w:rFonts w:ascii="仿宋_GB2312" w:hAnsi="仿宋_GB2312" w:cs="仿宋_GB2312" w:eastAsia="仿宋_GB2312"/>
                <w:sz w:val="21"/>
              </w:rPr>
              <w:t>日历天。</w:t>
            </w:r>
          </w:p>
          <w:p>
            <w:pPr>
              <w:pStyle w:val="null3"/>
            </w:pPr>
            <w:r>
              <w:rPr>
                <w:rFonts w:ascii="仿宋_GB2312" w:hAnsi="仿宋_GB2312" w:cs="仿宋_GB2312" w:eastAsia="仿宋_GB2312"/>
                <w:sz w:val="21"/>
              </w:rPr>
              <w:t>2.施工范围：具体内容详见工程量清单</w:t>
            </w:r>
            <w:r>
              <w:rPr>
                <w:rFonts w:ascii="仿宋_GB2312" w:hAnsi="仿宋_GB2312" w:cs="仿宋_GB2312" w:eastAsia="仿宋_GB2312"/>
              </w:rPr>
              <w:t>。</w:t>
            </w:r>
          </w:p>
          <w:p>
            <w:pPr>
              <w:pStyle w:val="null3"/>
            </w:pPr>
            <w:r>
              <w:rPr>
                <w:rFonts w:ascii="仿宋_GB2312" w:hAnsi="仿宋_GB2312" w:cs="仿宋_GB2312" w:eastAsia="仿宋_GB2312"/>
                <w:sz w:val="21"/>
              </w:rPr>
              <w:t>3.合同进度付款申请单提交的约定：</w:t>
            </w:r>
            <w:r>
              <w:rPr>
                <w:rFonts w:ascii="仿宋_GB2312" w:hAnsi="仿宋_GB2312" w:cs="仿宋_GB2312" w:eastAsia="仿宋_GB2312"/>
                <w:sz w:val="21"/>
              </w:rPr>
              <w:t>本项目合同签订后预付合同总金额的</w:t>
            </w:r>
            <w:r>
              <w:rPr>
                <w:rFonts w:ascii="仿宋_GB2312" w:hAnsi="仿宋_GB2312" w:cs="仿宋_GB2312" w:eastAsia="仿宋_GB2312"/>
                <w:sz w:val="21"/>
              </w:rPr>
              <w:t>30%，项目完工验收后，经第三方审计机构工程造价审核后支付至项目审定价款的97%，剩余3%作为工程质量保证金。在缺陷保修期内无质量缺陷的一次性返还。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标的名称：米家崖崩塌（东段）应急治理工程（二标段）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1.工期：</w:t>
            </w:r>
            <w:r>
              <w:rPr>
                <w:rFonts w:ascii="仿宋_GB2312" w:hAnsi="仿宋_GB2312" w:cs="仿宋_GB2312" w:eastAsia="仿宋_GB2312"/>
                <w:sz w:val="21"/>
              </w:rPr>
              <w:t>90</w:t>
            </w:r>
            <w:r>
              <w:rPr>
                <w:rFonts w:ascii="仿宋_GB2312" w:hAnsi="仿宋_GB2312" w:cs="仿宋_GB2312" w:eastAsia="仿宋_GB2312"/>
                <w:sz w:val="21"/>
              </w:rPr>
              <w:t>日历天。</w:t>
            </w:r>
          </w:p>
          <w:p>
            <w:pPr>
              <w:pStyle w:val="null3"/>
            </w:pPr>
            <w:r>
              <w:rPr>
                <w:rFonts w:ascii="仿宋_GB2312" w:hAnsi="仿宋_GB2312" w:cs="仿宋_GB2312" w:eastAsia="仿宋_GB2312"/>
                <w:sz w:val="21"/>
              </w:rPr>
              <w:t>2.施工范围：具体内容详见工程量清单</w:t>
            </w:r>
            <w:r>
              <w:rPr>
                <w:rFonts w:ascii="仿宋_GB2312" w:hAnsi="仿宋_GB2312" w:cs="仿宋_GB2312" w:eastAsia="仿宋_GB2312"/>
              </w:rPr>
              <w:t>。</w:t>
            </w:r>
          </w:p>
          <w:p>
            <w:pPr>
              <w:pStyle w:val="null3"/>
            </w:pPr>
            <w:r>
              <w:rPr>
                <w:rFonts w:ascii="仿宋_GB2312" w:hAnsi="仿宋_GB2312" w:cs="仿宋_GB2312" w:eastAsia="仿宋_GB2312"/>
                <w:sz w:val="21"/>
              </w:rPr>
              <w:t>3.合同进度付款申请单提交的约定：</w:t>
            </w:r>
            <w:r>
              <w:rPr>
                <w:rFonts w:ascii="仿宋_GB2312" w:hAnsi="仿宋_GB2312" w:cs="仿宋_GB2312" w:eastAsia="仿宋_GB2312"/>
                <w:sz w:val="21"/>
              </w:rPr>
              <w:t>本项目合同签订后预付合同总金额的</w:t>
            </w:r>
            <w:r>
              <w:rPr>
                <w:rFonts w:ascii="仿宋_GB2312" w:hAnsi="仿宋_GB2312" w:cs="仿宋_GB2312" w:eastAsia="仿宋_GB2312"/>
                <w:sz w:val="21"/>
              </w:rPr>
              <w:t>30%，项目完工验收后，经第三方审计机构工程造价审核后支付至项目审定价款的97%，剩余3%作为工程质量保证金。在缺陷保修期内无质量缺陷的一次性返还。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递交响应文件，正本壹份、副本贰份，随正本密封。若线上电子响应文件与纸质响应文件不一致以电子响应文件为准；若正本和副本不符，以正本为准。 线下递交时间同线上响应文件递交截止时间 ；线下递交文件地点：陕西省西安市经济技术开发区未央路303号保利中达广场2207室。 2、本项目磋商报价为完成本项目工程量清单及图纸的全部内容，包括但不限于以下内容:人工费、材料费、机械费、措施费、管理费、利润、规费、税金、风险等完成本项目所产生的一切费用。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a.营业执照、组织机构代码证、税务登记证(三证合一的提供统一社会信用代码的营业执照)其他组织经营的合法凭证， 自然人的提供身份证明文件； b.财务状况证明：提供2024年度经审计的财务报告（包括“ 四表一注” 即《资产负债表》《利润表》《现金流量表》《所有者权益变动表》（若有）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c.提供具有履行合同所必需的设备和专业技术能力的承诺；d.税收缴纳证明：提供投标截止日前6个月内已缴纳的至少一个月的纳税证明或完税证明，依法免税的单位应提供相关证明材料；e.社会保障资金缴纳证明：提供投标截止日前6个月内已缴存的至少一个月的社会保障资金缴存单据或社保机构开具的社会保险参保缴费情况证明，依法不需要缴纳社会保障资金的单位应提供相关证明材料； f.参加政府采购活动前3年内，在经营活动中没有重大违法记录的书面声明。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 四表一注” 即《资产负债表》《利润表》《现金流量表》《所有者权益变动表》（若有）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a.营业执照、组织机构代码证、税务登记证(三证合一的提供统一社会信用代码的营业执照)其他组织经营的合法凭证， 自然人的提供身份证明文件； b.财务状况证明：提供2024年度经审计的财务报告（包括“ 四表一注” 即《资产负债表》《利润表》《现金流量表》《所有者权益变动表》（若有）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c.提供具有履行合同所必需的设备和专业技术能力的承诺；d.税收缴纳证明：提供投标截止日前6个月内已缴纳的至少一个月的纳税证明或完税证明，依法免税的单位应提供相关证明材料；e.社会保障资金缴纳证明：提供投标截止日前6个月内已缴存的至少一个月的社会保障资金缴存单据或社保机构开具的社会保险参保缴费情况证明，依法不需要缴纳社会保障资金的单位应提供相关证明材料； f.参加政府采购活动前3年内，在经营活动中没有重大违法记录的书面声明。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 四表一注” 即《资产负债表》《利润表》《现金流量表》《所有者权益变动表》（若有）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供应商须具备建设行政主管部门颁发的市政公用工程施工总承包三级(含三级)及以上资质，且具备合法有效的安全生产许可证；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供应商拟派项目负责人须具有建设行政主管部门颁发市政公用工程专业二级（含二级）及以上注册建造师证书及安全生产考核合格证（建安B证），在本单位注册且无在建项目；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供应商须具备建设行政主管部门颁发的市政公用工程施工总承包三级(含三级)及以上资质，且具备合法有效的安全生产许可证；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供应商拟派项目负责人须具有建设行政主管部门颁发市政公用工程专业二级（含二级）及以上注册建造师证书及安全生产考核合格证（建安B证），在本单位注册且无在建项目；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供应商提供的单位名称、签章等信息与营业执照、资质证书等一致。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响应文件封面 施工方案.docx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供应商提供的单位名称、签章等信息与营业执照、资质证书等一致。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响应文件封面 施工方案.docx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