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版本号：GYZB-2025-03020251226001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高陵工业园区规划水资源论证报告编制采购项目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GYZB-2025-030</w:t>
      </w:r>
      <w:r>
        <w:br/>
      </w:r>
      <w:r>
        <w:br/>
      </w:r>
      <w:r>
        <w:br/>
      </w:r>
    </w:p>
    <w:p>
      <w:pPr>
        <w:pStyle w:val="null3"/>
        <w:jc w:val="center"/>
        <w:outlineLvl w:val="2"/>
      </w:pPr>
      <w:r>
        <w:rPr>
          <w:rFonts w:ascii="仿宋_GB2312" w:hAnsi="仿宋_GB2312" w:cs="仿宋_GB2312" w:eastAsia="仿宋_GB2312"/>
          <w:sz w:val="28"/>
          <w:b/>
        </w:rPr>
        <w:t>西安市高陵区水资源服务中心</w:t>
      </w:r>
    </w:p>
    <w:p>
      <w:pPr>
        <w:pStyle w:val="null3"/>
        <w:jc w:val="center"/>
        <w:outlineLvl w:val="2"/>
      </w:pPr>
      <w:r>
        <w:rPr>
          <w:rFonts w:ascii="仿宋_GB2312" w:hAnsi="仿宋_GB2312" w:cs="仿宋_GB2312" w:eastAsia="仿宋_GB2312"/>
          <w:sz w:val="28"/>
          <w:b/>
        </w:rPr>
        <w:t>陕西国裕工程项目管理有限公司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陕西国裕工程项目管理有限公司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西安市高陵区水资源服务中心</w:t>
      </w:r>
      <w:r>
        <w:rPr>
          <w:rFonts w:ascii="仿宋_GB2312" w:hAnsi="仿宋_GB2312" w:cs="仿宋_GB2312" w:eastAsia="仿宋_GB2312"/>
        </w:rPr>
        <w:t>委托，拟对</w:t>
      </w:r>
      <w:r>
        <w:rPr>
          <w:rFonts w:ascii="仿宋_GB2312" w:hAnsi="仿宋_GB2312" w:cs="仿宋_GB2312" w:eastAsia="仿宋_GB2312"/>
        </w:rPr>
        <w:t>高陵工业园区规划水资源论证报告编制采购项目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GYZB-2025-030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高陵工业园区规划水资源论证报告编制采购项目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根据《规划水资源论证技术导则》（SL/T813-2021）、《建设项目水资源论证管理办法》、《建设项目水资源论证导则》（GB/T35580-2017）等的条款内容，编制完成《高陵工业园区规划水资源论证报告书》。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采购包1（高陵工业园区规划水资源论证报告编制采购项目）：属于专门面向中小企业采购。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三种形式的资料提供任何一种即可）①提供2024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pPr>
        <w:pStyle w:val="null3"/>
      </w:pPr>
      <w:r>
        <w:rPr>
          <w:rFonts w:ascii="仿宋_GB2312" w:hAnsi="仿宋_GB2312" w:cs="仿宋_GB2312" w:eastAsia="仿宋_GB2312"/>
        </w:rPr>
        <w:t>3、税收缴纳证明：提供响应文件提交截止时间一年内至少一个月的纳税证明或完税证明；</w:t>
      </w:r>
    </w:p>
    <w:p>
      <w:pPr>
        <w:pStyle w:val="null3"/>
      </w:pPr>
      <w:r>
        <w:rPr>
          <w:rFonts w:ascii="仿宋_GB2312" w:hAnsi="仿宋_GB2312" w:cs="仿宋_GB2312" w:eastAsia="仿宋_GB2312"/>
        </w:rPr>
        <w:t>4、社保资金缴纳证明：提供响应文件提交截止时间一年内至少一个月的社会保障资金缴存单据或社保机构开具的社会保险参保缴费情况证明；</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6、控股管理关系：提供直接控股和管理关系清单。若与其他供应商存在单位负责人为同一人或者存在直接控股、管理关系的，则按无效响应文件处理；</w:t>
      </w:r>
    </w:p>
    <w:p>
      <w:pPr>
        <w:pStyle w:val="null3"/>
      </w:pPr>
      <w:r>
        <w:rPr>
          <w:rFonts w:ascii="仿宋_GB2312" w:hAnsi="仿宋_GB2312" w:cs="仿宋_GB2312" w:eastAsia="仿宋_GB2312"/>
        </w:rPr>
        <w:t>7、设备、技术能力书面声明：提供具有履行合同所必需的设备和专业技术能力书面声明函；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西安市高陵区水资源服务中心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西安市高陵区西环城路23号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029-86911665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陕西国裕工程项目管理有限公司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陕西省西安市经济技术开发区凤城七路明光路长和国际D座2004-2室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王蕊聪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15991261661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采购包1：789,100.00元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参照国家计委颁布的《招标代理服务收费管理暂行办法》（计价格〔2002〕1980号）及发改办价格〔2003〕857号文件的规定标准收取。开户名称：陕西国裕工程项目管理有限公司；开户行：长安银行股份有限公司西安经济技术开发区支行；帐号806010301421021652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西安市高陵区水资源服务中心</w:t>
      </w:r>
      <w:r>
        <w:rPr>
          <w:rFonts w:ascii="仿宋_GB2312" w:hAnsi="仿宋_GB2312" w:cs="仿宋_GB2312" w:eastAsia="仿宋_GB2312"/>
        </w:rPr>
        <w:t>和</w:t>
      </w:r>
      <w:r>
        <w:rPr>
          <w:rFonts w:ascii="仿宋_GB2312" w:hAnsi="仿宋_GB2312" w:cs="仿宋_GB2312" w:eastAsia="仿宋_GB2312"/>
        </w:rPr>
        <w:t>陕西国裕工程项目管理有限公司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西安市高陵区水资源服务中心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陕西国裕工程项目管理有限公司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西安市高陵区水资源服务中心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陕西国裕工程项目管理有限公司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陕西国裕工程项目管理有限公司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陕西国裕工程项目管理有限公司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陕西国裕工程项目管理有限公司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联系人：王蕊聪</w:t>
      </w:r>
    </w:p>
    <w:p>
      <w:pPr>
        <w:pStyle w:val="null3"/>
      </w:pPr>
      <w:r>
        <w:rPr>
          <w:rFonts w:ascii="仿宋_GB2312" w:hAnsi="仿宋_GB2312" w:cs="仿宋_GB2312" w:eastAsia="仿宋_GB2312"/>
        </w:rPr>
        <w:t>联系电话：15991261661</w:t>
      </w:r>
    </w:p>
    <w:p>
      <w:pPr>
        <w:pStyle w:val="null3"/>
      </w:pPr>
      <w:r>
        <w:rPr>
          <w:rFonts w:ascii="仿宋_GB2312" w:hAnsi="仿宋_GB2312" w:cs="仿宋_GB2312" w:eastAsia="仿宋_GB2312"/>
        </w:rPr>
        <w:t>地址：陕西省西安市经济技术开发区凤城七路明光路长和国际D座2004-2室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根据《规划水资源论证技术导则》（SL/T813-2021）、《建设项目水资源论证管理办法》、《建设项目水资源论证导则》（GB/T35580-2017）等的条款内容，编制完成《高陵工业园区规划水资源论证报告书》。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789,100.00</w:t>
      </w:r>
    </w:p>
    <w:p>
      <w:pPr>
        <w:pStyle w:val="null3"/>
      </w:pPr>
      <w:r>
        <w:rPr>
          <w:rFonts w:ascii="仿宋_GB2312" w:hAnsi="仿宋_GB2312" w:cs="仿宋_GB2312" w:eastAsia="仿宋_GB2312"/>
        </w:rPr>
        <w:t>采购包最高限价（元）: 789,100.00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高陵工业园区规划水资源论证报告书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789,100.00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标的名称：高陵工业园区规划水资源论证报告书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高陵工业园区为原泾河工业园，后改名为高陵工业园区，园区占地面积13.7</w:t>
            </w:r>
            <w:r>
              <w:rPr>
                <w:rFonts w:ascii="仿宋_GB2312" w:hAnsi="仿宋_GB2312" w:cs="仿宋_GB2312" w:eastAsia="仿宋_GB2312"/>
                <w:sz w:val="21"/>
              </w:rPr>
              <w:t>km</w:t>
            </w:r>
            <w:r>
              <w:rPr>
                <w:rFonts w:ascii="仿宋_GB2312" w:hAnsi="仿宋_GB2312" w:cs="仿宋_GB2312" w:eastAsia="仿宋_GB2312"/>
                <w:sz w:val="21"/>
                <w:vertAlign w:val="superscript"/>
              </w:rPr>
              <w:t>2</w:t>
            </w:r>
            <w:r>
              <w:rPr>
                <w:rFonts w:ascii="仿宋_GB2312" w:hAnsi="仿宋_GB2312" w:cs="仿宋_GB2312" w:eastAsia="仿宋_GB2312"/>
                <w:sz w:val="21"/>
              </w:rPr>
              <w:t>，项目属已建成项目，项目用水情况主要为园区居民生活、工业生产用水。近期主要是以地下水供水为主，远期主要是以引汉济渭水源为主。根据《水利部关于进一步加强水资源论证工作的意见》（水资管【2020】225号）相关要求，加强规划水资源论证，严格建设项目水资源论证，推进水资源论证区域评估，进一步发挥水资源在区域发展、相关规划和项目建设布局中的刚性约束作用。按照2025年6月20日全市《中国开发区审核公告目录（2018年）》修订工作专题推进会议精神，要督促扩区、整合和新设立的相关开发区、工业袁区加快开展规划水资源论证工作。高陵工业园属于更名并调区、扩区的工业园区，应开展此方面工作。</w:t>
            </w:r>
          </w:p>
          <w:p>
            <w:pPr>
              <w:pStyle w:val="null3"/>
              <w:jc w:val="both"/>
            </w:pPr>
            <w:r>
              <w:rPr>
                <w:rFonts w:ascii="仿宋_GB2312" w:hAnsi="仿宋_GB2312" w:cs="仿宋_GB2312" w:eastAsia="仿宋_GB2312"/>
                <w:sz w:val="21"/>
                <w:b/>
              </w:rPr>
              <w:t>二、服务内容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调查了解工业园区所在区域的水资源状况，分析工业区区所在区域水资源开发利用现状和存在的主要问题。</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按照国家规定的有关技术规范和标准，遵循节约用水、合理使用、优化配置的原则，从工业园区规划项目与产业政策的符合性、工业园区取水与区域水资源条件和水资源规划符合性、工业园区取水水源配置的合理性以及工业园区内项目工艺技术的合理性等方面，论证工业园区取水合理性；分析评价工业园区主要用水环节的用水合理性、用水指标的先进性，分析工业园区节水潜力，提出技术可行、经济合理的节水措施，得出取用水合理性的结论性意见。</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在对工业园区所在地周边区域的地表水、地下水等水源进行综合分析和比较的基础上，提出可供选择利用的水源供水方案；从取水水源的可供水量、取水水质、取水口设置合理性等角度分析论证取水水源的可靠性和可行性。</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分析工业园区取水对周边区域水资源、其他用水户可能产生的影响；分析开发区退水方案；论证工业园区退水对水功能区的使用功能、纳污能力和水生态的影响以及退水对第三者的影响；论证入河排污口设置方案的合理性及可行性；提出工业园区取水、退水影响的相应补偿方案及措施建议。</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提出必要的、切实可行的水资源保护措施和对策建议。</w:t>
            </w:r>
          </w:p>
          <w:p>
            <w:pPr>
              <w:pStyle w:val="null3"/>
              <w:jc w:val="both"/>
            </w:pPr>
            <w:r>
              <w:rPr>
                <w:rFonts w:ascii="仿宋_GB2312" w:hAnsi="仿宋_GB2312" w:cs="仿宋_GB2312" w:eastAsia="仿宋_GB2312"/>
                <w:sz w:val="21"/>
                <w:b/>
              </w:rPr>
              <w:t>三、技术要求</w:t>
            </w:r>
          </w:p>
          <w:p>
            <w:pPr>
              <w:pStyle w:val="null3"/>
              <w:ind w:firstLine="420"/>
              <w:jc w:val="both"/>
            </w:pPr>
            <w:r>
              <w:rPr>
                <w:rFonts w:ascii="仿宋_GB2312" w:hAnsi="仿宋_GB2312" w:cs="仿宋_GB2312" w:eastAsia="仿宋_GB2312"/>
                <w:sz w:val="21"/>
              </w:rPr>
              <w:t>根据《规划水资源论证技术导则》（SL/T813-2021）、《建设项目水资源论证管理办法》、《建设项目水资源论证导则》（GB/T35580-2017）等条款内容，编制完成《高陵工业园区规划水资源论证报告书》。</w:t>
            </w:r>
          </w:p>
          <w:p>
            <w:pPr>
              <w:pStyle w:val="null3"/>
              <w:jc w:val="both"/>
            </w:pPr>
            <w:r>
              <w:rPr>
                <w:rFonts w:ascii="仿宋_GB2312" w:hAnsi="仿宋_GB2312" w:cs="仿宋_GB2312" w:eastAsia="仿宋_GB2312"/>
                <w:sz w:val="21"/>
                <w:b/>
              </w:rPr>
              <w:t>四、成果交付要求</w:t>
            </w:r>
          </w:p>
          <w:p>
            <w:pPr>
              <w:pStyle w:val="null3"/>
              <w:ind w:firstLine="420"/>
              <w:jc w:val="both"/>
            </w:pPr>
            <w:r>
              <w:rPr>
                <w:rFonts w:ascii="仿宋_GB2312" w:hAnsi="仿宋_GB2312" w:cs="仿宋_GB2312" w:eastAsia="仿宋_GB2312"/>
                <w:sz w:val="21"/>
              </w:rPr>
              <w:t>完成《高陵工业园区规划水资源论证报告书》的编制工作并通过审查。</w:t>
            </w:r>
          </w:p>
          <w:p>
            <w:pPr>
              <w:pStyle w:val="null3"/>
              <w:jc w:val="both"/>
            </w:pPr>
            <w:r>
              <w:rPr>
                <w:rFonts w:ascii="仿宋_GB2312" w:hAnsi="仿宋_GB2312" w:cs="仿宋_GB2312" w:eastAsia="仿宋_GB2312"/>
                <w:sz w:val="21"/>
                <w:b/>
              </w:rPr>
              <w:t>五、质量验收标准或规范</w:t>
            </w:r>
          </w:p>
          <w:p>
            <w:pPr>
              <w:pStyle w:val="null3"/>
              <w:ind w:firstLine="420"/>
              <w:jc w:val="both"/>
            </w:pPr>
            <w:r>
              <w:rPr>
                <w:rFonts w:ascii="仿宋_GB2312" w:hAnsi="仿宋_GB2312" w:cs="仿宋_GB2312" w:eastAsia="仿宋_GB2312"/>
                <w:sz w:val="21"/>
              </w:rPr>
              <w:t>现行的国家标准或国家行政部门颁布的法律法规、规章制度等。</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《中华人民共和国水法》</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《规划水资源论证技术导则》（SL/T813-2021）</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《建设项目水资源论证管理办法》</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《建设项目水资源论证导则》（GB/T35580-2017）</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《节水评价技术导则》（SL/T 835-2024）；</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《陕西行业用水定额》（DB 61/T 943-2020）</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《陕西省节约用水条例》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1.达到国家相关规范标准和磋商文件要求。 2.其它内容详见合同约定。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成果交付验收合格后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1.委托人不按本合同约定支付服务费用，造成服务工作停滞、延误的，每迟延一天，受托人有权要求委托人支付合同总价款0.2%的违约金。 2.受托人如未能按期提交本合同第三条约定的项目成果，每延迟一日应按合同标的总金额0.2%向委托人支付违约金。违约金从委托人未支付的项目款项中扣除。迟延达10日的，委托人有权解除本合同，不再支付服务费，并要求受托人按照合同总额的20%向委托人支付违约金。 3.受托人未经委托人书面同意将本合同项下义务交由第三方完成的，委托人有权解除本合同、拒付全部合同价款、并要求受托人按照合同总额的20%向委托人支付违约金。 4.受托人未经委托人书面同意，将委托人提供的资料或者履行本合同中知悉或产生的信息用于合同以外的用途，或留存、转让、复制、传播、向第三方披露的，应按合同总额的20%向委托人支付违约金。 5.本合同约定的违约金不足以弥补守约方的实际损失的，以实际损失为准进行赔偿。实际损失的赔偿范围包括但不限于守约方的所有直接损失和为减少损失及解决纠纷而支出的诉讼费、仲裁费、保全费、保全担保费、律师费、公证费、评估费、鉴定费、交通费、咨询费、文件制作费、差旅费等。 6.其它内容详见合同约定。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3.4.1合格供应商少于3家的处理 3.4.1.1评审过程中，若出现合格供应商只有2家时，符合《政府采购竞争性磋商采购方式管理暂行办法》第3条第4项情形的，或者本项目为政府购买服务指导性目录中的，可以继续进行；只有1家时，采购人应依法重新组织采购活动。 3.4.1.2评审过程中，除符合第3.4.1.1条条款规定情形外，若出现合格供应商少于3家时，采购人应依法重新组织采购活动。 3.4.2本项目需要落实的政府采购政策：（1）《国务院办公厅关于建立政府强制采购节能产品制度的通知》（国办发〔2007〕51号）；（2）《财政部 司法部 关于政府采购支持监狱企业发展有关问题的通知》（财库〔2014〕68号）；（3）《三部门联合发布关于促进残疾人就业政 府采购政策的通知》（财库〔2017〕141号）；（4）《财政部 发展改革委 生态环境部 市场监管总局关于调整优化节能产 品、环境标志产品政府采购执行机制的通知》（财库〔2019〕9号）；（5）《关于印发节能产品政府采购品目清单的通知》（财库〔2019〕19号）；（6）《关于印发环境标志产品政府采购品目清单的通知》（财库〔2019〕18号）；（7）《关于 运用政府采购政策支持乡村产业振兴的通知》（财库〔2021〕19号）；（8）《政府采购促进中小企业发展管理办法》（财 库〔2020〕46号）；（9）《关于进一步加大政府采购支持中小企业力度的通知》（财库〔2022〕19号；（10）《陕西省 中小企业政府采购信用融资办法》（陕财办采〔2018〕23号）；（11）《陕西省财政厅关于加快推进我省中小企业政府采购 信用融资工作的通知》（陕财办采〔2020〕15号）；（12）《关于进一步加强政府绿色采购有关问题的通知》陕财办采 〔2021〕29号；（13）《陕西省财政厅、中国人民银行西安分行关于深入推进政府采购信用融资业务的通知》（陕财办采 〔2023〕5号）；（14）其他需要落实的政府采购政策，如有最新颁布的政府采购政策，按最新的文件执行。 3.4.3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三种形式的资料提供任何一种即可）①提供2024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提供响应文件提交截止时间一年内至少一个月的纳税证明或完税证明；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提供直接控股和管理关系清单。若与其他供应商存在单位负责人为同一人或者存在直接控股、管理关系的，则按无效响应文件处理；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供应商全称</w:t>
            </w:r>
          </w:p>
        </w:tc>
        <w:tc>
          <w:tcPr>
            <w:tcW w:type="dxa" w:w="3322"/>
          </w:tcPr>
          <w:p>
            <w:pPr>
              <w:pStyle w:val="null3"/>
            </w:pPr>
            <w:r>
              <w:rPr>
                <w:rFonts w:ascii="仿宋_GB2312" w:hAnsi="仿宋_GB2312" w:cs="仿宋_GB2312" w:eastAsia="仿宋_GB2312"/>
              </w:rPr>
              <w:t>与营业执照等证明材料一致。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标的清单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响应报价表填写符合要求。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标的清单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1.项目负责人：具有水文、工程、环境地质类中级职称得3分，具有水文、工程、环境地质类高级及以上职称得6分，本项最多得6分。 2.项目组成员（不含项目负责人）：每提供1名水文、工程、环境地质类相关专业中级及以上职称人员得3分。本项最多得9分。 注：须提供以上人员相关证书的复印件及在职证明。</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水资源论证报告编制服务方案包括：①水资源论证报告编制的目的和任务；②水资源论证报告编制的内容、技术程序和一般要求；③对本项目现状的了解和认知；④水资源条件分析；⑤与水资源条件的适应性分析；⑥水资源保障方案分析；⑦需水和退水分析；⑧成果水平及审查方案。方案符合采购文件要求的得32分，每有一项缺项或漏项扣4分，每有一项内容有缺陷扣1分，扣完为止。 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供应商针对本项目的管理方案包括：①质量保障措施；②进度安排与保障措施；③人员配置与工作职责；④数据和信息安全保密措施。以上内容详细完整不缺项得12分，每缺一项扣3分；每项有一处内容错误或缺陷的扣1分；每项扣完为止。 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根据供应商提供的后续服务方案包括：①后续服务具体内容；②后续服务响应方式及时间；③后续服务人员情况及工作安排；④后续服务保障措施；上述内容完全满足项目要求的得12分，每缺少一项内容的扣3分，每有一项内容存在缺陷扣1分，扣完为止。 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项目重点难点分析及合理化建议</w:t>
            </w:r>
          </w:p>
        </w:tc>
        <w:tc>
          <w:tcPr>
            <w:tcW w:type="dxa" w:w="2492"/>
          </w:tcPr>
          <w:p>
            <w:pPr>
              <w:pStyle w:val="null3"/>
            </w:pPr>
            <w:r>
              <w:rPr>
                <w:rFonts w:ascii="仿宋_GB2312" w:hAnsi="仿宋_GB2312" w:cs="仿宋_GB2312" w:eastAsia="仿宋_GB2312"/>
              </w:rPr>
              <w:t>根据供应商提供的后续服务方案包括：①重点、难点进行分析；②项目重点、难点的解决方案；③合理化建议；上述内容完全满足项目要求的得9分，每缺少一项内容的扣3分，每有一项内容存在缺陷扣1分，扣完为止。 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供应商自2023年1月1日（含）以来具有的，每提供1个类似项目业绩的得5分，本项最多得10分。 注：1.类似业绩指：工作内容包含水资源论证报告编制相关业绩；时间以合同签订时间为准。2.提供完整的合同复印件。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