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版本号：0617-2521FZ395220260107001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农用地转用和土地征收勘界报告编制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0617-2521FZ3952</w:t>
      </w:r>
      <w:r>
        <w:br/>
      </w:r>
      <w:r>
        <w:br/>
      </w:r>
      <w:r>
        <w:br/>
      </w:r>
    </w:p>
    <w:p>
      <w:pPr>
        <w:pStyle w:val="null3"/>
        <w:jc w:val="center"/>
        <w:outlineLvl w:val="2"/>
      </w:pPr>
      <w:r>
        <w:rPr>
          <w:rFonts w:ascii="仿宋_GB2312" w:hAnsi="仿宋_GB2312" w:cs="仿宋_GB2312" w:eastAsia="仿宋_GB2312"/>
          <w:sz w:val="28"/>
          <w:b/>
        </w:rPr>
        <w:t>西安市高陵区住房和城乡建设局</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西安市高陵区住房和城乡建设局</w:t>
      </w:r>
      <w:r>
        <w:rPr>
          <w:rFonts w:ascii="仿宋_GB2312" w:hAnsi="仿宋_GB2312" w:cs="仿宋_GB2312" w:eastAsia="仿宋_GB2312"/>
        </w:rPr>
        <w:t>委托，拟对</w:t>
      </w:r>
      <w:r>
        <w:rPr>
          <w:rFonts w:ascii="仿宋_GB2312" w:hAnsi="仿宋_GB2312" w:cs="仿宋_GB2312" w:eastAsia="仿宋_GB2312"/>
        </w:rPr>
        <w:t>农用地转用和土地征收勘界报告编制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0617-2521FZ3952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农用地转用和土地征收勘界报告编制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高陵区中心片区基础设施配套实施土地征收，现需对上林三路、耿安路、政法一路、政法二路、泾惠六路、西环南延伸段、泾惠四路和循环产业园市政道路出具农用地转用勘界报告。包括数据分析、现场实测、地类回退、制作勘界报告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采购包1（农用地转用和土地征收勘界报告编制）：属于专门面向中小企业采购。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1、测绘资质：具有国家行政机关颁发的乙级或以上测绘资质证书(专业类别需包含工程测量、界线与不动产测绘)，供应商需在项目电子化交易系统中按要求上传相应证明文件并进行电子签章。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陕西省西安市高陵区文卫路132号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西安市高陵区建设和住房保障局经办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029-86915211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的标准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西安市高陵区住房和城乡建设局</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报告书符合国家法律法规规定的合格标准。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高陵区中心片区基础设施配套实施土地征收，现需对上林三路、耿安路、政法一路、政法二路、泾惠六路、西环南延伸段、泾惠四路和循环产业园市政道路出具农用地转用勘界报告。包括数据分析、现场实测、地类回退、制作界报告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农用地转用和土地征收勘界报告编制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标的名称：农用地转用和土地征收勘界报告编制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西安市高陵区中心片区基础设施配套实施土地征收，现需对上林三路、耿安路、政法一路、政法二路、泾惠六路、西环南延伸段、泾惠四路和循环产业园市政道路出具农用地转用勘界报告。包括数据分析、现场实测、地类回退、制作勘界报告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服务内容：西安市高陵区中心片区基础设施配套上林三路、耿安路、政法一路、政法二路、泾惠六路、西环南延伸段、泾惠四路和循环产业园市政道路农用地转用勘测定界工作包括界址点解析、地类回退（2023-2009）、三区三线规划图制作、国土空间规划图制作、影像图制作、航飞影像等相关技术服务工作。</w:t>
            </w:r>
            <w:r>
              <w:br/>
            </w:r>
            <w:r>
              <w:rPr>
                <w:rFonts w:ascii="仿宋_GB2312" w:hAnsi="仿宋_GB2312" w:cs="仿宋_GB2312" w:eastAsia="仿宋_GB2312"/>
              </w:rPr>
              <w:t xml:space="preserve"> （1）界址解析：界址点坐标表（含每个界址点的X、Y坐标值）、权属界线图（标注界址线走向）；</w:t>
            </w:r>
            <w:r>
              <w:br/>
            </w:r>
            <w:r>
              <w:rPr>
                <w:rFonts w:ascii="仿宋_GB2312" w:hAnsi="仿宋_GB2312" w:cs="仿宋_GB2312" w:eastAsia="仿宋_GB2312"/>
              </w:rPr>
              <w:t xml:space="preserve"> （2）地类回退：按《土地利用现状分类》标注地块类型，附地类面积统计表，分年度统计汇总地类面积表；</w:t>
            </w:r>
            <w:r>
              <w:br/>
            </w:r>
            <w:r>
              <w:rPr>
                <w:rFonts w:ascii="仿宋_GB2312" w:hAnsi="仿宋_GB2312" w:cs="仿宋_GB2312" w:eastAsia="仿宋_GB2312"/>
              </w:rPr>
              <w:t xml:space="preserve"> （3）规划图制作：按《高陵区国土空间规划“三区三线”划定示意图》及《西安市高陵区国土空间规划》标注土地规划性质，附规划用地示意图；</w:t>
            </w:r>
            <w:r>
              <w:br/>
            </w:r>
            <w:r>
              <w:rPr>
                <w:rFonts w:ascii="仿宋_GB2312" w:hAnsi="仿宋_GB2312" w:cs="仿宋_GB2312" w:eastAsia="仿宋_GB2312"/>
              </w:rPr>
              <w:t xml:space="preserve"> （4）航飞影像：组卷上报前三个月内与现场实际符合的正射、鸟瞰、视频影像；</w:t>
            </w:r>
            <w:r>
              <w:br/>
            </w:r>
            <w:r>
              <w:rPr>
                <w:rFonts w:ascii="仿宋_GB2312" w:hAnsi="仿宋_GB2312" w:cs="仿宋_GB2312" w:eastAsia="仿宋_GB2312"/>
              </w:rPr>
              <w:t xml:space="preserve"> （5）勘界报告制作：制作符合有关部门要求的勘界报告；</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三、技术要求：</w:t>
            </w:r>
            <w:r>
              <w:br/>
            </w:r>
            <w:r>
              <w:rPr>
                <w:rFonts w:ascii="仿宋_GB2312" w:hAnsi="仿宋_GB2312" w:cs="仿宋_GB2312" w:eastAsia="仿宋_GB2312"/>
              </w:rPr>
              <w:t xml:space="preserve"> (1)《自然资源部办公厅关于以“三调”成果为基础做好建设用地审查报批地类认定的通知》(自然资办函〔2022〕411号);</w:t>
            </w:r>
            <w:r>
              <w:br/>
            </w:r>
            <w:r>
              <w:rPr>
                <w:rFonts w:ascii="仿宋_GB2312" w:hAnsi="仿宋_GB2312" w:cs="仿宋_GB2312" w:eastAsia="仿宋_GB2312"/>
              </w:rPr>
              <w:t xml:space="preserve"> (2)《自然资源部关于规范报批审查的建设项目用地报批材料和审查报告文本格式的函》(自然资办函〔2022〕819号);</w:t>
            </w:r>
            <w:r>
              <w:br/>
            </w:r>
            <w:r>
              <w:rPr>
                <w:rFonts w:ascii="仿宋_GB2312" w:hAnsi="仿宋_GB2312" w:cs="仿宋_GB2312" w:eastAsia="仿宋_GB2312"/>
              </w:rPr>
              <w:t xml:space="preserve"> (3)《陕西省自然资源厅办公室关于做好全省建设用地审查报批有关地类认定工作的通知》(陕自然资办发〔2022〕49号);</w:t>
            </w:r>
            <w:r>
              <w:br/>
            </w:r>
            <w:r>
              <w:rPr>
                <w:rFonts w:ascii="仿宋_GB2312" w:hAnsi="仿宋_GB2312" w:cs="仿宋_GB2312" w:eastAsia="仿宋_GB2312"/>
              </w:rPr>
              <w:t xml:space="preserve"> (4)《自然资源部关于印发国土空间调查、规划、用途管制用地用海分类指南的通知》(自然资发〔2023〕234号);</w:t>
            </w:r>
            <w:r>
              <w:br/>
            </w:r>
            <w:r>
              <w:rPr>
                <w:rFonts w:ascii="仿宋_GB2312" w:hAnsi="仿宋_GB2312" w:cs="仿宋_GB2312" w:eastAsia="仿宋_GB2312"/>
              </w:rPr>
              <w:t xml:space="preserve"> (5)《土地勘测定界规程》(TD/T1008-2007);</w:t>
            </w:r>
            <w:r>
              <w:br/>
            </w:r>
            <w:r>
              <w:rPr>
                <w:rFonts w:ascii="仿宋_GB2312" w:hAnsi="仿宋_GB2312" w:cs="仿宋_GB2312" w:eastAsia="仿宋_GB2312"/>
              </w:rPr>
              <w:t xml:space="preserve"> (6)《地籍调查规程》(GB/T42547-2023);</w:t>
            </w:r>
            <w:r>
              <w:br/>
            </w:r>
            <w:r>
              <w:rPr>
                <w:rFonts w:ascii="仿宋_GB2312" w:hAnsi="仿宋_GB2312" w:cs="仿宋_GB2312" w:eastAsia="仿宋_GB2312"/>
              </w:rPr>
              <w:t xml:space="preserve"> (7)《土地利用分类现状》(GB/T21010-2017);</w:t>
            </w:r>
            <w:r>
              <w:br/>
            </w:r>
            <w:r>
              <w:rPr>
                <w:rFonts w:ascii="仿宋_GB2312" w:hAnsi="仿宋_GB2312" w:cs="仿宋_GB2312" w:eastAsia="仿宋_GB2312"/>
              </w:rPr>
              <w:t xml:space="preserve"> (8)《测绘成果质量检查与验收》(GB/T24356-2023)。</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四、服务要求</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1、向采购单位提供有效的技术指导、培训和支援。</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2、负责免费为采购方提供对整个项目的合理化把控能够提出可行性建议，有能力对项目中出现的各种问题提供可供参考的解决方案，以保证项目顺利进行。</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3、配合采购单位与本项目有关的其他工作。</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五、商务要求</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1、服务期限：自合同签订之日起2个月。</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2、款项结算：合同签订后5个工作日内支付合同总价款的30%;项目实施阶段完成后5个工作日内支付合同总价款的60%;成果交付验收合格后，5个工作日内支付合同总价款的10%。</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3、成果交付要求：项目各批次各道路勘测定界报告书一式四份。</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4、质量验收标准或规范：（1）服务应满足国家及行业相关标准，以及采购文件要求及相关服务合同、技术协议等要求；(2)质量符合国家法律法规规定的合格标准、采购文件的要求。</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5、违约责任：</w:t>
            </w:r>
          </w:p>
          <w:p>
            <w:pPr>
              <w:pStyle w:val="null3"/>
            </w:pPr>
            <w:r>
              <w:rPr>
                <w:rFonts w:ascii="仿宋_GB2312" w:hAnsi="仿宋_GB2312" w:cs="仿宋_GB2312" w:eastAsia="仿宋_GB2312"/>
              </w:rPr>
              <w:t>（1）乙方未能按合同约定的日期交付项目成果时，每逾期一日，应向甲方支付合同总价千分之五的违约金。若逾期超过10日，甲方有权单方解除合同，并要求乙方支付合同总价款【0.05 】%的违约金，不足以弥补甲方损失的，乙方还应继续赔偿。</w:t>
            </w:r>
          </w:p>
          <w:p>
            <w:pPr>
              <w:pStyle w:val="null3"/>
            </w:pPr>
            <w:r>
              <w:rPr>
                <w:rFonts w:ascii="仿宋_GB2312" w:hAnsi="仿宋_GB2312" w:cs="仿宋_GB2312" w:eastAsia="仿宋_GB2312"/>
              </w:rPr>
              <w:t>（2）乙方提供的项目成果质量不合格或未能通过相关部门审核的，乙方应在甲方指定的合理期限内无偿采取补救措施并达到合同约定的质量要求。若乙方未在指定期限内完成补救或补救后仍不符合要求的，因项目成果质量不符合合同约定的要求（非甲方提供的图纸资料原因所致）造成后果时，乙方应对因此造成的全部损失承担赔偿责任，并承担相应的法律责任。</w:t>
            </w:r>
          </w:p>
          <w:p>
            <w:pPr>
              <w:pStyle w:val="null3"/>
            </w:pPr>
            <w:r>
              <w:rPr>
                <w:rFonts w:ascii="仿宋_GB2312" w:hAnsi="仿宋_GB2312" w:cs="仿宋_GB2312" w:eastAsia="仿宋_GB2312"/>
              </w:rPr>
              <w:t>（3）对于甲方提供的图纸和技术资料以及属于甲方的成果，乙方不得向任何第三方转让、披露或用于本合同目的之外的其他任何用途。若乙方违反本款约定，甲方有权立即单方解除合同，且乙方应向甲方支付相当于本合同总价款30%的违约金；若该违约金不足以弥补甲方因此遭受的全部损失（包括但不限于直接损失、间接损失及甲方为实现债权所支出的律师费、诉讼费、保全费、差旅费等全部合理费用），乙方应就不足部分予以赔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配备满足项目实施的人员。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配备满足项目实施的设施设备。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采购人指定的地点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(1)服务应满足国家及行业相关标准，以及采购文件要求及相关服务合同、技术协议等要求；(2)质量符合国家法律法规规定的合格标准、采购文件的要求。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乙方未能按合同约定的日期交付项目成果时，每逾期一日，应向甲方支付合同总价千分之五的违约金。若逾期超过10日，甲方有权单方解除合同，并要求乙方支付合同总价款【0.05】%的违约金，不足以弥补甲方损失的，乙方还应继续赔偿。（2）乙方提供的项目成果质量不合格或未能通过相关部门审核的，乙方应在甲方指定的合理期限内无偿采取补救措施并达到合同约定的质量要求。若乙方未在指定期限内完成补救或补救后仍不符合要求的，因项目成果质量不符合合同约定的要求（非甲方提供的图纸资料原因所致）造成后果时，乙方应对因此造成的全部损失承担赔偿责任，并承担相应的法律责任。（3）对于甲方提供的图纸和技术资料以及属于甲方的成果，乙方不得向任何第三方转让、披露或用于本合同目的之外的其他任何用途。若乙方违反本款约定，甲方有权立即单方解除合同，且乙方应向甲方支付相当于本合同总价款30%的违约金；若该违约金不足以弥补甲方因此遭受的全部损失（包括但不限于直接损失、间接损失及甲方为实现债权所支出的律师费、诉讼费、保全费、差旅费等全部合理费用），乙方应就不足部分予以赔偿。2、解决争议的方法：友好协商，协商不成，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1、付款方式：因系统设置原因，本章3.3.5支付约定以本章3.2.2服务要求五、商务要求2.款项结算为准。 2、残疾人福利性单位及监狱企业视同为小型、微型企业。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①供应商需在项目电子化交易系统中按要求填写《投标函》完成承诺并进行电子签章。 ② 具有独立承担民事责任的能力。提供注册登记凭证（营业执照、其他组织经营的合法凭证，自然人的提供身份证明文件），供应商需在项目电子化交易系统中按要求上传相应证明文件并进行电子签章。 ③ 具有良好的商业信誉和健全的财务会计制度。提供经第三方审计的2024年度财务报告（包括四表一注，即资产负债表、利润表、现金流量表、所有者权益变动表及其附注），且无反对意见（或无保留意见）；事业法人提供部门决算报告；/或在开标日期前六个月内其基本开户银行出具的资信证明（附《基本存款账户信息》或《银行开户许可证》）；/或财政部门认可的政府采购专业担保机构出具的投标担保函；以上三种形式的资料提供任何一种即可，供应商需在项目电子化交易系统中按要求上传相应证明文件并进行电子签章。 ④ 具有履行合同所必需的设备和专业技术能力。提供声明文件，供应商需在项目电子化交易系统中按要求上传相应证明文件并进行电子签章。 ⑤ 具有依法缴纳税收的良好记录。提供缴费所属日期为磋商截止时间前6个月内任一月份（磋商截止时间当月不计入）的增值税（或所得税）缴费凭据或税务机关出具的完税证明/在法规范围内不需提供的应出具书面说明和证明文件；以上二种形式的资料提供任何一种即可，供应商需在项目电子化交易系统中按要求上传相应证明文件并进行电子签章。 ⑥ 具有依法缴纳社会保障资金的良好记录。提供缴费所属日期为磋商截止时间前6个月内任一月份（磋商截止时间当月不计入）的缴费凭据或社保机关出具的缴费证明/在法规范围内不需提供的应出具书面说明和证明文件；以上二种形式的资料提供任何一种即可，供应商需在项目电子化交易系统中按要求上传相应证明文件并进行电子签章。 ⑦ 参加政府采购活动前3年内在经营活动中没有重大违法记录的书面声明，供应商需在项目电子化交易系统中按要求上传相应证明文件并进行电子签章。 ⑧ 法定代表人授权委托书或法定代表人证明书。法定代表人授权委托书（被授权代表参加）或法定代表人证明书（法定代表人直接参加），供应商需在项目电子化交易系统中按要求上传相应证明文件并进行电子签章。 ⑨ 不接受联合体。提供非联合体响应声明函，供应商需在项目电子化交易系统中按要求上传相应证明文件并进行电子签章。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提供符合《政府采购促进中小企业发展管理办法》（财库﹝2020﹞46号）文件要求的中小企业声明函原件）。说明：残疾人福利性单位和监狱企业视同小型、微型企业，若残疾人福利性单位参与投标的须提供符合《财政部 民政部 中国残疾人联合会关于促进残疾人就业政府采购政策的通知》（财库〔2017〕141号）文件要求的残疾人福利性单位声明函；若投标单位属于（财库〔2014〕68号）文件规定的监狱企业的，提供由省级以上监狱管理局、戒毒管理局（含新疆生产建设兵团）出具的属于监狱企业的证明文件。</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测绘资质</w:t>
            </w:r>
          </w:p>
        </w:tc>
        <w:tc>
          <w:tcPr>
            <w:tcW w:type="dxa" w:w="3322"/>
          </w:tcPr>
          <w:p>
            <w:pPr>
              <w:pStyle w:val="null3"/>
            </w:pPr>
            <w:r>
              <w:rPr>
                <w:rFonts w:ascii="仿宋_GB2312" w:hAnsi="仿宋_GB2312" w:cs="仿宋_GB2312" w:eastAsia="仿宋_GB2312"/>
              </w:rPr>
              <w:t>具有国家行政机关颁发的乙级或以上测绘资质证书(专业类别需包含工程测量、界线与不动产测绘)，供应商需在项目电子化交易系统中按要求上传相应证明文件并进行电子签章。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响应文件是否按照磋商文件要求的格式编写。</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（1）响应文件的签署、加盖印章是否有效； （2）提供的各种证明文件、数据、资料是否有效。</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（1）报价是否超过采购预算；（2）响应文件有效期是否符合磋商文件的要求；（3）响应内容是否符合国家法律法规；（4）是否响应实质性条款。</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提供的对项目的理解及需求分析进行评审：项目概况分析符合项目要求；目标任务的理解透彻；难点和重点问题分析准确，并有切实可行且针对性的解决方案；对项目实施区域情况的了解程度；以上4项内容为专门针对本项目编制，方案完善，表述准确清晰，各分项内容健全，并符合本项目实施特点的得8分，每有1项缺项、漏项的扣2分；每有一处内容存在不足的扣1分，直至扣完8分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针对本项目的服务整体工作方案（工作流程方案；技术路线与方法；工作计划；详细的可行性服务方案；完整的项目组织管理措施及服务保障措施等）。方案每有一项内容缺失或与本项目无关的扣4分，每有一项内容不足或有缺陷的扣2分，直至扣完20分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项目需求提供如下质量保证措施，措施包含但不限于：质量控制体系：建立三级审核机制（自检、互检、终审），确保材料完整性、逻辑性和合规性。技术标准与规范：严格遵循国家及地方技术规范。应急预案：制定突发问题应对预案，确保流程不中断。方案内容齐全，描述细致、合理、针对性强，得6分，方案每有一项内容缺失或与本项目无关的扣2分，每有一项内容不足或有缺陷的扣1分，直至扣完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进度安排及保证措施</w:t>
            </w:r>
          </w:p>
        </w:tc>
        <w:tc>
          <w:tcPr>
            <w:tcW w:type="dxa" w:w="2492"/>
          </w:tcPr>
          <w:p>
            <w:pPr>
              <w:pStyle w:val="null3"/>
            </w:pPr>
            <w:r>
              <w:rPr>
                <w:rFonts w:ascii="仿宋_GB2312" w:hAnsi="仿宋_GB2312" w:cs="仿宋_GB2312" w:eastAsia="仿宋_GB2312"/>
              </w:rPr>
              <w:t>根据项目需求，提供进度安排及保证措施。资源投入保障、进度跟踪、沟通协调机制。措施内容完善，描述细致、合理、针对性强，得4分，方案每有一项内容缺失或与本项目无关的扣2分，每有一项内容不足或有缺陷的扣1分，直至扣完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根据项目需求，提供安全保密措施、明确数据保密要求、档案安全管理措施及人员操作规范。措施内容完善，描述细致、合理、针对性强，得6分，方案每有一项内容缺失或与本项目无关的扣2分，每有一项内容不足或有缺陷的扣1分，直至扣完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人员配备（拟派项目负责人）</w:t>
            </w:r>
          </w:p>
        </w:tc>
        <w:tc>
          <w:tcPr>
            <w:tcW w:type="dxa" w:w="2492"/>
          </w:tcPr>
          <w:p>
            <w:pPr>
              <w:pStyle w:val="null3"/>
            </w:pPr>
            <w:r>
              <w:rPr>
                <w:rFonts w:ascii="仿宋_GB2312" w:hAnsi="仿宋_GB2312" w:cs="仿宋_GB2312" w:eastAsia="仿宋_GB2312"/>
              </w:rPr>
              <w:t>1、具有本科及以上学历的得2分，具有专科学历的得1分，专科以下学历不得分。2、具有测绘相关专业高级工程师职称的得5分。3、具有注册测绘师资格得3分。注：须提供拟派的项目负责人磋商响应文件递交截止时间前连续3个月（磋商响应文件递交截止时间当月不计入）的社保缴纳证明材料，身份证及证书扫描件，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人员配备（拟派服务团队成员）</w:t>
            </w:r>
          </w:p>
        </w:tc>
        <w:tc>
          <w:tcPr>
            <w:tcW w:type="dxa" w:w="2492"/>
          </w:tcPr>
          <w:p>
            <w:pPr>
              <w:pStyle w:val="null3"/>
            </w:pPr>
            <w:r>
              <w:rPr>
                <w:rFonts w:ascii="仿宋_GB2312" w:hAnsi="仿宋_GB2312" w:cs="仿宋_GB2312" w:eastAsia="仿宋_GB2312"/>
              </w:rPr>
              <w:t>除项目负责人外，服务团队成员里每有一名具有注册测绘师资格的人员得2分，最高得10分。 注：须提供拟派的服务团队人员身份证及证书扫描件，未提供得0分。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人员配备（人员结构）</w:t>
            </w:r>
          </w:p>
        </w:tc>
        <w:tc>
          <w:tcPr>
            <w:tcW w:type="dxa" w:w="2492"/>
          </w:tcPr>
          <w:p>
            <w:pPr>
              <w:pStyle w:val="null3"/>
            </w:pPr>
            <w:r>
              <w:rPr>
                <w:rFonts w:ascii="仿宋_GB2312" w:hAnsi="仿宋_GB2312" w:cs="仿宋_GB2312" w:eastAsia="仿宋_GB2312"/>
              </w:rPr>
              <w:t>提供针对本项目提供的人员结构，职责划分方案。方案内容齐全，描述细致、合理、针对性强，得6分，方案每有一项内容缺失或与本项目无关的扣2分，每有一项内容无法满足本项目需求或有缺陷的扣1分，直至扣完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提供2020年1月1日（以合同签订时间为准）以来承担过类似项目（土地勘界）业绩，每提供1个业绩合同得2分。注：须提供合同原件扫描件，合同扫描件至少包括首页、反映实施内容页、反映合同签订日期页，双方签署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价格分统一采用低价优先法计算，即满足磋商文件要求且最低的响应报价（最后报价）为基准价，其价格分为满分（20分）。其他供应商的价格分统一按照下列公式计算： 响应报价得分=(基准价／响应报价（最后报价）)×20分。 注：计算分数时四舍五入取小数点后两位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详见附件：相关资格证明材料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