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版本号：0617-2521FZ395120260109001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土地组卷报批咨询服务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0617-2521FZ3951</w:t>
      </w:r>
      <w:r>
        <w:br/>
      </w:r>
      <w:r>
        <w:br/>
      </w:r>
      <w:r>
        <w:br/>
      </w:r>
    </w:p>
    <w:p>
      <w:pPr>
        <w:pStyle w:val="null3"/>
        <w:jc w:val="center"/>
        <w:outlineLvl w:val="2"/>
      </w:pPr>
      <w:r>
        <w:rPr>
          <w:rFonts w:ascii="仿宋_GB2312" w:hAnsi="仿宋_GB2312" w:cs="仿宋_GB2312" w:eastAsia="仿宋_GB2312"/>
          <w:sz w:val="28"/>
          <w:b/>
        </w:rPr>
        <w:t>西安市高陵区住房和城乡建设局</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西安市高陵区住房和城乡建设局</w:t>
      </w:r>
      <w:r>
        <w:rPr>
          <w:rFonts w:ascii="仿宋_GB2312" w:hAnsi="仿宋_GB2312" w:cs="仿宋_GB2312" w:eastAsia="仿宋_GB2312"/>
        </w:rPr>
        <w:t>委托，拟对</w:t>
      </w:r>
      <w:r>
        <w:rPr>
          <w:rFonts w:ascii="仿宋_GB2312" w:hAnsi="仿宋_GB2312" w:cs="仿宋_GB2312" w:eastAsia="仿宋_GB2312"/>
        </w:rPr>
        <w:t>土地组卷报批咨询服务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0617-2521FZ3951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土地组卷报批咨询服务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陕西省自然资源厅办公室关于做好2025年建设用地审查报批工作有关事项的通知》(陕自然资办发〔2025〕106号)文件的规定，对城镇开发边界范围内的用地，符合土地征收规定的，按城市分批次用地组件申报。 本次采购高陵区市政道路组卷报批服务，主要涉及对高陵区拟建市政道路所涉及集体土地进行征地前期调查、资料编制与审批报批工作。内容包括报批材料的编制、整理、上报等，确保项目用地依法合规、顺利取得用地批复，保障高陵区市政道路建设的顺利推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采购包1（土地组卷报批咨询服务）：属于专门面向中小企业采购。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1、资质要求：具有国家行政机关颁发的土地规划乙级及以上资质或城乡规划（国土空间规划）编制乙级及以上资质。供应商需在项目电子化交易系统中按要求上传相应证明文件并进行电子签章。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西安市高陵区文卫路132号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西安市高陵区建设和住房保障局经办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029-86915211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的标准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西安市高陵区住房和城乡建设局</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取得省政府土地征转批复。</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自然资源厅办公室关于做好2025年建设用地审查报批工作有关事项的通知》(陕自然资办发〔2025〕106号)文件的规定，对城镇开发边界范围内的用地，符合土地征收规定的，按城市分批次用地组件申报。 本次采购高陵区市政道路组卷报批服务，主要涉及对高陵区拟建市政道路所涉及集体土地进行征地前期调查、资料编制与审批报批工作。内容包括报批材料的编制、整理、上报等，确保项目用地依法合规、顺利取得用地批复，保障高陵区市政道路建设的顺利推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土地组卷报批咨询服务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标的名称：土地组卷报批咨询服务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根据《陕西省自然资源厅办公室关于做好2025年建设用地审查报批工作有关事项的通知》(陕自然资办发〔2025〕106号)文件的规定，对城镇开发边界范围内的用地，符合土地征收规定的，按城市分批次用地组件申报。本次采购高陵区市政道路组卷报批服务，主要涉及对高陵区拟建市政道路所涉及集体土地进行征地前期调查、资料编制与审批报批工作。内容包括报批材料的编制、整理、上报等，确保项目用地依法合规、顺利取得用地批复，保障高陵区市政道路建设的顺利推进。</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根据《自然资源部关于积极做好用地用海要素保障的通知》（自然资发〔2022〕129号）、《陕西省自然资源厅关于做好2025年建设用地审查报批工作有关事项的通知》（陕自然资办发〔2025〕106号）等文件要求，对城镇开发边界范围内的用地，符合土地征收规定的，按城市分批次用地组件申报。本次技术服务包括五个批次组卷报批，单批次组卷报批工作具体内容如下：</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1、区级材料编制及上报。编制完成土地征收六部曲涉及的村组、街办等相关资料；完成区级组卷材料的编制，并对材料进行整理、分类、扫描及系统填报，上报至市资规局审查。</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2、组卷材料审核及批复。跟进市资规局、省自然资源厅各相关处室审查情况，及时做好沟通解释及补正工作，通过各级审查后取得省政府征转批复。</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三、技术要求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能够完成高陵区市政道路集体土地组卷报批工作，组卷材料编制及上报需符合《中华人民共和国土地管理法》《中华人民共和国土地管理法实施条例》《自然资源部关于进一步做好用地用海要素保障的通知》(自然资发〔2023〕89号)、《自然资源部关于进一步改进优化能源、交通、水利等重大建设项目用地组卷报批工作的通知》(自然资发〔2024〕36号)、《陕西省自然资源厅关于进一步应用集体土地所有权确权登记成果开展权属审核的通知》(陕自然资办发〔2024)93号)、《陕西省自然资源厅办公室关于做好2025年建设用地审查报批工作有关事项的通知》(陕自然资办发〔2025〕106号)等文件对于集体土地报批的相关要求。</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四、服务要求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1、人员配置：根据工作需求，乙方需配备一支经验丰富、具备相关专业背景及工作经验的专业技术团队，确保报批工作依法合规高效完成。</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2、服务标准：</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（1）乙方应协助甲方分阶段准备组卷材料，整理汇总审批材料、填报表单、制作文件，按流程整理、分类、组卷上报市局审查；</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（2）积极跟进市级审查，根据初审情况修改补证相关材料，通过审核并完成相关处室会签，上报至市政府同时报送市级纸质卷宗；</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（3）用地申报材料及电子材料同时递送至省厅，通过管制处审核并跟进相关处室会签，做好沟通解释工作，根据各处室补证意见完成各补正材料的编制，完成省厅会签并取得省政府征转批复。</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五、商务要求</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1、服务期限：自合同签订之日起至取得省政府土地征转批复止。</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款项结算：（1）自合同签订后10日内，支付项目总价款的40%；（2）剩余款项按单个批次结算：完成组卷资料上报市局后10日内，支付该批次服务费用的30%；上报省厅并取得土地征转批复后10日内，一次性付清该批次组卷报批技术服务剩余30%费用。</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3、成果交付要求：取得省政府土地征转批复。</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质量验收标准或规范：《中华人民共和国土地管理法》;《中华人民共和国土地管理法实施条例》;《自然资源部关于进一步做好用地用海要素保障的通知》(自然资发〔2023〕89号);《自然资源部关于进一步改进优化能源、交通、水利等重大建设项目用地组卷报批工作的通知》(自然资发〔2024〕36号);《陕西省自然资源厅关于进一步应用集体土地所有权确权登记成果开展权属审核的通知》(陕自然资办发〔2024〕93号);《陕西省自然资源厅办公室关于做好2025年建设用地审查报批工作有关事项的通知》(陕自然资办发〔2025〕106号)。</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违约责任：一方违反本合同任一条款即构成违约，违约方应赔偿对方因此而受到的损失。如果发生不可抗力，如行政命令、政策法规、故意破坏、禁运、战争、自然灾害(如洪水和地震)或其他超出协议双方控制的事件，因而一方无法履行协议，受到不可抗力影响的一方可以提前十五天书面通知对方终止合同。本合同因不可抗力而终止的，甲方应按乙方实际发生的工作量支付报酬。</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配备满足项目实施的人员。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配备满足项目实施的设施设备。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自合同签订之日起至取得省政府土地征转批复止。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1、《中华人民共和国土地管理法》;2、《中华人民共和国土地管理法实施条例》;3、《自然资源部关于进一步做好用地用海要素保障的通知》(自然资发〔2023〕89号);4、《自然资源部关于进一步改进优化能源、交通、水利等重大建设项目用地组卷报批工作的通知》(自然资发〔2024〕36号);5、《陕西省自然资源厅关于进一步应用集体土地所有权确权登记成果开展权属审核的通知》(陕自然资办发〔2024〕93号);6、《陕西省自然资源厅办公室关于做好2025年建设用地审查报批工作有关事项的通知》(陕自然资办发〔2025〕106号)。</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剩余款项按单个批次结算，完成组卷资料上报市局后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上报省厅并取得土地征转批复后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一方违反本合同任一条款即构成违约，违约方应赔偿对方因此而受到的损失。2、如果发生不可抗力，如行政命令、政策法规、故意破坏、禁运、战争、自然灾害(如洪水和地震)或其他超出协议双方控制的事件，因而一方无法履行协议，受到不可抗力影响的一方可以提前十五天书面通知对方终止合同。本合同因不可抗力而终止的，甲方应按乙方实际发生的工作量支付报酬。解决争议的方法：友好协商，协商不成解决争议的方法由供应商作出选择。</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1、付款方式：因系统设置原因，本章3.3.5支付约定以本章3.2.2服务要求五、商务要求2.款项结算为准。 2、残疾人福利性单位及监狱企业视同为小型、微型企业。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①供应商需在项目电子化交易系统中按要求填写《投标函》完成承诺并进行电子签章。 ② 具有独立承担民事责任的能力。提供注册登记凭证（营业执照、其他组织经营的合法凭证，自然人的提供身份证明文件），供应商需在项目电子化交易系统中按要求上传相应证明文件并进行电子签章。 ③ 具有良好的商业信誉和健全的财务会计制度。提供经第三方审计的2024年度财务报告（包括四表一注，即资产负债表、利润表、现金流量表、所有者权益变动表及其附注），且无反对意见（或无保留意见）；事业法人提供部门决算报告；/或在开标日期前六个月内其基本开户银行出具的资信证明（附《基本存款账户信息》或《银行开户许可证》）；/或财政部门认可的政府采购专业担保机构出具的投标担保函；以上三种形式的资料提供任何一种即可，供应商需在项目电子化交易系统中按要求上传相应证明文件并进行电子签章。 ④ 具有履行合同所必需的设备和专业技术能力。提供声明文件，供应商需在项目电子化交易系统中按要求上传相应证明文件并进行电子签章。 ⑤ 具有依法缴纳税收的良好记录。提供缴费所属日期为磋商截止时间前6个月内任一月份（磋商截止时间当月不计入）的增值税（或所得税）缴费凭据或税务机关出具的完税证明/在法规范围内不需提供的应出具书面说明和证明文件；以上二种形式的资料提供任何一种即可，供应商需在项目电子化交易系统中按要求上传相应证明文件并进行电子签章。 ⑥ 具有依法缴纳社会保障资金的良好记录。提供缴费所属日期为磋商截止时间前6个月内任一月份（磋商截止时间当月不计入）的缴费凭据或社保机关出具的缴费证明/在法规范围内不需提供的应出具书面说明和证明文件；以上二种形式的资料提供任何一种即可，供应商需在项目电子化交易系统中按要求上传相应证明文件并进行电子签章。 ⑦ 参加政府采购活动前3年内在经营活动中没有重大违法记录的书面声明，供应商需在项目电子化交易系统中按要求上传相应证明文件并进行电子签章。 ⑧ 法定代表人授权委托书或法定代表人证明书。法定代表人授权委托书（被授权代表参加）或法定代表人证明书（法定代表人直接参加），供应商需在项目电子化交易系统中按要求上传相应证明文件并进行电子签章。 ⑨ 不接受联合体。提供非联合体响应声明函，供应商需在项目电子化交易系统中按要求上传相应证明文件并进行电子签章。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具有国家行政机关颁发的土地规划乙级及以上资质或城乡规划（国土空间规划）编制乙级及以上资质。供应商需在项目电子化交易系统中按要求上传相应证明文件并进行电子签章。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响应文件是否按照磋商文件要求的格式编写。</w:t>
            </w:r>
          </w:p>
        </w:tc>
        <w:tc>
          <w:tcPr>
            <w:tcW w:type="dxa" w:w="1661"/>
          </w:tcPr>
          <w:p>
            <w:pPr>
              <w:pStyle w:val="null3"/>
            </w:pPr>
            <w:r>
              <w:rPr>
                <w:rFonts w:ascii="仿宋_GB2312" w:hAnsi="仿宋_GB2312" w:cs="仿宋_GB2312" w:eastAsia="仿宋_GB2312"/>
              </w:rPr>
              <w:t>响应文件封面 服务内容及服务邀请应答表 中小企业声明函 商务应答表 标的清单 报价表 响应函 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（1）响应文件的签署、加盖印章是否有效； （2）提供的各种证明文件、数据、资料是否有效。</w:t>
            </w:r>
          </w:p>
        </w:tc>
        <w:tc>
          <w:tcPr>
            <w:tcW w:type="dxa" w:w="1661"/>
          </w:tcPr>
          <w:p>
            <w:pPr>
              <w:pStyle w:val="null3"/>
            </w:pPr>
            <w:r>
              <w:rPr>
                <w:rFonts w:ascii="仿宋_GB2312" w:hAnsi="仿宋_GB2312" w:cs="仿宋_GB2312" w:eastAsia="仿宋_GB2312"/>
              </w:rPr>
              <w:t>响应文件封面 服务内容及服务邀请应答表 中小企业声明函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（1）报价是否超过采购预算；（2）响应文件有效期是否符合磋商文件的要求；（3）响应内容是否符合国家法律法规；（4）是否响应实质性条款。</w:t>
            </w:r>
          </w:p>
        </w:tc>
        <w:tc>
          <w:tcPr>
            <w:tcW w:type="dxa" w:w="1661"/>
          </w:tcPr>
          <w:p>
            <w:pPr>
              <w:pStyle w:val="null3"/>
            </w:pPr>
            <w:r>
              <w:rPr>
                <w:rFonts w:ascii="仿宋_GB2312" w:hAnsi="仿宋_GB2312" w:cs="仿宋_GB2312" w:eastAsia="仿宋_GB2312"/>
              </w:rPr>
              <w:t>响应文件封面 服务内容及服务邀请应答表 中小企业声明函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提供需求分析，内容包括但不限于①对本项目工作内容的理解；②项目背景分析等。以上内容专门针对本项目且阐述明晰、全面、合理得8分，每缺一项内容扣4分,若上述内容存在瑕疵，每出现一处瑕疵扣1分，扣完为止。“瑕疵”指内容明显错误，或内容不完整或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提出针对于本项目的整体服务方案，方案内容包括但不限于①土地报批政策解读②服务总体设想及目标③土地报批工作流程。以上内容专门针对本项目且阐述明晰、全面、合理得12分，每缺一项内容扣3分，若上述内容存在瑕疵，每出现一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供应商针对本项目提供实施进度计划，内容包括但不限于①成果交付进度控制方案②服务期进度控制方案。以上内容专门针对本项目且阐述明晰、全面、合理得8分，每缺一项内容扣4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供应商针对本项目提出详细的质量、安全保证方案，方案包括但不限于①质量保证方案②安全保证方案等。以上内容专门针对本项目且阐述明晰、全面、合理得8分，每缺一项内容扣4分，若上述内容存在瑕疵，每出现一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保密措施，内容包括但不限于①保密管理制度；②保密内容；③具体工作保密措施等。以上内容专门针对本项目且阐述明晰、全面、合理得12分，每缺一项内容扣4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项目重点难点分析及策略控制方案</w:t>
            </w:r>
          </w:p>
        </w:tc>
        <w:tc>
          <w:tcPr>
            <w:tcW w:type="dxa" w:w="2492"/>
          </w:tcPr>
          <w:p>
            <w:pPr>
              <w:pStyle w:val="null3"/>
            </w:pPr>
            <w:r>
              <w:rPr>
                <w:rFonts w:ascii="仿宋_GB2312" w:hAnsi="仿宋_GB2312" w:cs="仿宋_GB2312" w:eastAsia="仿宋_GB2312"/>
              </w:rPr>
              <w:t>供应商针对本项目提供项目重点难点分析及策略控制方案，内容包括但不限于①重点、难点分析；②关于重难点的应对措施。以上内容专门针对本项目且阐述明晰、全面、合理得12分，每缺一项内容扣6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人员配备（拟派项目负责人）</w:t>
            </w:r>
          </w:p>
        </w:tc>
        <w:tc>
          <w:tcPr>
            <w:tcW w:type="dxa" w:w="2492"/>
          </w:tcPr>
          <w:p>
            <w:pPr>
              <w:pStyle w:val="null3"/>
            </w:pPr>
            <w:r>
              <w:rPr>
                <w:rFonts w:ascii="仿宋_GB2312" w:hAnsi="仿宋_GB2312" w:cs="仿宋_GB2312" w:eastAsia="仿宋_GB2312"/>
              </w:rPr>
              <w:t>项目负责人具备测绘、测量、地理信息、土地资源管理、土地规划等相关专业高级职称，得2分。 注：须提供拟派项目组人员有效的证书原件彩色扫描件，否则不予认可，未提供的不得分。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人员配备（项目团队配置）</w:t>
            </w:r>
          </w:p>
        </w:tc>
        <w:tc>
          <w:tcPr>
            <w:tcW w:type="dxa" w:w="2492"/>
          </w:tcPr>
          <w:p>
            <w:pPr>
              <w:pStyle w:val="null3"/>
            </w:pPr>
            <w:r>
              <w:rPr>
                <w:rFonts w:ascii="仿宋_GB2312" w:hAnsi="仿宋_GB2312" w:cs="仿宋_GB2312" w:eastAsia="仿宋_GB2312"/>
              </w:rPr>
              <w:t>项目团队配置内容包括但不限于①团队组织人员配置；②团队人员管理制度；③各专业岗位分工；④配置人员资格、职称、相关专业(专业需涵盖测绘、地理信息、土地资源管理、土地规划等)等。以上内容专门针对本项目且阐述明晰、全面、合理得10分，每缺一项内容扣2.5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项目需求提供后续服务措施，措施内容包括但不限于①材料归档与移交：按规范整理报批档案，移交业主单位并协助存档备案。②应急响应机制：针对审批后的补正需求或政策变化，提供快速响应服务。以上内容专门针对本项目且阐述明晰、全面、合理得8分，每缺一项内容扣4分，若上述内容存在瑕疵，每出现一处瑕疵扣1分，扣完为止。“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供应商提供2020年1月1日（以合同签订时间为准）以来承担过类似项目业绩，每提供一个业绩合同得2分，最高得10分。 注：须提供合同原件扫描件，合同扫描件至少包括首页、反映实施内容页、反映合同签订日期页，双方签署页。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价格分统一采用低价优先法计算，即满足磋商文件要求且最低的响应报价（最后报价）为基准价，其价格分为满分（10分）。其他供应商的价格分统一按照下列公式计算： 响应报价得分=(基准价／响应报价（最后报价）)×10分。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