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版本号：SXDXYZB2025-008-120260112001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高陵区2024年城市体检自检报告编制项目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SXDXYZB2025-008-1</w:t>
      </w:r>
      <w:r>
        <w:br/>
      </w:r>
      <w:r>
        <w:br/>
      </w:r>
      <w:r>
        <w:br/>
      </w:r>
    </w:p>
    <w:p>
      <w:pPr>
        <w:pStyle w:val="null3"/>
        <w:jc w:val="center"/>
        <w:outlineLvl w:val="2"/>
      </w:pPr>
      <w:r>
        <w:rPr>
          <w:rFonts w:ascii="仿宋_GB2312" w:hAnsi="仿宋_GB2312" w:cs="仿宋_GB2312" w:eastAsia="仿宋_GB2312"/>
          <w:sz w:val="28"/>
          <w:b/>
        </w:rPr>
        <w:t>西安市高陵区住房和城乡建设局</w:t>
      </w:r>
    </w:p>
    <w:p>
      <w:pPr>
        <w:pStyle w:val="null3"/>
        <w:jc w:val="center"/>
        <w:outlineLvl w:val="2"/>
      </w:pPr>
      <w:r>
        <w:rPr>
          <w:rFonts w:ascii="仿宋_GB2312" w:hAnsi="仿宋_GB2312" w:cs="仿宋_GB2312" w:eastAsia="仿宋_GB2312"/>
          <w:sz w:val="28"/>
          <w:b/>
        </w:rPr>
        <w:t>陕西德欣源项目管理有限公司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陕西德欣源项目管理有限公司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西安市高陵区住房和城乡建设局</w:t>
      </w:r>
      <w:r>
        <w:rPr>
          <w:rFonts w:ascii="仿宋_GB2312" w:hAnsi="仿宋_GB2312" w:cs="仿宋_GB2312" w:eastAsia="仿宋_GB2312"/>
        </w:rPr>
        <w:t>委托，拟对</w:t>
      </w:r>
      <w:r>
        <w:rPr>
          <w:rFonts w:ascii="仿宋_GB2312" w:hAnsi="仿宋_GB2312" w:cs="仿宋_GB2312" w:eastAsia="仿宋_GB2312"/>
        </w:rPr>
        <w:t>高陵区2024年城市体检自检报告编制项目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SXDXYZB2025-008-1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高陵区2024年城市体检自检报告编制项目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开展高陵区2024年城市体检自检报告编制工作，本次体检包含住房、小区（社区）、街区、城区（城市）四个维度，开展城市体检评估工作。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采购包1（高陵区2024年城市体检自检报告编制项目）：属于专门面向中小企业采购。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1、营业执照等主体证明：具有独立承担民事责任能力的法人、其他组织或自然人，并出具合法有效的统一社会信用代码的营业执照或事业单位法人证书等国家规定的相关证明，自然人参与的提供其身份证明。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财务状况报告：财务状况报告（任选其一）①提供经审计的2023年或2024年的财务审计报告（成立时间至提交响应文件截止时间不足一年的可提供成立后任意时段的资产负债表）；②提交响应文件截止时间三个月内其基本账户开户银行出具的资信证明（附基本存款账户信息）。</w:t>
      </w:r>
    </w:p>
    <w:p>
      <w:pPr>
        <w:pStyle w:val="null3"/>
      </w:pPr>
      <w:r>
        <w:rPr>
          <w:rFonts w:ascii="仿宋_GB2312" w:hAnsi="仿宋_GB2312" w:cs="仿宋_GB2312" w:eastAsia="仿宋_GB2312"/>
        </w:rPr>
        <w:t>3、税收缴纳证明：提交响应文件截止时间前一年内至少一个月的纳税证明或完税证明（增值税、营业税、企业所得税至少提供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5、具有履行合同所必需的设备和专业技术能力：提供具有履行合同所必需的设备和专业技术能力声明。</w:t>
      </w:r>
    </w:p>
    <w:p>
      <w:pPr>
        <w:pStyle w:val="null3"/>
      </w:pPr>
      <w:r>
        <w:rPr>
          <w:rFonts w:ascii="仿宋_GB2312" w:hAnsi="仿宋_GB2312" w:cs="仿宋_GB2312" w:eastAsia="仿宋_GB2312"/>
        </w:rPr>
        <w:t>6、供应商参加政府采购活动前三年内，在经营活动中无重大违法记录：供应商参加政府采购活动前三年内，在经营活动中无重大违法记录的书面声明（成立时间至提交响应文件截止时间不足三年的可提供成立至今的书面声明）。</w:t>
      </w:r>
    </w:p>
    <w:p>
      <w:pPr>
        <w:pStyle w:val="null3"/>
      </w:pPr>
      <w:r>
        <w:rPr>
          <w:rFonts w:ascii="仿宋_GB2312" w:hAnsi="仿宋_GB2312" w:cs="仿宋_GB2312" w:eastAsia="仿宋_GB2312"/>
        </w:rPr>
        <w:t>7、信用查询：供应商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w:t>
      </w:r>
    </w:p>
    <w:p>
      <w:pPr>
        <w:pStyle w:val="null3"/>
      </w:pPr>
      <w:r>
        <w:rPr>
          <w:rFonts w:ascii="仿宋_GB2312" w:hAnsi="仿宋_GB2312" w:cs="仿宋_GB2312" w:eastAsia="仿宋_GB2312"/>
        </w:rPr>
        <w:t>8、资质要求：供应商需具有城乡规划（国土空间规划）编制乙级及以上资质（含乙级）。</w:t>
      </w:r>
    </w:p>
    <w:p>
      <w:pPr>
        <w:pStyle w:val="null3"/>
      </w:pPr>
      <w:r>
        <w:rPr>
          <w:rFonts w:ascii="仿宋_GB2312" w:hAnsi="仿宋_GB2312" w:cs="仿宋_GB2312" w:eastAsia="仿宋_GB2312"/>
        </w:rPr>
        <w:t>9、不接受联合体相关要求：本项目不接受联合体响应，不允许分包。</w:t>
      </w:r>
    </w:p>
    <w:p>
      <w:pPr>
        <w:pStyle w:val="null3"/>
      </w:pPr>
      <w:r>
        <w:rPr>
          <w:rFonts w:ascii="仿宋_GB2312" w:hAnsi="仿宋_GB2312" w:cs="仿宋_GB2312" w:eastAsia="仿宋_GB2312"/>
        </w:rPr>
        <w:t>10、关联声明：单位负责人为同一人或者存在直接控股、管理关系的不同供应商，不得同时参加本项目采购活动。</w:t>
      </w:r>
    </w:p>
    <w:p>
      <w:pPr>
        <w:pStyle w:val="null3"/>
      </w:pPr>
      <w:r>
        <w:rPr>
          <w:rFonts w:ascii="仿宋_GB2312" w:hAnsi="仿宋_GB2312" w:cs="仿宋_GB2312" w:eastAsia="仿宋_GB2312"/>
        </w:rPr>
        <w:t>11、落实政府采购政策资格：本项目专门面向中小企业采购（残疾人福利性单位、监狱企业视同小型、微型企业），供应商需提供《中小企业声明函》或《监狱企业的证明文件》或《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西安市高陵区文卫路132号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王耀峰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13759888227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陕西德欣源项目管理有限公司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陕西省西安市经济技术开发区文景路一方中港国际B座1701室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029-86109738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采购包1：398,520.00元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改革委员会办公厅印发的《关于招标代理服务收费有关问题的通知》（发改办价格[2003]857号）的相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西安市高陵区住房和城乡建设局</w:t>
      </w:r>
      <w:r>
        <w:rPr>
          <w:rFonts w:ascii="仿宋_GB2312" w:hAnsi="仿宋_GB2312" w:cs="仿宋_GB2312" w:eastAsia="仿宋_GB2312"/>
        </w:rPr>
        <w:t>和</w:t>
      </w:r>
      <w:r>
        <w:rPr>
          <w:rFonts w:ascii="仿宋_GB2312" w:hAnsi="仿宋_GB2312" w:cs="仿宋_GB2312" w:eastAsia="仿宋_GB2312"/>
        </w:rPr>
        <w:t>陕西德欣源项目管理有限公司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陕西德欣源项目管理有限公司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陕西德欣源项目管理有限公司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联系电话：029-86109738</w:t>
      </w:r>
    </w:p>
    <w:p>
      <w:pPr>
        <w:pStyle w:val="null3"/>
      </w:pPr>
      <w:r>
        <w:rPr>
          <w:rFonts w:ascii="仿宋_GB2312" w:hAnsi="仿宋_GB2312" w:cs="仿宋_GB2312" w:eastAsia="仿宋_GB2312"/>
        </w:rPr>
        <w:t>地址：陕西省西安市经济技术开发区文景路一方中港国际B座1701室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高陵区2024年城市体检自检报告编制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398,520.00</w:t>
      </w:r>
    </w:p>
    <w:p>
      <w:pPr>
        <w:pStyle w:val="null3"/>
      </w:pPr>
      <w:r>
        <w:rPr>
          <w:rFonts w:ascii="仿宋_GB2312" w:hAnsi="仿宋_GB2312" w:cs="仿宋_GB2312" w:eastAsia="仿宋_GB2312"/>
        </w:rPr>
        <w:t>采购包最高限价（元）: 398,520.00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高陵区2024年城市体检自检报告编制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398,520.00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标的名称：高陵区2024年城市体检自检报告编制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一、体检范围及对象</w:t>
            </w:r>
          </w:p>
          <w:p>
            <w:pPr>
              <w:pStyle w:val="null3"/>
              <w:ind w:firstLine="400"/>
            </w:pPr>
            <w:r>
              <w:rPr>
                <w:rFonts w:ascii="仿宋_GB2312" w:hAnsi="仿宋_GB2312" w:cs="仿宋_GB2312" w:eastAsia="仿宋_GB2312"/>
              </w:rPr>
              <w:t>区级城市体检包含住房、社区（小区）、街区、城区（城市）四个层级，本次体检范围为高陵区城市建成区；体检对象包括建成区范围内的部分居住建筑、建成区范围内全部社区（小区）和街道。</w:t>
            </w:r>
          </w:p>
          <w:p>
            <w:pPr>
              <w:pStyle w:val="null3"/>
            </w:pPr>
            <w:r>
              <w:rPr>
                <w:rFonts w:ascii="仿宋_GB2312" w:hAnsi="仿宋_GB2312" w:cs="仿宋_GB2312" w:eastAsia="仿宋_GB2312"/>
                <w:b/>
              </w:rPr>
              <w:t>二、工作内容及要求</w:t>
            </w:r>
          </w:p>
          <w:p>
            <w:pPr>
              <w:pStyle w:val="null3"/>
              <w:ind w:firstLine="400"/>
            </w:pPr>
            <w:r>
              <w:rPr>
                <w:rFonts w:ascii="仿宋_GB2312" w:hAnsi="仿宋_GB2312" w:cs="仿宋_GB2312" w:eastAsia="仿宋_GB2312"/>
              </w:rPr>
              <w:t>1.制定城市体检评估工作实施方案</w:t>
            </w:r>
          </w:p>
          <w:p>
            <w:pPr>
              <w:pStyle w:val="null3"/>
              <w:ind w:firstLine="400"/>
            </w:pPr>
            <w:r>
              <w:rPr>
                <w:rFonts w:ascii="仿宋_GB2312" w:hAnsi="仿宋_GB2312" w:cs="仿宋_GB2312" w:eastAsia="仿宋_GB2312"/>
              </w:rPr>
              <w:t>按照住房和城乡建设部和西安市</w:t>
            </w:r>
            <w:r>
              <w:rPr>
                <w:rFonts w:ascii="仿宋_GB2312" w:hAnsi="仿宋_GB2312" w:cs="仿宋_GB2312" w:eastAsia="仿宋_GB2312"/>
              </w:rPr>
              <w:t>2024年城市体检工作要求，</w:t>
            </w:r>
            <w:r>
              <w:rPr>
                <w:rFonts w:ascii="仿宋_GB2312" w:hAnsi="仿宋_GB2312" w:cs="仿宋_GB2312" w:eastAsia="仿宋_GB2312"/>
              </w:rPr>
              <w:t>结合高陵区实际情况，</w:t>
            </w:r>
            <w:r>
              <w:rPr>
                <w:rFonts w:ascii="仿宋_GB2312" w:hAnsi="仿宋_GB2312" w:cs="仿宋_GB2312" w:eastAsia="仿宋_GB2312"/>
              </w:rPr>
              <w:t>构建</w:t>
            </w:r>
            <w:r>
              <w:rPr>
                <w:rFonts w:ascii="仿宋_GB2312" w:hAnsi="仿宋_GB2312" w:cs="仿宋_GB2312" w:eastAsia="仿宋_GB2312"/>
              </w:rPr>
              <w:t>高陵区城市</w:t>
            </w:r>
            <w:r>
              <w:rPr>
                <w:rFonts w:ascii="仿宋_GB2312" w:hAnsi="仿宋_GB2312" w:cs="仿宋_GB2312" w:eastAsia="仿宋_GB2312"/>
              </w:rPr>
              <w:t>体检指标体系</w:t>
            </w:r>
            <w:r>
              <w:rPr>
                <w:rFonts w:ascii="仿宋_GB2312" w:hAnsi="仿宋_GB2312" w:cs="仿宋_GB2312" w:eastAsia="仿宋_GB2312"/>
              </w:rPr>
              <w:t>并对各项指标详细分解，明确体检工作目标、体检范围与对象、体检内容、职责分工等</w:t>
            </w:r>
            <w:r>
              <w:rPr>
                <w:rFonts w:ascii="仿宋_GB2312" w:hAnsi="仿宋_GB2312" w:cs="仿宋_GB2312" w:eastAsia="仿宋_GB2312"/>
              </w:rPr>
              <w:t>。</w:t>
            </w:r>
          </w:p>
          <w:p>
            <w:pPr>
              <w:pStyle w:val="null3"/>
              <w:ind w:firstLine="400"/>
            </w:pPr>
            <w:r>
              <w:rPr>
                <w:rFonts w:ascii="仿宋_GB2312" w:hAnsi="仿宋_GB2312" w:cs="仿宋_GB2312" w:eastAsia="仿宋_GB2312"/>
              </w:rPr>
              <w:t>2.</w:t>
            </w:r>
            <w:r>
              <w:rPr>
                <w:rFonts w:ascii="仿宋_GB2312" w:hAnsi="仿宋_GB2312" w:cs="仿宋_GB2312" w:eastAsia="仿宋_GB2312"/>
              </w:rPr>
              <w:t>构建科学城市体检指标体系</w:t>
            </w:r>
          </w:p>
          <w:p>
            <w:pPr>
              <w:pStyle w:val="null3"/>
              <w:ind w:firstLine="400"/>
            </w:pPr>
            <w:r>
              <w:rPr>
                <w:rFonts w:ascii="仿宋_GB2312" w:hAnsi="仿宋_GB2312" w:cs="仿宋_GB2312" w:eastAsia="仿宋_GB2312"/>
              </w:rPr>
              <w:t>按照《西安市</w:t>
            </w:r>
            <w:r>
              <w:rPr>
                <w:rFonts w:ascii="仿宋_GB2312" w:hAnsi="仿宋_GB2312" w:cs="仿宋_GB2312" w:eastAsia="仿宋_GB2312"/>
              </w:rPr>
              <w:t>2024年城市体检评估工作实施方案》，结合高陵区实际及特色，围绕住房、社区（小区）、街区、城区（城市）四个维度，结合区级各类十四五规划、区域发展目标，在市级基础指标体系的基础上，结合高陵区的城市特色和地方实际新增区级特色指标，科学合理构建“基础指标+高陵区特色指标”的指标体系。</w:t>
            </w:r>
          </w:p>
          <w:p>
            <w:pPr>
              <w:pStyle w:val="null3"/>
              <w:ind w:firstLine="400"/>
            </w:pPr>
            <w:r>
              <w:rPr>
                <w:rFonts w:ascii="仿宋_GB2312" w:hAnsi="仿宋_GB2312" w:cs="仿宋_GB2312" w:eastAsia="仿宋_GB2312"/>
              </w:rPr>
              <w:t>3.开展数据采集及满意度调查</w:t>
            </w:r>
          </w:p>
          <w:p>
            <w:pPr>
              <w:pStyle w:val="null3"/>
              <w:ind w:firstLine="400"/>
            </w:pPr>
            <w:r>
              <w:rPr>
                <w:rFonts w:ascii="仿宋_GB2312" w:hAnsi="仿宋_GB2312" w:cs="仿宋_GB2312" w:eastAsia="仿宋_GB2312"/>
              </w:rPr>
              <w:t>对指标体系各指标进行分解，配合行政主管部门、街道办事处、社区居委会、小区物业服务企业、相关专业单位等主体开展四个维度的指标基础数据收集，并通过网络大数据、深入社区进行调研采集等方式补充相关数据。各项指标严格按照住建部关于城市体检工作的相关要求，形成详实准确可靠的调研数据和基础资料，确保各项指标的准确性和真实性。</w:t>
            </w:r>
          </w:p>
          <w:p>
            <w:pPr>
              <w:pStyle w:val="null3"/>
              <w:ind w:firstLine="400"/>
            </w:pPr>
            <w:r>
              <w:rPr>
                <w:rFonts w:ascii="仿宋_GB2312" w:hAnsi="仿宋_GB2312" w:cs="仿宋_GB2312" w:eastAsia="仿宋_GB2312"/>
              </w:rPr>
              <w:t>4.形成问题清单、整治建议清单</w:t>
            </w:r>
          </w:p>
          <w:p>
            <w:pPr>
              <w:pStyle w:val="null3"/>
              <w:ind w:firstLine="400"/>
            </w:pPr>
            <w:r>
              <w:rPr>
                <w:rFonts w:ascii="仿宋_GB2312" w:hAnsi="仿宋_GB2312" w:cs="仿宋_GB2312" w:eastAsia="仿宋_GB2312"/>
              </w:rPr>
              <w:t>通过城市体检识别不同板块问题短板，剖析问题短板产生的根源，形成问题清单；结合高陵区城市建设重点内容、行动计划，在问题清单基础上，形成整治建议清单、城市更新项目库。</w:t>
            </w:r>
          </w:p>
          <w:p>
            <w:pPr>
              <w:pStyle w:val="null3"/>
              <w:ind w:firstLine="400"/>
            </w:pPr>
            <w:r>
              <w:rPr>
                <w:rFonts w:ascii="仿宋_GB2312" w:hAnsi="仿宋_GB2312" w:cs="仿宋_GB2312" w:eastAsia="仿宋_GB2312"/>
              </w:rPr>
              <w:t>5.编制城市体检报告</w:t>
            </w:r>
          </w:p>
          <w:p>
            <w:pPr>
              <w:pStyle w:val="null3"/>
              <w:ind w:firstLine="400"/>
            </w:pPr>
            <w:r>
              <w:rPr>
                <w:rFonts w:ascii="仿宋_GB2312" w:hAnsi="仿宋_GB2312" w:cs="仿宋_GB2312" w:eastAsia="仿宋_GB2312"/>
              </w:rPr>
              <w:t>结合区级体检数据，对城市体检指标进行全面、客观地进行评价，根据指标评估与问卷调查结果，按照轻重缓急的原则对体检发现的问题进行系统梳理、诊断分析，完成《西安市高陵区</w:t>
            </w:r>
            <w:r>
              <w:rPr>
                <w:rFonts w:ascii="仿宋_GB2312" w:hAnsi="仿宋_GB2312" w:cs="仿宋_GB2312" w:eastAsia="仿宋_GB2312"/>
              </w:rPr>
              <w:t>2024年城市体检报告》。</w:t>
            </w:r>
          </w:p>
          <w:p>
            <w:pPr>
              <w:pStyle w:val="null3"/>
              <w:ind w:firstLine="400"/>
            </w:pPr>
            <w:r>
              <w:rPr>
                <w:rFonts w:ascii="仿宋_GB2312" w:hAnsi="仿宋_GB2312" w:cs="仿宋_GB2312" w:eastAsia="仿宋_GB2312"/>
              </w:rPr>
              <w:t>6.其他要求</w:t>
            </w:r>
          </w:p>
          <w:p>
            <w:pPr>
              <w:pStyle w:val="null3"/>
              <w:ind w:firstLine="400"/>
            </w:pPr>
            <w:r>
              <w:rPr>
                <w:rFonts w:ascii="仿宋_GB2312" w:hAnsi="仿宋_GB2312" w:cs="仿宋_GB2312" w:eastAsia="仿宋_GB2312"/>
              </w:rPr>
              <w:t>（</w:t>
            </w:r>
            <w:r>
              <w:rPr>
                <w:rFonts w:ascii="仿宋_GB2312" w:hAnsi="仿宋_GB2312" w:cs="仿宋_GB2312" w:eastAsia="仿宋_GB2312"/>
              </w:rPr>
              <w:t>1）进度要求</w:t>
            </w:r>
          </w:p>
          <w:p>
            <w:pPr>
              <w:pStyle w:val="null3"/>
              <w:ind w:firstLine="400"/>
            </w:pPr>
            <w:r>
              <w:rPr>
                <w:rFonts w:ascii="仿宋_GB2312" w:hAnsi="仿宋_GB2312" w:cs="仿宋_GB2312" w:eastAsia="仿宋_GB2312"/>
              </w:rPr>
              <w:t>于合同签订后</w:t>
            </w:r>
            <w:r>
              <w:rPr>
                <w:rFonts w:ascii="仿宋_GB2312" w:hAnsi="仿宋_GB2312" w:cs="仿宋_GB2312" w:eastAsia="仿宋_GB2312"/>
              </w:rPr>
              <w:t>2个月内完成《高陵区2024年城市体检报告编制项目》初步成果，3个月内完成《高陵区2024年城市体检报告编制项目》最终成果。</w:t>
            </w:r>
          </w:p>
          <w:p>
            <w:pPr>
              <w:pStyle w:val="null3"/>
              <w:ind w:firstLine="400"/>
            </w:pPr>
            <w:r>
              <w:rPr>
                <w:rFonts w:ascii="仿宋_GB2312" w:hAnsi="仿宋_GB2312" w:cs="仿宋_GB2312" w:eastAsia="仿宋_GB2312"/>
              </w:rPr>
              <w:t>（</w:t>
            </w:r>
            <w:r>
              <w:rPr>
                <w:rFonts w:ascii="仿宋_GB2312" w:hAnsi="仿宋_GB2312" w:cs="仿宋_GB2312" w:eastAsia="仿宋_GB2312"/>
              </w:rPr>
              <w:t>2）成果交付要求</w:t>
            </w:r>
          </w:p>
          <w:p>
            <w:pPr>
              <w:pStyle w:val="null3"/>
              <w:ind w:firstLine="400"/>
            </w:pPr>
            <w:r>
              <w:rPr>
                <w:rFonts w:ascii="仿宋_GB2312" w:hAnsi="仿宋_GB2312" w:cs="仿宋_GB2312" w:eastAsia="仿宋_GB2312"/>
              </w:rPr>
              <w:t>按照采购人要求提交成果文件，包括《高陵区</w:t>
            </w:r>
            <w:r>
              <w:rPr>
                <w:rFonts w:ascii="仿宋_GB2312" w:hAnsi="仿宋_GB2312" w:cs="仿宋_GB2312" w:eastAsia="仿宋_GB2312"/>
              </w:rPr>
              <w:t>2024年城市体检报告》。文字应装订成册，A4规格；成果电子文本以光盘形式提交。</w:t>
            </w:r>
          </w:p>
          <w:p>
            <w:pPr>
              <w:pStyle w:val="null3"/>
              <w:ind w:firstLine="400"/>
            </w:pPr>
            <w:r>
              <w:rPr>
                <w:rFonts w:ascii="仿宋_GB2312" w:hAnsi="仿宋_GB2312" w:cs="仿宋_GB2312" w:eastAsia="仿宋_GB2312"/>
              </w:rPr>
              <w:t>（</w:t>
            </w:r>
            <w:r>
              <w:rPr>
                <w:rFonts w:ascii="仿宋_GB2312" w:hAnsi="仿宋_GB2312" w:cs="仿宋_GB2312" w:eastAsia="仿宋_GB2312"/>
              </w:rPr>
              <w:t>3）服务要求</w:t>
            </w:r>
          </w:p>
          <w:p>
            <w:pPr>
              <w:pStyle w:val="null3"/>
              <w:ind w:firstLine="400"/>
            </w:pPr>
            <w:r>
              <w:rPr>
                <w:rFonts w:ascii="仿宋_GB2312" w:hAnsi="仿宋_GB2312" w:cs="仿宋_GB2312" w:eastAsia="仿宋_GB2312"/>
              </w:rPr>
              <w:t>在合同执行过程中需要服务商应执行的相关服务标准</w:t>
            </w:r>
            <w:r>
              <w:rPr>
                <w:rFonts w:ascii="仿宋_GB2312" w:hAnsi="仿宋_GB2312" w:cs="仿宋_GB2312" w:eastAsia="仿宋_GB2312"/>
              </w:rPr>
              <w:t>:</w:t>
            </w:r>
          </w:p>
          <w:p>
            <w:pPr>
              <w:pStyle w:val="null3"/>
              <w:ind w:firstLine="400"/>
            </w:pPr>
            <w:r>
              <w:rPr>
                <w:rFonts w:ascii="仿宋_GB2312" w:hAnsi="仿宋_GB2312" w:cs="仿宋_GB2312" w:eastAsia="仿宋_GB2312"/>
              </w:rPr>
              <w:t>①</w:t>
            </w:r>
            <w:r>
              <w:rPr>
                <w:rFonts w:ascii="仿宋_GB2312" w:hAnsi="仿宋_GB2312" w:cs="仿宋_GB2312" w:eastAsia="仿宋_GB2312"/>
              </w:rPr>
              <w:t>严格依据国家相关行业标准和规范；陕西省、西安市相关技术规定、政策性文件以及本项目合同规定。</w:t>
            </w:r>
          </w:p>
          <w:p>
            <w:pPr>
              <w:pStyle w:val="null3"/>
              <w:ind w:firstLine="400"/>
            </w:pPr>
            <w:r>
              <w:rPr>
                <w:rFonts w:ascii="仿宋_GB2312" w:hAnsi="仿宋_GB2312" w:cs="仿宋_GB2312" w:eastAsia="仿宋_GB2312"/>
              </w:rPr>
              <w:t>②</w:t>
            </w:r>
            <w:r>
              <w:rPr>
                <w:rFonts w:ascii="仿宋_GB2312" w:hAnsi="仿宋_GB2312" w:cs="仿宋_GB2312" w:eastAsia="仿宋_GB2312"/>
              </w:rPr>
              <w:t>根据项目需求合理配备相关专业背景的，项目负责人技术人员，组建综合型技术团队。</w:t>
            </w:r>
          </w:p>
          <w:p>
            <w:pPr>
              <w:pStyle w:val="null3"/>
              <w:ind w:firstLine="400"/>
            </w:pPr>
            <w:r>
              <w:rPr>
                <w:rFonts w:ascii="仿宋_GB2312" w:hAnsi="仿宋_GB2312" w:cs="仿宋_GB2312" w:eastAsia="仿宋_GB2312"/>
              </w:rPr>
              <w:t>③</w:t>
            </w:r>
            <w:r>
              <w:rPr>
                <w:rFonts w:ascii="仿宋_GB2312" w:hAnsi="仿宋_GB2312" w:cs="仿宋_GB2312" w:eastAsia="仿宋_GB2312"/>
              </w:rPr>
              <w:t>应严格按照国家及地方相关标准规范收集数据，确保数据全面性、准确性、时效性。</w:t>
            </w:r>
          </w:p>
          <w:p>
            <w:pPr>
              <w:pStyle w:val="null3"/>
            </w:pPr>
            <w:r>
              <w:rPr>
                <w:rFonts w:ascii="仿宋_GB2312" w:hAnsi="仿宋_GB2312" w:cs="仿宋_GB2312" w:eastAsia="仿宋_GB2312"/>
                <w:b/>
              </w:rPr>
              <w:t>三、商务要求</w:t>
            </w:r>
          </w:p>
          <w:p>
            <w:pPr>
              <w:pStyle w:val="null3"/>
              <w:ind w:firstLine="400"/>
            </w:pPr>
            <w:r>
              <w:rPr>
                <w:rFonts w:ascii="仿宋_GB2312" w:hAnsi="仿宋_GB2312" w:cs="仿宋_GB2312" w:eastAsia="仿宋_GB2312"/>
              </w:rPr>
              <w:t>1.服务期限</w:t>
            </w:r>
          </w:p>
          <w:p>
            <w:pPr>
              <w:pStyle w:val="null3"/>
              <w:ind w:firstLine="400"/>
            </w:pPr>
            <w:r>
              <w:rPr>
                <w:rFonts w:ascii="仿宋_GB2312" w:hAnsi="仿宋_GB2312" w:cs="仿宋_GB2312" w:eastAsia="仿宋_GB2312"/>
              </w:rPr>
              <w:t>自签订合同之日起</w:t>
            </w:r>
            <w:r>
              <w:rPr>
                <w:rFonts w:ascii="仿宋_GB2312" w:hAnsi="仿宋_GB2312" w:cs="仿宋_GB2312" w:eastAsia="仿宋_GB2312"/>
              </w:rPr>
              <w:t>90日历天。</w:t>
            </w:r>
          </w:p>
          <w:p>
            <w:pPr>
              <w:pStyle w:val="null3"/>
              <w:ind w:firstLine="400"/>
            </w:pPr>
            <w:r>
              <w:rPr>
                <w:rFonts w:ascii="仿宋_GB2312" w:hAnsi="仿宋_GB2312" w:cs="仿宋_GB2312" w:eastAsia="仿宋_GB2312"/>
              </w:rPr>
              <w:t>2.款项结算</w:t>
            </w:r>
          </w:p>
          <w:p>
            <w:pPr>
              <w:pStyle w:val="null3"/>
            </w:pPr>
            <w:r>
              <w:rPr>
                <w:rFonts w:ascii="仿宋_GB2312" w:hAnsi="仿宋_GB2312" w:cs="仿宋_GB2312" w:eastAsia="仿宋_GB2312"/>
                <w:sz w:val="21"/>
              </w:rPr>
              <w:t xml:space="preserve">    本合同生效后，乙方按照甲方要求提交完整成果初稿并经甲方确认后，达到付款条件</w:t>
            </w:r>
            <w:r>
              <w:rPr>
                <w:rFonts w:ascii="仿宋_GB2312" w:hAnsi="仿宋_GB2312" w:cs="仿宋_GB2312" w:eastAsia="仿宋_GB2312"/>
                <w:sz w:val="21"/>
              </w:rPr>
              <w:t>15日内，支付合同总价款的60%。项目成果最终通过甲方评审合格，且乙方将全部资料移交给甲方后，达到付款条件15日内，支付合同总价款的40%。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根据项目需求合理配备相关专业背景的，项目负责人及相关技术人员，组建综合型技术团队，满足项目服务要求。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服务方根据项目采购项目特性及要求，自行配置投入履行合同所必需的各类设施设备（不限于专业设备、辅助设备、工具、软件等）及场所，保证项目顺利实施。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（1）进度要求 于合同签订后2个月内完成《高陵区2024年城市体检报告编制项目》初步成果，3个月内完成《高陵区2024年城市体检报告编制项目》最终成果。 （2）成果交付要求 按照采购人要求提交成果文件，包括《高陵区2024年城市体检报告》。文字应装订成册，A4规格；成果电子文本以光盘形式提交。</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西安市高陵区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一、具体验收要求详见合同要求。 二、验收依据：（1）合同文本、合同附件、竞争性磋商文件、响应文件。（2）现行的国家标准或国家行政部门颁布的法律法规、规章制度等。三、采购人根据验收依据及项目要求对服务进行检查或考核，服务方须接受采购人的各类考核或检查；若验收不通过或服务质量不符合采购要求，服务方应在一定期限以采购人要求的标准进行整改或进一步完善，并再次进行考核或检查，若服务方在接受检查整改后最终仍未按要求提供符合要求和服务，采购人有权按违约予以撤项，由此产生的一切责任和费用均由服务方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本合同生效后，乙方按照甲方要求提交完整成果初稿并经甲方确认后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项目成果最终通过甲方评审合格，且乙方将全部资料移交给甲方后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 （监狱企业与残疾人福利性单位视同小型、微型企业）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任选其一）①提供经审计的2023年或2024年的财务审计报告（成立时间至提交响应文件截止时间不足一年的可提供成立后任意时段的资产负债表）；②提交响应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一个月的纳税证明或完税证明（增值税、营业税、企业所得税至少提供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供应商参加政府采购活动前三年内，在经营活动中无重大违法记录</w:t>
            </w:r>
          </w:p>
        </w:tc>
        <w:tc>
          <w:tcPr>
            <w:tcW w:type="dxa" w:w="3322"/>
          </w:tcPr>
          <w:p>
            <w:pPr>
              <w:pStyle w:val="null3"/>
            </w:pPr>
            <w:r>
              <w:rPr>
                <w:rFonts w:ascii="仿宋_GB2312" w:hAnsi="仿宋_GB2312" w:cs="仿宋_GB2312" w:eastAsia="仿宋_GB2312"/>
              </w:rPr>
              <w:t>供应商参加政府采购活动前三年内，在经营活动中无重大违法记录的书面声明（成立时间至提交响应文件截止时间不足三年的可提供成立至今的书面声明）。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供应商需具有城乡规划（国土空间规划）编制乙级及以上资质（含乙级）。</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不接受联合体相关要求</w:t>
            </w:r>
          </w:p>
        </w:tc>
        <w:tc>
          <w:tcPr>
            <w:tcW w:type="dxa" w:w="3322"/>
          </w:tcPr>
          <w:p>
            <w:pPr>
              <w:pStyle w:val="null3"/>
            </w:pPr>
            <w:r>
              <w:rPr>
                <w:rFonts w:ascii="仿宋_GB2312" w:hAnsi="仿宋_GB2312" w:cs="仿宋_GB2312" w:eastAsia="仿宋_GB2312"/>
              </w:rPr>
              <w:t>本项目不接受联合体响应，不允许分包。</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关联声明</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落实政府采购政策资格</w:t>
            </w:r>
          </w:p>
        </w:tc>
        <w:tc>
          <w:tcPr>
            <w:tcW w:type="dxa" w:w="3322"/>
          </w:tcPr>
          <w:p>
            <w:pPr>
              <w:pStyle w:val="null3"/>
            </w:pPr>
            <w:r>
              <w:rPr>
                <w:rFonts w:ascii="仿宋_GB2312" w:hAnsi="仿宋_GB2312" w:cs="仿宋_GB2312" w:eastAsia="仿宋_GB2312"/>
              </w:rPr>
              <w:t>本项目专门面向中小企业采购（残疾人福利性单位、监狱企业视同小型、微型企业），供应商需提供《中小企业声明函》或《监狱企业的证明文件》或《残疾人福利性单位声明函》）。</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（1）货币单位符合磋商文件要求 （2）报价符合唯一性要求 （3）未超出采购包最高限价 （4）符合《报价表》《分项报价表》的填报要求。</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对采购文件的响应程度</w:t>
            </w:r>
          </w:p>
        </w:tc>
        <w:tc>
          <w:tcPr>
            <w:tcW w:type="dxa" w:w="3322"/>
          </w:tcPr>
          <w:p>
            <w:pPr>
              <w:pStyle w:val="null3"/>
            </w:pPr>
            <w:r>
              <w:rPr>
                <w:rFonts w:ascii="仿宋_GB2312" w:hAnsi="仿宋_GB2312" w:cs="仿宋_GB2312" w:eastAsia="仿宋_GB2312"/>
              </w:rPr>
              <w:t>符合采购文件中的实质性条款要求，且未含有采购人不能接受的附加条件。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签章均符合磋商文件要求，且无遗漏。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（1）评审内容： 针对本项目的实施方案进行综合评审，内容包含：①本项目的基本情况及项目背景分析、②工作目标、③工作依据、④服务实施计划(服务工作流程)。 （2）评审依据： 以上四项评审内容无缺项，工作组织科学合理，技术框架清晰完善，专门针对本项目编制，能够保障项目顺利实施的得20分。 每有一项内容缺失或者内容非针对于本项目扣5分。以上评审内容每有一项缺陷扣2分，扣完为止。（缺陷是指：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（1）评审内容： 供应商针对本项目要求提供质量保障措施，包含但不限于：①数据获取和分析质量保障措施、②数据采集各项指标的准确性和真实性保障措施、③编制城市体检报告质量保障措施、④工作进度保障措施。 （2）评审依据： 以上四项评审内容无缺项，工作组织科学合理，制定的质量保障体系完整，措施具有针对性和可操作性，能够保障项目顺利实施的得20分。 每有一项内容缺失或者内容非针对于本项目扣5。以上评审内容每有一项缺陷扣2分，扣完为止。（缺陷是指：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实施能力</w:t>
            </w:r>
          </w:p>
        </w:tc>
        <w:tc>
          <w:tcPr>
            <w:tcW w:type="dxa" w:w="2492"/>
          </w:tcPr>
          <w:p>
            <w:pPr>
              <w:pStyle w:val="null3"/>
            </w:pPr>
            <w:r>
              <w:rPr>
                <w:rFonts w:ascii="仿宋_GB2312" w:hAnsi="仿宋_GB2312" w:cs="仿宋_GB2312" w:eastAsia="仿宋_GB2312"/>
              </w:rPr>
              <w:t>（1）评审内容： 供应商针对本项目的数据支撑和处理能力，主要包括①数据基础支撑能力、②数据收集方式、③数据处理分析应用能力响应程度。 （2）评审依据： 以上三项评审内容无缺项，针对性强、科学合理，数据基础丰富、信息完整，数据处理分析应用能力响应程度高，能够保障项目顺利实施的得15分。 每有一项评审内容缺失或者内容非针对于本项目扣5分。以上服务内容每有一项缺陷扣2分，扣完为止。（缺陷是指：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（1）评审内容： 根据供应商针对本项目提供的服务重点、难点分析方案进行综合评审，方案包含但不限于：①项目实施过程中的重点、难点理解分析；②关键性技术问题分析及应对措施。 （2）评审依据： 以上两项评审内容无缺项，专门针对本项目编制，符合本项目实际情况，能够保障项目顺利实施的得10分。 每有一项内容缺失或者内容非针对于本项目扣5分，以上服务内容每有一项缺陷扣2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（1）评审内容： ①项目负责人具有规划类专业高级及以上职称得2分。 ②项目负责人具有注册城乡规划师执业资格得3分。 （2）评审依据： 提供相关证书复印件或扫描件或中国城市规划协会官方网站截图及开标前近三个月任意一个月的社保证明加盖公章。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项目组成人员</w:t>
            </w:r>
          </w:p>
        </w:tc>
        <w:tc>
          <w:tcPr>
            <w:tcW w:type="dxa" w:w="2492"/>
          </w:tcPr>
          <w:p>
            <w:pPr>
              <w:pStyle w:val="null3"/>
            </w:pPr>
            <w:r>
              <w:rPr>
                <w:rFonts w:ascii="仿宋_GB2312" w:hAnsi="仿宋_GB2312" w:cs="仿宋_GB2312" w:eastAsia="仿宋_GB2312"/>
              </w:rPr>
              <w:t>（1）评审内容： ①项目组成员具有城市（城乡）规划、测绘工程、建筑学等专业高级工程师及以上职称的，每涵盖一个专业得1分，最高得3分。 ②项目组成员专业涵盖城市（城乡）规划、建筑学、地理信息系统、人文地理、风景园林、软件工程、测绘工程等相关专业证书，每涵盖上述一个专业得1分，最高得7分。 （2）评审依据： ①项目组成员不含项目负责人。 ②相关专业证书（不限于：职称证、执业资格、毕业证书等）复印件或扫描件加盖公章或中国城市规划协会官方网站截图为评分依据，不提供不得分； ③提供的人员须在本单位工作，以提供的开标日前近三个月任意一个月的社保证明为准，否则此人员不得分。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供应商2022年1月1日至今类似项目业绩，每提供一个类似项目业绩合同计2分，最高计10分。 （业绩时间以合同签订时间为准）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1.经资格审查、符合性审查合格的磋商响应文件，其磋商报价为有效磋商报价。 2.满足磋商文件实质性要求且最后报价最低的供应商的价格为磋商基准价，其价格分为满分10分。 3.磋商报价得分=(磋商基准价/最终磋商报价）×10的公式计算得分。 4.不正当竞争预防措施：在评审过程中,磋商小组认定某供应商的报价明显低于其他通过符合性审查供应商的报价，有可能影响服务质量或者不能诚信履约的,有权要求该供应商在磋商现场合理时间内，提供必要的书面文件予以解释和说明并附带相关证明材料。磋商单位书面说明应当签字确认或者加盖公章,否则无效。磋商单位拒绝或者变相拒绝提供有效书面说明或者书面说明不能证明其报价合理性的,磋商小组将按照其响应文件作为无效响应处理。（因落实政府采购政策进行价格调整的，以调整后的价格计算评标基准价和投标报价，详见磋商文件本部分政府采购政策评分标准，专门面向中小企业采购的项目或者采购包，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