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版本号：LZZB--202503120251206001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2025年发展新型农村集体经济项目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LZZB--2025031</w:t>
      </w:r>
      <w:r>
        <w:br/>
      </w:r>
      <w:r>
        <w:br/>
      </w:r>
      <w:r>
        <w:br/>
      </w:r>
    </w:p>
    <w:p>
      <w:pPr>
        <w:pStyle w:val="null3"/>
        <w:jc w:val="center"/>
        <w:outlineLvl w:val="2"/>
      </w:pPr>
      <w:r>
        <w:rPr>
          <w:rFonts w:ascii="仿宋_GB2312" w:hAnsi="仿宋_GB2312" w:cs="仿宋_GB2312" w:eastAsia="仿宋_GB2312"/>
          <w:sz w:val="28"/>
          <w:b/>
        </w:rPr>
        <w:t>西安市高陵区耿镇街道办事处</w:t>
      </w:r>
    </w:p>
    <w:p>
      <w:pPr>
        <w:pStyle w:val="null3"/>
        <w:jc w:val="center"/>
        <w:outlineLvl w:val="2"/>
      </w:pPr>
      <w:r>
        <w:rPr>
          <w:rFonts w:ascii="仿宋_GB2312" w:hAnsi="仿宋_GB2312" w:cs="仿宋_GB2312" w:eastAsia="仿宋_GB2312"/>
          <w:sz w:val="28"/>
          <w:b/>
        </w:rPr>
        <w:t>陕西霖舟项目管理有限公司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陕西霖舟项目管理有限公司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西安市高陵区耿镇街道办事处</w:t>
      </w:r>
      <w:r>
        <w:rPr>
          <w:rFonts w:ascii="仿宋_GB2312" w:hAnsi="仿宋_GB2312" w:cs="仿宋_GB2312" w:eastAsia="仿宋_GB2312"/>
        </w:rPr>
        <w:t>委托，拟对</w:t>
      </w:r>
      <w:r>
        <w:rPr>
          <w:rFonts w:ascii="仿宋_GB2312" w:hAnsi="仿宋_GB2312" w:cs="仿宋_GB2312" w:eastAsia="仿宋_GB2312"/>
        </w:rPr>
        <w:t>2025年发展新型农村集体经济项目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LZZB--2025031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2025年发展新型农村集体经济项目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新建炼油坊(单层门式刚架)328.5㎡、土方独基及钢构、电气及消防等。新建1857.72㎡生产车间（层高9m）土方独基及钢构、电气及消防等。改造辣子面坊及醋坊、改造内容为地面、墙面、门窗等内容。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采购包1（2025年发展新型农村集体经济项目工程项目）：属于专门面向中小企业采购。</w:t>
      </w:r>
    </w:p>
    <w:p>
      <w:pPr>
        <w:pStyle w:val="null3"/>
      </w:pPr>
      <w:r>
        <w:rPr>
          <w:rFonts w:ascii="仿宋_GB2312" w:hAnsi="仿宋_GB2312" w:cs="仿宋_GB2312" w:eastAsia="仿宋_GB2312"/>
        </w:rPr>
        <w:t>采购包2（2025年发展新型农村集体经济项目设备采购及安装）：属于专门面向中小企业采购。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 有效的营业执照或事业单位法人证书等国家规定的相关证明，自然人参与的提供身份证书。</w:t>
      </w:r>
    </w:p>
    <w:p>
      <w:pPr>
        <w:pStyle w:val="null3"/>
      </w:pPr>
      <w:r>
        <w:rPr>
          <w:rFonts w:ascii="仿宋_GB2312" w:hAnsi="仿宋_GB2312" w:cs="仿宋_GB2312" w:eastAsia="仿宋_GB2312"/>
        </w:rPr>
        <w:t>2、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3、社会保障资金缴纳证明：提供投标截止日前6个月内已缴存的至少一个月的社会保障资金缴存单据或社保机构开具的社会保险参保缴费情况证明，依法不需要缴纳社会保障资金的单位应提供相关证明材料。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5、参加政府采购活动前3年内，在经营活动中没有重大违法记录：参加政府采购活动前3年内，在经营活动中没有重大违法记录(提供书面声明）。</w:t>
      </w:r>
    </w:p>
    <w:p>
      <w:pPr>
        <w:pStyle w:val="null3"/>
      </w:pPr>
      <w:r>
        <w:rPr>
          <w:rFonts w:ascii="仿宋_GB2312" w:hAnsi="仿宋_GB2312" w:cs="仿宋_GB2312" w:eastAsia="仿宋_GB2312"/>
        </w:rPr>
        <w:t>6、具有履行本合同所必需的设备和专业技术能力：提供具有履行本合同所必需的设备和专业技术能力的承诺(提供承诺书)。</w:t>
      </w:r>
    </w:p>
    <w:p>
      <w:pPr>
        <w:pStyle w:val="null3"/>
      </w:pPr>
      <w:r>
        <w:rPr>
          <w:rFonts w:ascii="仿宋_GB2312" w:hAnsi="仿宋_GB2312" w:cs="仿宋_GB2312" w:eastAsia="仿宋_GB2312"/>
        </w:rPr>
        <w:t>7、法定代表人授权书：法定代表人授权书(附法定代表人、被授权人身份证复印件)及被授权人身份证复印件(法定代表人直接参加的，须提供法定代表人身份证明及身份证复印件）:非法人单位参照执行。</w:t>
      </w:r>
    </w:p>
    <w:p>
      <w:pPr>
        <w:pStyle w:val="null3"/>
      </w:pPr>
      <w:r>
        <w:rPr>
          <w:rFonts w:ascii="仿宋_GB2312" w:hAnsi="仿宋_GB2312" w:cs="仿宋_GB2312" w:eastAsia="仿宋_GB2312"/>
        </w:rPr>
        <w:t>8、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9、供应商资质：供应商须具备建设行政主管部门颁发的建筑工程施工总承包三级及以上资质，且具备合格有效的安全生产许可证。</w:t>
      </w:r>
    </w:p>
    <w:p>
      <w:pPr>
        <w:pStyle w:val="null3"/>
      </w:pPr>
      <w:r>
        <w:rPr>
          <w:rFonts w:ascii="仿宋_GB2312" w:hAnsi="仿宋_GB2312" w:cs="仿宋_GB2312" w:eastAsia="仿宋_GB2312"/>
        </w:rPr>
        <w:t>10、拟派项目经理：拟派项目经理具备建筑工程二级及以上注册建造师证、安全生产考核合格证(建安B证)、无在建工程承诺书(复印件加盖公章)。</w:t>
      </w:r>
    </w:p>
    <w:p>
      <w:pPr>
        <w:pStyle w:val="null3"/>
      </w:pPr>
      <w:r>
        <w:rPr>
          <w:rFonts w:ascii="仿宋_GB2312" w:hAnsi="仿宋_GB2312" w:cs="仿宋_GB2312" w:eastAsia="仿宋_GB2312"/>
        </w:rPr>
        <w:t>11、供应商关联关系：单位负责人为同一人或者存在直接控股、管理关系的不同投标人，不得参加同一合同项下的政府采购活动。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12、本项目不接受联合体投标：本项目不接受联合体投标（提供承诺函）。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 有效的营业执照或事业单位法人证书等国家规定的相关证明，自然人参与的提供身份证书。</w:t>
      </w:r>
    </w:p>
    <w:p>
      <w:pPr>
        <w:pStyle w:val="null3"/>
      </w:pPr>
      <w:r>
        <w:rPr>
          <w:rFonts w:ascii="仿宋_GB2312" w:hAnsi="仿宋_GB2312" w:cs="仿宋_GB2312" w:eastAsia="仿宋_GB2312"/>
        </w:rPr>
        <w:t>2、税收缴纳证明：提交响应文件截止时间前6个月内至少一个月的纳税证明或完税证明(增值税、营业税、企业所得税至少提供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3、社会保障资金缴纳证明：提供投标截止日前6个月内已缴存的至少一个月的社会保障资金缴存单据或社保机构开具的社会保险参保缴费情况证明，依法不需要缴纳社会保障资金的单位应提供相关证明材料。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报告：提供2024年度经审计的财务报告或提交投标文件截止时间三个月内其基本账户开户银行出县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5、参加政府采购活动前3年内，在经营活动中没有重大违法记录：参加政府采购活动前3年内，在经营活动中没有重大违法记录(提供书面声明)。</w:t>
      </w:r>
    </w:p>
    <w:p>
      <w:pPr>
        <w:pStyle w:val="null3"/>
      </w:pPr>
      <w:r>
        <w:rPr>
          <w:rFonts w:ascii="仿宋_GB2312" w:hAnsi="仿宋_GB2312" w:cs="仿宋_GB2312" w:eastAsia="仿宋_GB2312"/>
        </w:rPr>
        <w:t>6、具有履行本合同所必需的设备和专业技术能力：提供具有履行本合同所必需的设备和专业技术能力的承诺(提供承诺书)。</w:t>
      </w:r>
    </w:p>
    <w:p>
      <w:pPr>
        <w:pStyle w:val="null3"/>
      </w:pPr>
      <w:r>
        <w:rPr>
          <w:rFonts w:ascii="仿宋_GB2312" w:hAnsi="仿宋_GB2312" w:cs="仿宋_GB2312" w:eastAsia="仿宋_GB2312"/>
        </w:rPr>
        <w:t>7、法定代表人授权书：法定代表人授权书(附法定代表人、被授权人身份证复印件)及被授权人身份证复印件(法定代表人直接参加的，须提供法定代表人身份证明及身份证复印件):非法人单位参照执行。</w:t>
      </w:r>
    </w:p>
    <w:p>
      <w:pPr>
        <w:pStyle w:val="null3"/>
      </w:pPr>
      <w:r>
        <w:rPr>
          <w:rFonts w:ascii="仿宋_GB2312" w:hAnsi="仿宋_GB2312" w:cs="仿宋_GB2312" w:eastAsia="仿宋_GB2312"/>
        </w:rPr>
        <w:t>8、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10、本项目不接受联合体投标：本项目不接受联合体投标（提供承诺函）。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西安市高陵区耿镇街道办事处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西安市高陵区耿镇街道苏虎路副6号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029-86060010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陕西霖舟项目管理有限公司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陕西省西安市未央区陕西省西安市未央区未央湖街办芸辉路佳隆庄园A01-4室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郭英丽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029-81718097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采购包1：2,904,618.18元</w:t>
            </w:r>
          </w:p>
          <w:p>
            <w:pPr>
              <w:pStyle w:val="null3"/>
            </w:pPr>
            <w:r>
              <w:rPr>
                <w:rFonts w:ascii="仿宋_GB2312" w:hAnsi="仿宋_GB2312" w:cs="仿宋_GB2312" w:eastAsia="仿宋_GB2312"/>
              </w:rPr>
              <w:t>采购包2：260,700.00元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招标代理服务费以中标价为基数，参照国家发展计划委员会计价格[2002]1980号、发改办价格［2003］857号规定标准计取该项目的招标代理服务费，由成交单位领取成交通知书时一次性付清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西安市高陵区耿镇街道办事处</w:t>
      </w:r>
      <w:r>
        <w:rPr>
          <w:rFonts w:ascii="仿宋_GB2312" w:hAnsi="仿宋_GB2312" w:cs="仿宋_GB2312" w:eastAsia="仿宋_GB2312"/>
        </w:rPr>
        <w:t>和</w:t>
      </w:r>
      <w:r>
        <w:rPr>
          <w:rFonts w:ascii="仿宋_GB2312" w:hAnsi="仿宋_GB2312" w:cs="仿宋_GB2312" w:eastAsia="仿宋_GB2312"/>
        </w:rPr>
        <w:t>陕西霖舟项目管理有限公司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西安市高陵区耿镇街道办事处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陕西霖舟项目管理有限公司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西安市高陵区耿镇街道办事处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陕西霖舟项目管理有限公司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符合国家及地方现行验收规范“合格”标准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乙方所提供的产品性能及质量应符合现行国家标准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陕西霖舟项目管理有限公司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陕西霖舟项目管理有限公司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陕西霖舟项目管理有限公司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联系人：郭英丽</w:t>
      </w:r>
    </w:p>
    <w:p>
      <w:pPr>
        <w:pStyle w:val="null3"/>
      </w:pPr>
      <w:r>
        <w:rPr>
          <w:rFonts w:ascii="仿宋_GB2312" w:hAnsi="仿宋_GB2312" w:cs="仿宋_GB2312" w:eastAsia="仿宋_GB2312"/>
        </w:rPr>
        <w:t>联系电话：029-81718097</w:t>
      </w:r>
    </w:p>
    <w:p>
      <w:pPr>
        <w:pStyle w:val="null3"/>
      </w:pPr>
      <w:r>
        <w:rPr>
          <w:rFonts w:ascii="仿宋_GB2312" w:hAnsi="仿宋_GB2312" w:cs="仿宋_GB2312" w:eastAsia="仿宋_GB2312"/>
        </w:rPr>
        <w:t>地址：西安市未央区徐家湾街道红旗路保利中达广场12楼1201室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2,904,618.18</w:t>
      </w:r>
    </w:p>
    <w:p>
      <w:pPr>
        <w:pStyle w:val="null3"/>
      </w:pPr>
      <w:r>
        <w:rPr>
          <w:rFonts w:ascii="仿宋_GB2312" w:hAnsi="仿宋_GB2312" w:cs="仿宋_GB2312" w:eastAsia="仿宋_GB2312"/>
        </w:rPr>
        <w:t>采购包最高限价（元）: 2,904,618.18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2,904,618.18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260,700.00</w:t>
      </w:r>
    </w:p>
    <w:p>
      <w:pPr>
        <w:pStyle w:val="null3"/>
      </w:pPr>
      <w:r>
        <w:rPr>
          <w:rFonts w:ascii="仿宋_GB2312" w:hAnsi="仿宋_GB2312" w:cs="仿宋_GB2312" w:eastAsia="仿宋_GB2312"/>
        </w:rPr>
        <w:t>采购包最高限价（元）: 260,700.00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设备采购及安装</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260,700.00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按国家及省市相关建设工程质量标准的规定，达到“合格”要求。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标的名称：设备采购及安装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507"/>
              <w:gridCol w:w="507"/>
              <w:gridCol w:w="507"/>
              <w:gridCol w:w="507"/>
              <w:gridCol w:w="507"/>
            </w:tblGrid>
            <w:tr>
              <w:tc>
                <w:tcPr>
                  <w:tcW w:type="dxa" w:w="2028"/>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炼油坊设备</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标的名称</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规格、型号</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备注</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环保振动筛</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r>
                    <w:rPr>
                      <w:rFonts w:ascii="仿宋_GB2312" w:hAnsi="仿宋_GB2312" w:cs="仿宋_GB2312" w:eastAsia="仿宋_GB2312"/>
                      <w:sz w:val="20"/>
                      <w:color w:val="000000"/>
                    </w:rPr>
                    <w:t>型</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配套电机</w:t>
                  </w:r>
                  <w:r>
                    <w:rPr>
                      <w:rFonts w:ascii="仿宋_GB2312" w:hAnsi="仿宋_GB2312" w:cs="仿宋_GB2312" w:eastAsia="仿宋_GB2312"/>
                      <w:sz w:val="20"/>
                      <w:color w:val="000000"/>
                    </w:rPr>
                    <w:t>1.5kw</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产量</w:t>
                  </w:r>
                  <w:r>
                    <w:rPr>
                      <w:rFonts w:ascii="仿宋_GB2312" w:hAnsi="仿宋_GB2312" w:cs="仿宋_GB2312" w:eastAsia="仿宋_GB2312"/>
                      <w:sz w:val="20"/>
                      <w:color w:val="000000"/>
                    </w:rPr>
                    <w:t>1000</w:t>
                  </w:r>
                  <w:r>
                    <w:rPr>
                      <w:rFonts w:ascii="仿宋_GB2312" w:hAnsi="仿宋_GB2312" w:cs="仿宋_GB2312" w:eastAsia="仿宋_GB2312"/>
                      <w:sz w:val="20"/>
                      <w:color w:val="000000"/>
                    </w:rPr>
                    <w:t>斤</w:t>
                  </w:r>
                  <w:r>
                    <w:rPr>
                      <w:rFonts w:ascii="仿宋_GB2312" w:hAnsi="仿宋_GB2312" w:cs="仿宋_GB2312" w:eastAsia="仿宋_GB2312"/>
                      <w:sz w:val="20"/>
                      <w:color w:val="000000"/>
                    </w:rPr>
                    <w:t>/h</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不锈钢电炒锅</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w:t>
                  </w:r>
                  <w:r>
                    <w:rPr>
                      <w:rFonts w:ascii="仿宋_GB2312" w:hAnsi="仿宋_GB2312" w:cs="仿宋_GB2312" w:eastAsia="仿宋_GB2312"/>
                      <w:sz w:val="20"/>
                      <w:color w:val="000000"/>
                    </w:rPr>
                    <w:t>型</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功率</w:t>
                  </w:r>
                  <w:r>
                    <w:rPr>
                      <w:rFonts w:ascii="仿宋_GB2312" w:hAnsi="仿宋_GB2312" w:cs="仿宋_GB2312" w:eastAsia="仿宋_GB2312"/>
                      <w:sz w:val="20"/>
                      <w:color w:val="000000"/>
                    </w:rPr>
                    <w:t>35kw</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产量</w:t>
                  </w:r>
                  <w:r>
                    <w:rPr>
                      <w:rFonts w:ascii="仿宋_GB2312" w:hAnsi="仿宋_GB2312" w:cs="仿宋_GB2312" w:eastAsia="仿宋_GB2312"/>
                      <w:sz w:val="20"/>
                      <w:color w:val="000000"/>
                    </w:rPr>
                    <w:t>200-230</w:t>
                  </w:r>
                  <w:r>
                    <w:rPr>
                      <w:rFonts w:ascii="仿宋_GB2312" w:hAnsi="仿宋_GB2312" w:cs="仿宋_GB2312" w:eastAsia="仿宋_GB2312"/>
                      <w:sz w:val="20"/>
                      <w:color w:val="000000"/>
                    </w:rPr>
                    <w:t>公斤</w:t>
                  </w:r>
                  <w:r>
                    <w:rPr>
                      <w:rFonts w:ascii="仿宋_GB2312" w:hAnsi="仿宋_GB2312" w:cs="仿宋_GB2312" w:eastAsia="仿宋_GB2312"/>
                      <w:sz w:val="20"/>
                      <w:color w:val="000000"/>
                    </w:rPr>
                    <w:t>/h</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心轴加热榨油机</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w:t>
                  </w:r>
                  <w:r>
                    <w:rPr>
                      <w:rFonts w:ascii="仿宋_GB2312" w:hAnsi="仿宋_GB2312" w:cs="仿宋_GB2312" w:eastAsia="仿宋_GB2312"/>
                      <w:sz w:val="20"/>
                      <w:color w:val="000000"/>
                    </w:rPr>
                    <w:t>型</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功率</w:t>
                  </w:r>
                  <w:r>
                    <w:rPr>
                      <w:rFonts w:ascii="仿宋_GB2312" w:hAnsi="仿宋_GB2312" w:cs="仿宋_GB2312" w:eastAsia="仿宋_GB2312"/>
                      <w:sz w:val="20"/>
                      <w:color w:val="000000"/>
                    </w:rPr>
                    <w:t>15kw</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产量</w:t>
                  </w:r>
                  <w:r>
                    <w:rPr>
                      <w:rFonts w:ascii="仿宋_GB2312" w:hAnsi="仿宋_GB2312" w:cs="仿宋_GB2312" w:eastAsia="仿宋_GB2312"/>
                      <w:sz w:val="20"/>
                      <w:color w:val="000000"/>
                    </w:rPr>
                    <w:t>400-500</w:t>
                  </w:r>
                  <w:r>
                    <w:rPr>
                      <w:rFonts w:ascii="仿宋_GB2312" w:hAnsi="仿宋_GB2312" w:cs="仿宋_GB2312" w:eastAsia="仿宋_GB2312"/>
                      <w:sz w:val="20"/>
                      <w:color w:val="000000"/>
                    </w:rPr>
                    <w:t>斤</w:t>
                  </w:r>
                  <w:r>
                    <w:rPr>
                      <w:rFonts w:ascii="仿宋_GB2312" w:hAnsi="仿宋_GB2312" w:cs="仿宋_GB2312" w:eastAsia="仿宋_GB2312"/>
                      <w:sz w:val="20"/>
                      <w:color w:val="000000"/>
                    </w:rPr>
                    <w:t>/h</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油渣振动筛</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320</w:t>
                  </w:r>
                  <w:r>
                    <w:rPr>
                      <w:rFonts w:ascii="仿宋_GB2312" w:hAnsi="仿宋_GB2312" w:cs="仿宋_GB2312" w:eastAsia="仿宋_GB2312"/>
                      <w:sz w:val="20"/>
                      <w:color w:val="000000"/>
                    </w:rPr>
                    <w:t>型</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功率</w:t>
                  </w:r>
                  <w:r>
                    <w:rPr>
                      <w:rFonts w:ascii="仿宋_GB2312" w:hAnsi="仿宋_GB2312" w:cs="仿宋_GB2312" w:eastAsia="仿宋_GB2312"/>
                      <w:sz w:val="20"/>
                      <w:color w:val="000000"/>
                    </w:rPr>
                    <w:t>750w</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不锈钢提升机</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r>
                    <w:rPr>
                      <w:rFonts w:ascii="仿宋_GB2312" w:hAnsi="仿宋_GB2312" w:cs="仿宋_GB2312" w:eastAsia="仿宋_GB2312"/>
                      <w:sz w:val="20"/>
                      <w:color w:val="000000"/>
                    </w:rPr>
                    <w:t>米</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功率</w:t>
                  </w:r>
                  <w:r>
                    <w:rPr>
                      <w:rFonts w:ascii="仿宋_GB2312" w:hAnsi="仿宋_GB2312" w:cs="仿宋_GB2312" w:eastAsia="仿宋_GB2312"/>
                      <w:sz w:val="20"/>
                      <w:color w:val="000000"/>
                    </w:rPr>
                    <w:t>2.2kw</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w:t>
                  </w:r>
                  <w:r>
                    <w:rPr>
                      <w:rFonts w:ascii="仿宋_GB2312" w:hAnsi="仿宋_GB2312" w:cs="仿宋_GB2312" w:eastAsia="仿宋_GB2312"/>
                      <w:sz w:val="20"/>
                      <w:color w:val="000000"/>
                    </w:rPr>
                    <w:t>2m</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水化桶</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600</w:t>
                  </w:r>
                  <w:r>
                    <w:rPr>
                      <w:rFonts w:ascii="仿宋_GB2312" w:hAnsi="仿宋_GB2312" w:cs="仿宋_GB2312" w:eastAsia="仿宋_GB2312"/>
                      <w:sz w:val="20"/>
                      <w:color w:val="000000"/>
                    </w:rPr>
                    <w:t>型</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功率</w:t>
                  </w:r>
                  <w:r>
                    <w:rPr>
                      <w:rFonts w:ascii="仿宋_GB2312" w:hAnsi="仿宋_GB2312" w:cs="仿宋_GB2312" w:eastAsia="仿宋_GB2312"/>
                      <w:sz w:val="20"/>
                      <w:color w:val="000000"/>
                    </w:rPr>
                    <w:t>750w</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产量</w:t>
                  </w:r>
                  <w:r>
                    <w:rPr>
                      <w:rFonts w:ascii="仿宋_GB2312" w:hAnsi="仿宋_GB2312" w:cs="仿宋_GB2312" w:eastAsia="仿宋_GB2312"/>
                      <w:sz w:val="20"/>
                      <w:color w:val="000000"/>
                    </w:rPr>
                    <w:t>600</w:t>
                  </w:r>
                  <w:r>
                    <w:rPr>
                      <w:rFonts w:ascii="仿宋_GB2312" w:hAnsi="仿宋_GB2312" w:cs="仿宋_GB2312" w:eastAsia="仿宋_GB2312"/>
                      <w:sz w:val="20"/>
                      <w:color w:val="000000"/>
                    </w:rPr>
                    <w:t>公斤</w:t>
                  </w:r>
                  <w:r>
                    <w:rPr>
                      <w:rFonts w:ascii="仿宋_GB2312" w:hAnsi="仿宋_GB2312" w:cs="仿宋_GB2312" w:eastAsia="仿宋_GB2312"/>
                      <w:sz w:val="20"/>
                      <w:color w:val="000000"/>
                    </w:rPr>
                    <w:t>/h</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不锈钢双联灌</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r>
                    <w:rPr>
                      <w:rFonts w:ascii="仿宋_GB2312" w:hAnsi="仿宋_GB2312" w:cs="仿宋_GB2312" w:eastAsia="仿宋_GB2312"/>
                      <w:sz w:val="20"/>
                      <w:color w:val="000000"/>
                    </w:rPr>
                    <w:t>吨</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功率</w:t>
                  </w:r>
                  <w:r>
                    <w:rPr>
                      <w:rFonts w:ascii="仿宋_GB2312" w:hAnsi="仿宋_GB2312" w:cs="仿宋_GB2312" w:eastAsia="仿宋_GB2312"/>
                      <w:sz w:val="20"/>
                      <w:color w:val="000000"/>
                    </w:rPr>
                    <w:t>750w</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储存量</w:t>
                  </w:r>
                  <w:r>
                    <w:rPr>
                      <w:rFonts w:ascii="仿宋_GB2312" w:hAnsi="仿宋_GB2312" w:cs="仿宋_GB2312" w:eastAsia="仿宋_GB2312"/>
                      <w:sz w:val="20"/>
                      <w:color w:val="000000"/>
                    </w:rPr>
                    <w:t>1t</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不锈钢离心机</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900</w:t>
                  </w:r>
                  <w:r>
                    <w:rPr>
                      <w:rFonts w:ascii="仿宋_GB2312" w:hAnsi="仿宋_GB2312" w:cs="仿宋_GB2312" w:eastAsia="仿宋_GB2312"/>
                      <w:sz w:val="20"/>
                      <w:color w:val="000000"/>
                    </w:rPr>
                    <w:t>型</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功率</w:t>
                  </w:r>
                  <w:r>
                    <w:rPr>
                      <w:rFonts w:ascii="仿宋_GB2312" w:hAnsi="仿宋_GB2312" w:cs="仿宋_GB2312" w:eastAsia="仿宋_GB2312"/>
                      <w:sz w:val="20"/>
                      <w:color w:val="000000"/>
                    </w:rPr>
                    <w:t>3kw</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产量</w:t>
                  </w:r>
                  <w:r>
                    <w:rPr>
                      <w:rFonts w:ascii="仿宋_GB2312" w:hAnsi="仿宋_GB2312" w:cs="仿宋_GB2312" w:eastAsia="仿宋_GB2312"/>
                      <w:sz w:val="20"/>
                      <w:color w:val="000000"/>
                    </w:rPr>
                    <w:t>300</w:t>
                  </w:r>
                  <w:r>
                    <w:rPr>
                      <w:rFonts w:ascii="仿宋_GB2312" w:hAnsi="仿宋_GB2312" w:cs="仿宋_GB2312" w:eastAsia="仿宋_GB2312"/>
                      <w:sz w:val="20"/>
                      <w:color w:val="000000"/>
                    </w:rPr>
                    <w:t>公斤</w:t>
                  </w:r>
                  <w:r>
                    <w:rPr>
                      <w:rFonts w:ascii="仿宋_GB2312" w:hAnsi="仿宋_GB2312" w:cs="仿宋_GB2312" w:eastAsia="仿宋_GB2312"/>
                      <w:sz w:val="20"/>
                      <w:color w:val="000000"/>
                    </w:rPr>
                    <w:t>/h</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单头灌装压盖一体机</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w:t>
                  </w:r>
                  <w:r>
                    <w:rPr>
                      <w:rFonts w:ascii="仿宋_GB2312" w:hAnsi="仿宋_GB2312" w:cs="仿宋_GB2312" w:eastAsia="仿宋_GB2312"/>
                      <w:sz w:val="20"/>
                      <w:color w:val="000000"/>
                    </w:rPr>
                    <w:t>型</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功率</w:t>
                  </w:r>
                  <w:r>
                    <w:rPr>
                      <w:rFonts w:ascii="仿宋_GB2312" w:hAnsi="仿宋_GB2312" w:cs="仿宋_GB2312" w:eastAsia="仿宋_GB2312"/>
                      <w:sz w:val="20"/>
                      <w:color w:val="000000"/>
                    </w:rPr>
                    <w:t>1kw</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产量</w:t>
                  </w:r>
                  <w:r>
                    <w:rPr>
                      <w:rFonts w:ascii="仿宋_GB2312" w:hAnsi="仿宋_GB2312" w:cs="仿宋_GB2312" w:eastAsia="仿宋_GB2312"/>
                      <w:sz w:val="20"/>
                      <w:color w:val="000000"/>
                    </w:rPr>
                    <w:t>500</w:t>
                  </w:r>
                  <w:r>
                    <w:rPr>
                      <w:rFonts w:ascii="仿宋_GB2312" w:hAnsi="仿宋_GB2312" w:cs="仿宋_GB2312" w:eastAsia="仿宋_GB2312"/>
                      <w:sz w:val="20"/>
                      <w:color w:val="000000"/>
                    </w:rPr>
                    <w:t>斤</w:t>
                  </w:r>
                  <w:r>
                    <w:rPr>
                      <w:rFonts w:ascii="仿宋_GB2312" w:hAnsi="仿宋_GB2312" w:cs="仿宋_GB2312" w:eastAsia="仿宋_GB2312"/>
                      <w:sz w:val="20"/>
                      <w:color w:val="000000"/>
                    </w:rPr>
                    <w:t>/h</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接油桶含附件</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320</w:t>
                  </w:r>
                  <w:r>
                    <w:rPr>
                      <w:rFonts w:ascii="仿宋_GB2312" w:hAnsi="仿宋_GB2312" w:cs="仿宋_GB2312" w:eastAsia="仿宋_GB2312"/>
                      <w:sz w:val="20"/>
                      <w:color w:val="000000"/>
                    </w:rPr>
                    <w:t>型</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含不锈钢油管、不锈钢油桶</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吸风上料</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r>
                    <w:rPr>
                      <w:rFonts w:ascii="仿宋_GB2312" w:hAnsi="仿宋_GB2312" w:cs="仿宋_GB2312" w:eastAsia="仿宋_GB2312"/>
                      <w:sz w:val="20"/>
                      <w:color w:val="000000"/>
                    </w:rPr>
                    <w:t>型</w:t>
                  </w:r>
                </w:p>
              </w:tc>
              <w:tc>
                <w:tcPr>
                  <w:tcW w:type="dxa" w:w="5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功率</w:t>
                  </w:r>
                  <w:r>
                    <w:rPr>
                      <w:rFonts w:ascii="仿宋_GB2312" w:hAnsi="仿宋_GB2312" w:cs="仿宋_GB2312" w:eastAsia="仿宋_GB2312"/>
                      <w:sz w:val="20"/>
                      <w:color w:val="000000"/>
                    </w:rPr>
                    <w:t>2.2kw</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含储料仓、抽风管</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冷油机</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600</w:t>
                  </w:r>
                  <w:r>
                    <w:rPr>
                      <w:rFonts w:ascii="仿宋_GB2312" w:hAnsi="仿宋_GB2312" w:cs="仿宋_GB2312" w:eastAsia="仿宋_GB2312"/>
                      <w:sz w:val="20"/>
                      <w:color w:val="000000"/>
                    </w:rPr>
                    <w:t>型</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功率</w:t>
                  </w:r>
                  <w:r>
                    <w:rPr>
                      <w:rFonts w:ascii="仿宋_GB2312" w:hAnsi="仿宋_GB2312" w:cs="仿宋_GB2312" w:eastAsia="仿宋_GB2312"/>
                      <w:sz w:val="20"/>
                      <w:color w:val="000000"/>
                    </w:rPr>
                    <w:t>1.5kw</w:t>
                  </w:r>
                  <w:r>
                    <w:rPr>
                      <w:rFonts w:ascii="仿宋_GB2312" w:hAnsi="仿宋_GB2312" w:cs="仿宋_GB2312" w:eastAsia="仿宋_GB2312"/>
                      <w:sz w:val="20"/>
                      <w:color w:val="000000"/>
                    </w:rPr>
                    <w:t>，含双抽油泵，产量</w:t>
                  </w:r>
                  <w:r>
                    <w:rPr>
                      <w:rFonts w:ascii="仿宋_GB2312" w:hAnsi="仿宋_GB2312" w:cs="仿宋_GB2312" w:eastAsia="仿宋_GB2312"/>
                      <w:sz w:val="20"/>
                      <w:color w:val="000000"/>
                    </w:rPr>
                    <w:t>500</w:t>
                  </w:r>
                  <w:r>
                    <w:rPr>
                      <w:rFonts w:ascii="仿宋_GB2312" w:hAnsi="仿宋_GB2312" w:cs="仿宋_GB2312" w:eastAsia="仿宋_GB2312"/>
                      <w:sz w:val="20"/>
                      <w:color w:val="000000"/>
                    </w:rPr>
                    <w:t>斤</w:t>
                  </w:r>
                  <w:r>
                    <w:rPr>
                      <w:rFonts w:ascii="仿宋_GB2312" w:hAnsi="仿宋_GB2312" w:cs="仿宋_GB2312" w:eastAsia="仿宋_GB2312"/>
                      <w:sz w:val="20"/>
                      <w:color w:val="000000"/>
                    </w:rPr>
                    <w:t>/h</w:t>
                  </w:r>
                </w:p>
              </w:tc>
              <w:tc>
                <w:tcPr>
                  <w:tcW w:type="dxa" w:w="507"/>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5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辣子面坊设备</w:t>
                  </w:r>
                </w:p>
              </w:tc>
            </w:tr>
            <w:tr>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规格、型号</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单位</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r>
            <w:tr>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烘干机</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380V/5000W</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石碾盘</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直径2m 厚20cm</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粉碎机</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380V/5000W</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砂锅</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直径1m /3000W</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电动石磨</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直径1m /2500W</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53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醋池设备</w:t>
                  </w:r>
                </w:p>
              </w:tc>
            </w:tr>
            <w:tr>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规格、型号</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单位</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r>
            <w:tr>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锅头</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直径1.5m</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醋池</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1t不锈钢加强罐</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空调</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型号3p</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醋缸</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容积500斤</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r>
            <w:tr>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筛子</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直径70cm</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5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合同包1：一、建设内容 建设内容：新建炼油坊(单层门式刚架)328.5㎡、土方独基及钢构、电气及消防等。新建1857.72㎡生产车间（层高9m）土方独基及钢构、电气及消防等。改造辣子面坊及醋坊、改造内容为地面、墙面、门窗等内容。 二、编制依据 1、设计图纸、实施方案设计答疑等； 2、《陕西省建设工程工程量清单计价标准及计算标准2025》3、《市政工程工程量计算标准》《房屋建筑与装饰工程工程量计算标准》《通用安装工程工程量计算标准》《园林绿化工程工程量计算标准》； 4、《陕西省建设工程费用规则（2025）》； 5、《陕西省建筑装饰工程消耗量定额》（2025版），《陕西省建筑装饰工程价目表》（2025版），《陕西省市政、园林绿化工程价目表》（2025版），《陕西省市政、园林绿化工程消耗量定额》（2025）《陕西省通用安装工程消耗量定额》； 三、其他说明 1、主材价格采用2025年11月信息价及市场询价。 2、广联达软件版本7.5000.23.2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资格证明文件-包1.docx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资格证明文件-包1.docx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资格证明文件-包2.docx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 有效的营业执照或事业单位法人证书等国家规定的相关证明，自然人参与的提供身份证书。</w:t>
            </w:r>
          </w:p>
        </w:tc>
        <w:tc>
          <w:tcPr>
            <w:tcW w:type="dxa" w:w="1661"/>
          </w:tcPr>
          <w:p>
            <w:pPr>
              <w:pStyle w:val="null3"/>
            </w:pPr>
            <w:r>
              <w:rPr>
                <w:rFonts w:ascii="仿宋_GB2312" w:hAnsi="仿宋_GB2312" w:cs="仿宋_GB2312" w:eastAsia="仿宋_GB2312"/>
              </w:rPr>
              <w:t>供应商应提交的相关资格证明材料 资格证明文件-包1.docx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 资格证明文件-包1.docx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资格证明文件-包1.docx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资格证明文件-包1.docx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 资格证明文件-包1.docx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供应商应提交的相关资格证明材料 资格证明文件-包1.docx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法定代表人授权书(附法定代表人、被授权人身份证复印件)及被授权人身份证复印件(法定代表人直接参加的，须提供法定代表人身份证明及身份证复印件）:非法人单位参照执行。</w:t>
            </w:r>
          </w:p>
        </w:tc>
        <w:tc>
          <w:tcPr>
            <w:tcW w:type="dxa" w:w="1661"/>
          </w:tcPr>
          <w:p>
            <w:pPr>
              <w:pStyle w:val="null3"/>
            </w:pPr>
            <w:r>
              <w:rPr>
                <w:rFonts w:ascii="仿宋_GB2312" w:hAnsi="仿宋_GB2312" w:cs="仿宋_GB2312" w:eastAsia="仿宋_GB2312"/>
              </w:rPr>
              <w:t>供应商应提交的相关资格证明材料 资格证明文件-包1.docx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 资格证明文件-包1.docx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供应商须具备建设行政主管部门颁发的建筑工程施工总承包三级及以上资质，且具备合格有效的安全生产许可证。</w:t>
            </w:r>
          </w:p>
        </w:tc>
        <w:tc>
          <w:tcPr>
            <w:tcW w:type="dxa" w:w="1661"/>
          </w:tcPr>
          <w:p>
            <w:pPr>
              <w:pStyle w:val="null3"/>
            </w:pPr>
            <w:r>
              <w:rPr>
                <w:rFonts w:ascii="仿宋_GB2312" w:hAnsi="仿宋_GB2312" w:cs="仿宋_GB2312" w:eastAsia="仿宋_GB2312"/>
              </w:rPr>
              <w:t>供应商应提交的相关资格证明材料 资格证明文件-包1.docx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拟派项目经理具备建筑工程二级及以上注册建造师证、安全生产考核合格证(建安B证)、无在建工程承诺书(复印件加盖公章)。</w:t>
            </w:r>
          </w:p>
        </w:tc>
        <w:tc>
          <w:tcPr>
            <w:tcW w:type="dxa" w:w="1661"/>
          </w:tcPr>
          <w:p>
            <w:pPr>
              <w:pStyle w:val="null3"/>
            </w:pPr>
            <w:r>
              <w:rPr>
                <w:rFonts w:ascii="仿宋_GB2312" w:hAnsi="仿宋_GB2312" w:cs="仿宋_GB2312" w:eastAsia="仿宋_GB2312"/>
              </w:rPr>
              <w:t>供应商应提交的相关资格证明材料 资格证明文件-包1.docx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 资格证明文件-包1.docx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本项目不接受联合体投标（提供承诺函）。</w:t>
            </w:r>
          </w:p>
        </w:tc>
        <w:tc>
          <w:tcPr>
            <w:tcW w:type="dxa" w:w="1661"/>
          </w:tcPr>
          <w:p>
            <w:pPr>
              <w:pStyle w:val="null3"/>
            </w:pPr>
            <w:r>
              <w:rPr>
                <w:rFonts w:ascii="仿宋_GB2312" w:hAnsi="仿宋_GB2312" w:cs="仿宋_GB2312" w:eastAsia="仿宋_GB2312"/>
              </w:rPr>
              <w:t>供应商应提交的相关资格证明材料 资格证明文件-包1.docx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 有效的营业执照或事业单位法人证书等国家规定的相关证明，自然人参与的提供身份证书。</w:t>
            </w:r>
          </w:p>
        </w:tc>
        <w:tc>
          <w:tcPr>
            <w:tcW w:type="dxa" w:w="1661"/>
          </w:tcPr>
          <w:p>
            <w:pPr>
              <w:pStyle w:val="null3"/>
            </w:pPr>
            <w:r>
              <w:rPr>
                <w:rFonts w:ascii="仿宋_GB2312" w:hAnsi="仿宋_GB2312" w:cs="仿宋_GB2312" w:eastAsia="仿宋_GB2312"/>
              </w:rPr>
              <w:t>供应商应提交的相关资格证明材料 资格证明文件-包2.docx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 资格证明文件-包2.docx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资格证明文件-包2.docx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提供2024年度经审计的财务报告或提交投标文件截止时间三个月内其基本账户开户银行出县的资信证明或财政部门认可的政府采购专业担保机构出具的投标担保函(以上三种形式的资料提供任何一种即可)。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资格证明文件-包2.docx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 资格证明文件-包2.docx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供应商应提交的相关资格证明材料 资格证明文件-包2.docx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法定代表人授权书(附法定代表人、被授权人身份证复印件)及被授权人身份证复印件(法定代表人直接参加的，须提供法定代表人身份证明及身份证复印件):非法人单位参照执行。</w:t>
            </w:r>
          </w:p>
        </w:tc>
        <w:tc>
          <w:tcPr>
            <w:tcW w:type="dxa" w:w="1661"/>
          </w:tcPr>
          <w:p>
            <w:pPr>
              <w:pStyle w:val="null3"/>
            </w:pPr>
            <w:r>
              <w:rPr>
                <w:rFonts w:ascii="仿宋_GB2312" w:hAnsi="仿宋_GB2312" w:cs="仿宋_GB2312" w:eastAsia="仿宋_GB2312"/>
              </w:rPr>
              <w:t>供应商应提交的相关资格证明材料 资格证明文件-包2.docx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 资格证明文件-包2.docx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 资格证明文件-包2.docx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本项目不接受联合体投标（提供承诺函）。</w:t>
            </w:r>
          </w:p>
        </w:tc>
        <w:tc>
          <w:tcPr>
            <w:tcW w:type="dxa" w:w="1661"/>
          </w:tcPr>
          <w:p>
            <w:pPr>
              <w:pStyle w:val="null3"/>
            </w:pPr>
            <w:r>
              <w:rPr>
                <w:rFonts w:ascii="仿宋_GB2312" w:hAnsi="仿宋_GB2312" w:cs="仿宋_GB2312" w:eastAsia="仿宋_GB2312"/>
              </w:rPr>
              <w:t>供应商应提交的相关资格证明材料 资格证明文件-包2.docx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磋商方案-包1.docx 供应商承诺书-包1.docx 响应文件封面 项目管理机构组成表 残疾人福利性单位声明函 报价函 标的清单 供应商类似项目业绩一览表 资格证明文件-包1.docx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磋商方案-包1.docx 供应商承诺书-包1.docx 响应文件封面 项目管理机构组成表 残疾人福利性单位声明函 报价函 标的清单 供应商类似项目业绩一览表 资格证明文件-包1.docx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磋商方案-包1.docx 供应商承诺书-包1.docx 响应文件封面 项目管理机构组成表 残疾人福利性单位声明函 报价函 标的清单 供应商类似项目业绩一览表 资格证明文件-包1.docx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磋商方案-包1.docx 供应商承诺书-包1.docx 响应文件封面 项目管理机构组成表 残疾人福利性单位声明函 报价函 标的清单 供应商类似项目业绩一览表 资格证明文件-包1.docx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磋商方案-包1.docx 供应商承诺书-包1.docx 响应文件封面 项目管理机构组成表 残疾人福利性单位声明函 报价函 标的清单 供应商类似项目业绩一览表 资格证明文件-包1.docx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磋商方案-包1.docx 供应商承诺书-包1.docx 响应文件封面 项目管理机构组成表 残疾人福利性单位声明函 报价函 标的清单 供应商类似项目业绩一览表 资格证明文件-包1.docx 响应函 主要人员简历表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已标价工程量清单 供应商承诺书-包2.docx 中小企业声明函 技术服务合同条款及其他商务要求应答表 供应商应提交的相关资格证明材料 强制优先采购产品承诺函 资格证明文件-包2.docx 响应文件封面 项目管理机构组成表 残疾人福利性单位声明函 报价函 标的清单 供应商类似项目业绩一览表 磋商方案-包2.docx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 供应商承诺书-包2.docx 中小企业声明函 技术服务合同条款及其他商务要求应答表 供应商应提交的相关资格证明材料 强制优先采购产品承诺函 资格证明文件-包2.docx 响应文件封面 项目管理机构组成表 残疾人福利性单位声明函 报价函 标的清单 供应商类似项目业绩一览表 磋商方案-包2.docx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 供应商承诺书-包2.docx 中小企业声明函 技术服务合同条款及其他商务要求应答表 供应商应提交的相关资格证明材料 强制优先采购产品承诺函 资格证明文件-包2.docx 响应文件封面 项目管理机构组成表 残疾人福利性单位声明函 报价函 标的清单 供应商类似项目业绩一览表 磋商方案-包2.docx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 供应商承诺书-包2.docx 中小企业声明函 技术服务合同条款及其他商务要求应答表 供应商应提交的相关资格证明材料 强制优先采购产品承诺函 资格证明文件-包2.docx 响应文件封面 项目管理机构组成表 残疾人福利性单位声明函 报价函 标的清单 供应商类似项目业绩一览表 磋商方案-包2.docx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应满足磋商文件中要求的供货期</w:t>
            </w:r>
          </w:p>
        </w:tc>
        <w:tc>
          <w:tcPr>
            <w:tcW w:type="dxa" w:w="1661"/>
          </w:tcPr>
          <w:p>
            <w:pPr>
              <w:pStyle w:val="null3"/>
            </w:pPr>
            <w:r>
              <w:rPr>
                <w:rFonts w:ascii="仿宋_GB2312" w:hAnsi="仿宋_GB2312" w:cs="仿宋_GB2312" w:eastAsia="仿宋_GB2312"/>
              </w:rPr>
              <w:t>已标价工程量清单 供应商承诺书-包2.docx 中小企业声明函 技术服务合同条款及其他商务要求应答表 供应商应提交的相关资格证明材料 强制优先采购产品承诺函 资格证明文件-包2.docx 响应文件封面 项目管理机构组成表 残疾人福利性单位声明函 报价函 标的清单 供应商类似项目业绩一览表 磋商方案-包2.docx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已标价工程量清单 供应商承诺书-包2.docx 中小企业声明函 技术服务合同条款及其他商务要求应答表 供应商应提交的相关资格证明材料 强制优先采购产品承诺函 资格证明文件-包2.docx 响应文件封面 项目管理机构组成表 残疾人福利性单位声明函 报价函 标的清单 供应商类似项目业绩一览表 磋商方案-包2.docx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评审内容：施工方案 评审标准：对该项目实施的重点、难点进行分析，对易发生质量通病、易出现安全问题、施工难度大、技术含量高的部分进行说明并给出施工保障措施和专项技术方案（含主要施工方法、组织措施、检验手段等），方案详细有针对性得9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出现以上任一情形扣2分，方案缺漏项或只有标题没有实质性内容的扣9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施工进度计划的安排及确保工期的技术措施</w:t>
            </w:r>
          </w:p>
        </w:tc>
        <w:tc>
          <w:tcPr>
            <w:tcW w:type="dxa" w:w="2492"/>
          </w:tcPr>
          <w:p>
            <w:pPr>
              <w:pStyle w:val="null3"/>
            </w:pPr>
            <w:r>
              <w:rPr>
                <w:rFonts w:ascii="仿宋_GB2312" w:hAnsi="仿宋_GB2312" w:cs="仿宋_GB2312" w:eastAsia="仿宋_GB2312"/>
              </w:rPr>
              <w:t>评审内容：①施工进度计划安排②确保工期的技术措施 评审标准：内容与项目进度目标及工期关键节点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确保工程质量的组织措施</w:t>
            </w:r>
          </w:p>
        </w:tc>
        <w:tc>
          <w:tcPr>
            <w:tcW w:type="dxa" w:w="2492"/>
          </w:tcPr>
          <w:p>
            <w:pPr>
              <w:pStyle w:val="null3"/>
            </w:pPr>
            <w:r>
              <w:rPr>
                <w:rFonts w:ascii="仿宋_GB2312" w:hAnsi="仿宋_GB2312" w:cs="仿宋_GB2312" w:eastAsia="仿宋_GB2312"/>
              </w:rPr>
              <w:t>评审内容：工程质量保证措施 评审标准：针对本项目制定切实可行的总体质量控制目标，且对质量控制目标进行合理分解、规划，确保本项目质量标准符合相关标准，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评审内容：施工应急预案 评审标准：针对本项目制定切实可行的人工、 材料、设备的组织方案、给出有针对性的施工应急预案。 内容合理、 方案具体可行、完全符合要求得6分； 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安全文明施工措施及环境保护措施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 评审标准：结合工程环境、特点分析安全隐患，给出有针对性的安全生产、文明施工、环保施工等保证措施。 安全文明、环保保证体系组织措施和控制点设置合理，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项目管理机构及项目部组成</w:t>
            </w:r>
          </w:p>
        </w:tc>
        <w:tc>
          <w:tcPr>
            <w:tcW w:type="dxa" w:w="2492"/>
          </w:tcPr>
          <w:p>
            <w:pPr>
              <w:pStyle w:val="null3"/>
            </w:pPr>
            <w:r>
              <w:rPr>
                <w:rFonts w:ascii="仿宋_GB2312" w:hAnsi="仿宋_GB2312" w:cs="仿宋_GB2312" w:eastAsia="仿宋_GB2312"/>
              </w:rPr>
              <w:t>评审内容：①项目管理机构②项目部组成 评审标准：项目管理机构及项目部组成人员岗位完整，专业种类齐全，搭配合理，职位分明、有相应的技术能力，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3分，扣完为止 。</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评审内容：①劳动力计划②主要材料供应计划 评审标准：针对本项目提供详细的劳动力和材料投入计划及其保证措施，内容与要点相符、每个要点均有展开详细的阐述且能够适用于本项目的得6分；方案不完善或有缺陷（不完善或有缺陷是指：方案粗略、逻辑混乱、描述过于简单、与项目特点不匹配、凭空编造、逻辑漏洞、 出现常识性错误、套用其他项目方案、存在不可能实现的夸大情形、存在不适用项目实际情况的情形）评审内容每项出现以上任一情形扣1.5分，方案缺漏项或只有标题没有实质性内容的扣3分，扣完为止。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机械设备投入计划</w:t>
            </w:r>
          </w:p>
        </w:tc>
        <w:tc>
          <w:tcPr>
            <w:tcW w:type="dxa" w:w="2492"/>
          </w:tcPr>
          <w:p>
            <w:pPr>
              <w:pStyle w:val="null3"/>
            </w:pPr>
            <w:r>
              <w:rPr>
                <w:rFonts w:ascii="仿宋_GB2312" w:hAnsi="仿宋_GB2312" w:cs="仿宋_GB2312" w:eastAsia="仿宋_GB2312"/>
              </w:rPr>
              <w:t>评审内容：施工机械设备配备计划 评审标准：针对本项目提供满足项目施工需要，与项目施工进度相适应的机械设备投入计划。方案详细有针对性得6分 ；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 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评审内容:现场施工扬尘环境治理管理措施 评审标准:针对本项目提供符合本项目实际要求的现场施工扬尘环境治理管理措施。现场扬尘管理措施合理、有详尽的扬尘控制挡施并可达到因家控制的标准得6分方案不完善或有缺陷(不完善或有缺陷是指:方案粗略、逻辑混乱描述过于简单、与项目特点不四配、凭空编造、逻辑漏洞、出现常识性错误、套用其他项目方案、存在不可能实现的夸大情形、存在不适用项目实际情况的情形)评审内容每项出现以上任一情形扣1.5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评审内容:新技术、新产品、新工艺新材料应用 评审标准:针对本项目提出新技术、新产品、新工艺、新材料应用，并提供采用新技术、新产品、新工艺、 新材料对工程质量安全、缩短工期、降低成本的措施。方案合理、详尽、满足项目需要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评审内容:①供应商提供的保修服务承诺，②优化建议等方面的承诺措施 评审标准:提供的保修服务承诺及优化建议等方面的承诺措施其中包括工程保修期内的定期回访方案及维修方案，内容与要点相符、每个要点均有展开详细的阐述且能够适用于本项目的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具有2022年12月1日至今同类项目业绩每提供一个得2.5分，最高得5分业绩证明(以合同或中标/成交通知书为准，须在磋商响应文件中附以上证明材料的扫描件加盖单位公章。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投标价。2、满足磋商文件实质性要求且最后报价最低的供应商的价格为磋商基准价，其价格分为满分30分。3、其他供应商的价格分统一按照下列公式计算:磋商报价得分=(磋商基准价/有效最终磋商报价)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产品供货组织措施</w:t>
            </w:r>
          </w:p>
        </w:tc>
        <w:tc>
          <w:tcPr>
            <w:tcW w:type="dxa" w:w="2492"/>
          </w:tcPr>
          <w:p>
            <w:pPr>
              <w:pStyle w:val="null3"/>
            </w:pPr>
            <w:r>
              <w:rPr>
                <w:rFonts w:ascii="仿宋_GB2312" w:hAnsi="仿宋_GB2312" w:cs="仿宋_GB2312" w:eastAsia="仿宋_GB2312"/>
              </w:rPr>
              <w:t>针对项目特点作出合理计划和调配，由专业技术人员提供服务，保证产品达到最佳使用效果。若上述内容存在瑕疵，每存在1处瑕疵扣1分，扣完为止。“瑕疵”指内容明显错误，或内容不完整或缺少关键点，或不适用本项目特性、套用其他项目内容或内容不能满足本项目实际需求等情形。（不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供货进度计划、供货时间保障</w:t>
            </w:r>
          </w:p>
        </w:tc>
        <w:tc>
          <w:tcPr>
            <w:tcW w:type="dxa" w:w="2492"/>
          </w:tcPr>
          <w:p>
            <w:pPr>
              <w:pStyle w:val="null3"/>
            </w:pPr>
            <w:r>
              <w:rPr>
                <w:rFonts w:ascii="仿宋_GB2312" w:hAnsi="仿宋_GB2312" w:cs="仿宋_GB2312" w:eastAsia="仿宋_GB2312"/>
              </w:rPr>
              <w:t>进度安排合理，保障措施可靠，确保按期交货。若上述内容存在瑕疵，每存在1处瑕疵扣1分，扣完为止。“瑕疵”指内容明显错误，或内容不完整或缺少关键点，或不适用本项目特性、套用其他项目内容或内容不能满足本项目实际需求等情形。（不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运输前期准备，运输路线设计等要求。若上述内容存在瑕疵，每存在1处瑕疵扣1分，扣完为止。“瑕疵”指内容明显错误，或内容不完整或缺少关键点，或不适用本项目特性、套用其他项目内容或内容不能满足本项目实际需求等情形。（不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针对采购任务有具体的产品技术参数表安装、调试、运行、验收等组织措施</w:t>
            </w:r>
          </w:p>
        </w:tc>
        <w:tc>
          <w:tcPr>
            <w:tcW w:type="dxa" w:w="2492"/>
          </w:tcPr>
          <w:p>
            <w:pPr>
              <w:pStyle w:val="null3"/>
            </w:pPr>
            <w:r>
              <w:rPr>
                <w:rFonts w:ascii="仿宋_GB2312" w:hAnsi="仿宋_GB2312" w:cs="仿宋_GB2312" w:eastAsia="仿宋_GB2312"/>
              </w:rPr>
              <w:t>能保障产品正常运行并达到各项服务要求。若上述内容存在瑕疵，每存在1处瑕疵扣1分，扣完为止。“瑕疵”指内容明显错误，或内容不完整或缺少关键点，或不适用本项目特性、套用其他项目内容或内容不能满足本项目实际需求等情形。（不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产品质量保证承诺</w:t>
            </w:r>
          </w:p>
        </w:tc>
        <w:tc>
          <w:tcPr>
            <w:tcW w:type="dxa" w:w="2492"/>
          </w:tcPr>
          <w:p>
            <w:pPr>
              <w:pStyle w:val="null3"/>
            </w:pPr>
            <w:r>
              <w:rPr>
                <w:rFonts w:ascii="仿宋_GB2312" w:hAnsi="仿宋_GB2312" w:cs="仿宋_GB2312" w:eastAsia="仿宋_GB2312"/>
              </w:rPr>
              <w:t>提供产品质量保证承诺至少包括:①企业对产品质量的许诺。保证产品从设计、生产、检测到产品包装等各个环节严格按照行标要求等出厂检验，层层把关。②产品无不良市场反馈情况及产品质保情况。以上内容专门针对本项目实际需求的得10分，每缺一项内容扣5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至少包括：①提供拟投入售后服务人员的配备情况。②提供产品的保修时间、保修期内的保修内容与范围。③提供项目交付后采购人出现故障的响应时间、解决故障时间、补救措施。以上内容专门针对本项目实际需求的得9分，每缺一项内容扣3分，若上述内容存在瑕疵，每存在1处瑕疵扣1分，扣完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至少包括：①培训技术人员和培训时间安排。②培训内容。以上内容专门针对本项目实际需求的得6分，每缺一项内容扣3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应急管理措施</w:t>
            </w:r>
          </w:p>
        </w:tc>
        <w:tc>
          <w:tcPr>
            <w:tcW w:type="dxa" w:w="2492"/>
          </w:tcPr>
          <w:p>
            <w:pPr>
              <w:pStyle w:val="null3"/>
            </w:pPr>
            <w:r>
              <w:rPr>
                <w:rFonts w:ascii="仿宋_GB2312" w:hAnsi="仿宋_GB2312" w:cs="仿宋_GB2312" w:eastAsia="仿宋_GB2312"/>
              </w:rPr>
              <w:t>针对本项目做出应急管理预案。若上述内容存在瑕疵，每存在1处瑕疵扣1分，扣完为止。“瑕疵”指内容明显错误，或内容不完整或缺少关键点，或不适用本项目特性、套用其他项目内容或内容不能满足本项目实际需求等情形。（不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提供2022年12月1日至今(以合同签订时间为准)的同类项目业绩，每提供一份合同得2.5分，最多得5分。注：业绩以成交通知书或协议书(合同)为准，响应文件内附复印件加盖公章。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1、经初审合格的磋商响应文件，其磋商报价为有效投标价 。 2、满足磋商文件实质性要求且最后报价最低的供应商的价格为磋商基准价，其价格分为满分30分。 3、其他供应商的价格分统一按照下列公式计算：磋商报价得分=（磋商基准价/有效最终磋商报价）×30。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详见附件：磋商方案-包1.docx</w:t>
      </w:r>
    </w:p>
    <w:p>
      <w:pPr>
        <w:pStyle w:val="null3"/>
        <w:ind w:firstLine="960"/>
      </w:pPr>
      <w:r>
        <w:rPr>
          <w:rFonts w:ascii="仿宋_GB2312" w:hAnsi="仿宋_GB2312" w:cs="仿宋_GB2312" w:eastAsia="仿宋_GB2312"/>
        </w:rPr>
        <w:t>详见附件：供应商承诺书-包1.docx</w:t>
      </w:r>
    </w:p>
    <w:p>
      <w:pPr>
        <w:pStyle w:val="null3"/>
        <w:ind w:firstLine="960"/>
      </w:pPr>
      <w:r>
        <w:rPr>
          <w:rFonts w:ascii="仿宋_GB2312" w:hAnsi="仿宋_GB2312" w:cs="仿宋_GB2312" w:eastAsia="仿宋_GB2312"/>
        </w:rPr>
        <w:t>详见附件：资格证明文件-包1.docx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详见附件：磋商方案-包2.docx</w:t>
      </w:r>
    </w:p>
    <w:p>
      <w:pPr>
        <w:pStyle w:val="null3"/>
        <w:ind w:firstLine="960"/>
      </w:pPr>
      <w:r>
        <w:rPr>
          <w:rFonts w:ascii="仿宋_GB2312" w:hAnsi="仿宋_GB2312" w:cs="仿宋_GB2312" w:eastAsia="仿宋_GB2312"/>
        </w:rPr>
        <w:t>详见附件：供应商承诺书-包2.docx</w:t>
      </w:r>
    </w:p>
    <w:p>
      <w:pPr>
        <w:pStyle w:val="null3"/>
        <w:ind w:firstLine="960"/>
      </w:pPr>
      <w:r>
        <w:rPr>
          <w:rFonts w:ascii="仿宋_GB2312" w:hAnsi="仿宋_GB2312" w:cs="仿宋_GB2312" w:eastAsia="仿宋_GB2312"/>
        </w:rPr>
        <w:t>详见附件：资格证明文件-包2.docx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详见附件：合同条款及格式-合同包1及合同包2合同.docx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