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版本号：LZBC2025-203520251208001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西安市高陵区实施详细规划编制及相关设计服务项目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LZBC2025-2035</w:t>
      </w:r>
      <w:r>
        <w:br/>
      </w:r>
      <w:r>
        <w:br/>
      </w:r>
      <w:r>
        <w:br/>
      </w:r>
    </w:p>
    <w:p>
      <w:pPr>
        <w:pStyle w:val="null3"/>
        <w:jc w:val="center"/>
        <w:outlineLvl w:val="2"/>
      </w:pPr>
      <w:r>
        <w:rPr>
          <w:rFonts w:ascii="仿宋_GB2312" w:hAnsi="仿宋_GB2312" w:cs="仿宋_GB2312" w:eastAsia="仿宋_GB2312"/>
          <w:sz w:val="28"/>
          <w:b/>
        </w:rPr>
        <w:t>西安市自然资源和规划局高陵分局</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西安市自然资源和规划局高陵分局</w:t>
      </w:r>
      <w:r>
        <w:rPr>
          <w:rFonts w:ascii="仿宋_GB2312" w:hAnsi="仿宋_GB2312" w:cs="仿宋_GB2312" w:eastAsia="仿宋_GB2312"/>
        </w:rPr>
        <w:t>委托，拟对</w:t>
      </w:r>
      <w:r>
        <w:rPr>
          <w:rFonts w:ascii="仿宋_GB2312" w:hAnsi="仿宋_GB2312" w:cs="仿宋_GB2312" w:eastAsia="仿宋_GB2312"/>
        </w:rPr>
        <w:t>西安市高陵区实施详细规划编制及相关设计服务项目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LZBC2025-2035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西安市高陵区实施详细规划编制及相关设计服务项目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本项目拟对西安市高陵区实施详细规划编制及相关设计服务项目进行采购，具体详见采购文件。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1、营业执照：中华人民共和国境内注册，具有独立承担民事责任能力的法人、其他组织，提供营业执照（或事业法人证或统一社会信用代码的营业执照等），自然人提供身份证明。</w:t>
      </w:r>
    </w:p>
    <w:p>
      <w:pPr>
        <w:pStyle w:val="null3"/>
      </w:pPr>
      <w:r>
        <w:rPr>
          <w:rFonts w:ascii="仿宋_GB2312" w:hAnsi="仿宋_GB2312" w:cs="仿宋_GB2312" w:eastAsia="仿宋_GB2312"/>
        </w:rPr>
        <w:t>2、税收缴纳凭证及社会保险缴纳的凭证：投标人在本项目投标文件递交截止时间前六个月内任意一个月的税收缴纳凭证及社会保险缴纳的凭证。依法免税或不需要缴纳社会保障资金的投标人，应提供相应文件证明其依法免税或不需要缴纳社会保障资金。</w:t>
      </w:r>
    </w:p>
    <w:p>
      <w:pPr>
        <w:pStyle w:val="null3"/>
      </w:pPr>
      <w:r>
        <w:rPr>
          <w:rFonts w:ascii="仿宋_GB2312" w:hAnsi="仿宋_GB2312" w:cs="仿宋_GB2312" w:eastAsia="仿宋_GB2312"/>
        </w:rPr>
        <w:t>3、财务状况报告：投标人提供2024年度经审计的财务审计报告（事业法人可提供部门决算报告）；或提供投标人开户银行出具的资信证明；或提供专业担保机构出具的投标担保函。</w:t>
      </w:r>
    </w:p>
    <w:p>
      <w:pPr>
        <w:pStyle w:val="null3"/>
      </w:pPr>
      <w:r>
        <w:rPr>
          <w:rFonts w:ascii="仿宋_GB2312" w:hAnsi="仿宋_GB2312" w:cs="仿宋_GB2312" w:eastAsia="仿宋_GB2312"/>
        </w:rPr>
        <w:t>4、参加政府采购活动前3年内在经营活动中没有重大违法记录的书面声明； 其中：重大违法记录是指投标人因违法经营受到刑事处罚或者责令停产停业、吊销许可证或者执照、较大数额罚款等行政处罚：参加政府采购活动前3年内在经营活动中没有重大违法记录的书面声明。</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w:t>
      </w:r>
    </w:p>
    <w:p>
      <w:pPr>
        <w:pStyle w:val="null3"/>
      </w:pPr>
      <w:r>
        <w:rPr>
          <w:rFonts w:ascii="仿宋_GB2312" w:hAnsi="仿宋_GB2312" w:cs="仿宋_GB2312" w:eastAsia="仿宋_GB2312"/>
        </w:rPr>
        <w:t>6、企业资质：供应商具有有效的城乡规划编制（国土空间规划）乙级及以上资质证书。</w:t>
      </w:r>
    </w:p>
    <w:p>
      <w:pPr>
        <w:pStyle w:val="null3"/>
      </w:pPr>
      <w:r>
        <w:rPr>
          <w:rFonts w:ascii="仿宋_GB2312" w:hAnsi="仿宋_GB2312" w:cs="仿宋_GB2312" w:eastAsia="仿宋_GB2312"/>
        </w:rPr>
        <w:t>7、供应商信用状况：供应商不得为“信用中国”网站（www.creditchina.gov.cn）中列入失信被执行人和重大税收违法失信主体的投标人，不得为中国政府采购网（www.ccgp.gov.cn）政府采购严重违法失信行为记录名单中被财政部门禁止参加政府采购活动的供应商。以开标后网站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西安市自然资源和规划局高陵分局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高陵区环城东路165号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马茸</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029-86918820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李昕宇、王申午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以及『2011』534号文中规定的标准执行，在中标通知书发出后合同签订前向采购代理机构缴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西安市自然资源和规划局高陵分局</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西安市自然资源和规划局高陵分局</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西安市自然资源和规划局高陵分局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编制成果需符合市政府、市自然资源和规划局相关文件和技术标准要求。同时成果需通过相关技术审查和行政审查。</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联系人：李昕宇、王申午</w:t>
      </w:r>
    </w:p>
    <w:p>
      <w:pPr>
        <w:pStyle w:val="null3"/>
      </w:pPr>
      <w:r>
        <w:rPr>
          <w:rFonts w:ascii="仿宋_GB2312" w:hAnsi="仿宋_GB2312" w:cs="仿宋_GB2312" w:eastAsia="仿宋_GB2312"/>
        </w:rPr>
        <w:t>联系电话：029-88228899-638</w:t>
      </w:r>
    </w:p>
    <w:p>
      <w:pPr>
        <w:pStyle w:val="null3"/>
      </w:pPr>
      <w:r>
        <w:rPr>
          <w:rFonts w:ascii="仿宋_GB2312" w:hAnsi="仿宋_GB2312" w:cs="仿宋_GB2312" w:eastAsia="仿宋_GB2312"/>
        </w:rPr>
        <w:t>地址：陕西省西安市高新区太白南路181号A座A区501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本项目拟对西安市高陵区实施详细规划编制及相关设计服务项目进行采购，具体详见采购文件。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1,650,000.00</w:t>
      </w:r>
    </w:p>
    <w:p>
      <w:pPr>
        <w:pStyle w:val="null3"/>
      </w:pPr>
      <w:r>
        <w:rPr>
          <w:rFonts w:ascii="仿宋_GB2312" w:hAnsi="仿宋_GB2312" w:cs="仿宋_GB2312" w:eastAsia="仿宋_GB2312"/>
        </w:rPr>
        <w:t>采购包最高限价（元）: 1,650,000.00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r>
              <w:br/>
            </w:r>
            <w:r>
              <w:rPr>
                <w:rFonts w:ascii="仿宋_GB2312" w:hAnsi="仿宋_GB2312" w:cs="仿宋_GB2312" w:eastAsia="仿宋_GB2312"/>
              </w:rPr>
              <w:t xml:space="preserve"> 为加快推进西安全市国土空间详细规划全覆盖，结合全市重点片区详细规划编制工作，西安市资规局以功能为核心，搭建“四个层级”规划编管传导框架，具体包括市级总规、区级总规、单元详规、实施详规。其中，实施详细规划解决规划落地问题，落实上级规划底线管控传导及详细规划用地，编制内容包括明确地块边界、确定技术指标、布局配套设施、提出城市设计四个方面，编制成果包括规划图则、说明书、建设意向方案、空间模型效果图等技术文件和数据库。</w:t>
            </w:r>
            <w:r>
              <w:br/>
            </w:r>
            <w:r>
              <w:rPr>
                <w:rFonts w:ascii="仿宋_GB2312" w:hAnsi="仿宋_GB2312" w:cs="仿宋_GB2312" w:eastAsia="仿宋_GB2312"/>
              </w:rPr>
              <w:t xml:space="preserve"> 二、服务内容（包括工作区域、工作内容等）</w:t>
            </w:r>
            <w:r>
              <w:br/>
            </w:r>
            <w:r>
              <w:rPr>
                <w:rFonts w:ascii="仿宋_GB2312" w:hAnsi="仿宋_GB2312" w:cs="仿宋_GB2312" w:eastAsia="仿宋_GB2312"/>
              </w:rPr>
              <w:t xml:space="preserve"> 规划编制范围为西安市高陵区城镇开发边界范围内，具体范围可结合实际，具体确定一个或多个地块，提请审批前，应参照单元详细规划管控一张图的审查要求，履行技术审查和行政审查程序。方案行政批准后应及时报市资源规划局备案，纳入国土空间规划“一张图”实施监督信息系统进行成果管理。</w:t>
            </w:r>
            <w:r>
              <w:br/>
            </w:r>
            <w:r>
              <w:rPr>
                <w:rFonts w:ascii="仿宋_GB2312" w:hAnsi="仿宋_GB2312" w:cs="仿宋_GB2312" w:eastAsia="仿宋_GB2312"/>
              </w:rPr>
              <w:t xml:space="preserve"> 规划编制类型包含地块实施详细规划、规划条件、规划用地布局研究报告、规划研究以及其他相关规划。</w:t>
            </w:r>
            <w:r>
              <w:br/>
            </w:r>
            <w:r>
              <w:rPr>
                <w:rFonts w:ascii="仿宋_GB2312" w:hAnsi="仿宋_GB2312" w:cs="仿宋_GB2312" w:eastAsia="仿宋_GB2312"/>
              </w:rPr>
              <w:t xml:space="preserve"> 三、技术要求（如有，一般适合于技术服务项目）</w:t>
            </w:r>
            <w:r>
              <w:br/>
            </w:r>
            <w:r>
              <w:rPr>
                <w:rFonts w:ascii="仿宋_GB2312" w:hAnsi="仿宋_GB2312" w:cs="仿宋_GB2312" w:eastAsia="仿宋_GB2312"/>
              </w:rPr>
              <w:t xml:space="preserve"> 编制成果需满足《西安市国土空间城镇开发边界内详细规划编制审批管理实施监督暂行规定》（市政办〔2024〕34号）、《西安市编制国土空间详细规划组织管理实施方案》（市政办发〔2025〕68号）等文件中关于实施详细规划、规划条件等内容的相关要求，同时需满足市资源规划局对实施详细规划编制相关技术要求。</w:t>
            </w:r>
            <w:r>
              <w:br/>
            </w:r>
            <w:r>
              <w:rPr>
                <w:rFonts w:ascii="仿宋_GB2312" w:hAnsi="仿宋_GB2312" w:cs="仿宋_GB2312" w:eastAsia="仿宋_GB2312"/>
              </w:rPr>
              <w:t xml:space="preserve"> 四、服务要求（如对人员配置、专业设备、服务标准等）</w:t>
            </w:r>
            <w:r>
              <w:br/>
            </w:r>
            <w:r>
              <w:rPr>
                <w:rFonts w:ascii="仿宋_GB2312" w:hAnsi="仿宋_GB2312" w:cs="仿宋_GB2312" w:eastAsia="仿宋_GB2312"/>
              </w:rPr>
              <w:t xml:space="preserve"> 了解高陵区现实及高陵区国土空间规划编制情况、规划编制经验丰富。</w:t>
            </w:r>
            <w:r>
              <w:br/>
            </w:r>
            <w:r>
              <w:rPr>
                <w:rFonts w:ascii="仿宋_GB2312" w:hAnsi="仿宋_GB2312" w:cs="仿宋_GB2312" w:eastAsia="仿宋_GB2312"/>
              </w:rPr>
              <w:t xml:space="preserve"> 五、商务要求（如服务期限、款项结算等）</w:t>
            </w:r>
            <w:r>
              <w:br/>
            </w:r>
            <w:r>
              <w:rPr>
                <w:rFonts w:ascii="仿宋_GB2312" w:hAnsi="仿宋_GB2312" w:cs="仿宋_GB2312" w:eastAsia="仿宋_GB2312"/>
              </w:rPr>
              <w:t xml:space="preserve"> （一）服务期限</w:t>
            </w:r>
            <w:r>
              <w:br/>
            </w:r>
            <w:r>
              <w:rPr>
                <w:rFonts w:ascii="仿宋_GB2312" w:hAnsi="仿宋_GB2312" w:cs="仿宋_GB2312" w:eastAsia="仿宋_GB2312"/>
              </w:rPr>
              <w:t xml:space="preserve"> 自合同签订之日起至2025年12月31日。</w:t>
            </w:r>
            <w:r>
              <w:br/>
            </w:r>
            <w:r>
              <w:rPr>
                <w:rFonts w:ascii="仿宋_GB2312" w:hAnsi="仿宋_GB2312" w:cs="仿宋_GB2312" w:eastAsia="仿宋_GB2312"/>
              </w:rPr>
              <w:t xml:space="preserve"> （二）款项结算</w:t>
            </w:r>
            <w:r>
              <w:br/>
            </w:r>
            <w:r>
              <w:rPr>
                <w:rFonts w:ascii="仿宋_GB2312" w:hAnsi="仿宋_GB2312" w:cs="仿宋_GB2312" w:eastAsia="仿宋_GB2312"/>
              </w:rPr>
              <w:t xml:space="preserve"> 项目结算按照每个项目单价、双方确认实际工作量及完成阶段，按照每半年完成工作结算一次。付款前乙方应向甲方提供合法有效的含税增值税普通发票。由乙方统计实际完成项目数量及完成阶段，并形成书面文件提交给甲方进行结算。据实结算累计金额不超出成交供应商最终报价。</w:t>
            </w:r>
            <w:r>
              <w:br/>
            </w:r>
            <w:r>
              <w:rPr>
                <w:rFonts w:ascii="仿宋_GB2312" w:hAnsi="仿宋_GB2312" w:cs="仿宋_GB2312" w:eastAsia="仿宋_GB2312"/>
              </w:rPr>
              <w:t xml:space="preserve"> 六、其他（如有要求，请写明）</w:t>
            </w:r>
            <w:r>
              <w:br/>
            </w:r>
            <w:r>
              <w:rPr>
                <w:rFonts w:ascii="仿宋_GB2312" w:hAnsi="仿宋_GB2312" w:cs="仿宋_GB2312" w:eastAsia="仿宋_GB2312"/>
              </w:rPr>
              <w:t xml:space="preserve"> （一）成果交付要求</w:t>
            </w:r>
            <w:r>
              <w:br/>
            </w:r>
            <w:r>
              <w:rPr>
                <w:rFonts w:ascii="仿宋_GB2312" w:hAnsi="仿宋_GB2312" w:cs="仿宋_GB2312" w:eastAsia="仿宋_GB2312"/>
              </w:rPr>
              <w:t xml:space="preserve"> 按照宗地需要，出具相关成果，成果包含设计图册和电子文件。</w:t>
            </w:r>
            <w:r>
              <w:br/>
            </w:r>
            <w:r>
              <w:rPr>
                <w:rFonts w:ascii="仿宋_GB2312" w:hAnsi="仿宋_GB2312" w:cs="仿宋_GB2312" w:eastAsia="仿宋_GB2312"/>
              </w:rPr>
              <w:t xml:space="preserve"> （二）质量验收标准或规范</w:t>
            </w:r>
            <w:r>
              <w:br/>
            </w:r>
            <w:r>
              <w:rPr>
                <w:rFonts w:ascii="仿宋_GB2312" w:hAnsi="仿宋_GB2312" w:cs="仿宋_GB2312" w:eastAsia="仿宋_GB2312"/>
              </w:rPr>
              <w:t xml:space="preserve"> 编制成果需符合市政府、市自然资源和规划局相关文件和技术标准要求。同时成果需通过相关技术审查和行政审查。</w:t>
            </w:r>
            <w:r>
              <w:br/>
            </w:r>
            <w:r>
              <w:rPr>
                <w:rFonts w:ascii="仿宋_GB2312" w:hAnsi="仿宋_GB2312" w:cs="仿宋_GB2312" w:eastAsia="仿宋_GB2312"/>
              </w:rPr>
              <w:t xml:space="preserve"> （三）违约责任</w:t>
            </w:r>
            <w:r>
              <w:br/>
            </w:r>
            <w:r>
              <w:rPr>
                <w:rFonts w:ascii="仿宋_GB2312" w:hAnsi="仿宋_GB2312" w:cs="仿宋_GB2312" w:eastAsia="仿宋_GB2312"/>
              </w:rPr>
              <w:t xml:space="preserve"> 一般与合同款项的支付相关，注意不要超出《民法典》中对于违约的责任上限。</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编制成果需符合市政府、市自然资源和规划局相关文件和技术标准要求。同时成果需通过相关技术审查和行政审查。</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1.违约责任：依据采购合同执行； 2.争议解决向向西安仲裁委员会提请仲裁。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其他未列明行业。划分标准：从业人员300人以下的为中小微型企业。其中，从业人员100人及以上的为中型企业;从业人员10人及以上的为小型企业;从业人员10人以下的为微型企业。 2. 2.需要落实的政府采购政策：1）《国务院办公厅关于建立政府强制采购节能产品制度的通知》（国办发〔2007〕51号）；2）《财政部司法部关于政府采购支持监狱企业发展有关问题的通知》（财库〔2014〕68号）；3） 《三部门联合发布关于促进残疾人就业政府采购政策的通知》（财库〔2017〕141号）；4）《财政部 发展改革委生态环境部市场监管总局关于调整优化节能产品、环境标志产品政府采购执行机制的通知》（财库〔2019〕9号）；5）《关于运用政府采购政策支持乡村产业振兴的通知》（财库〔2021〕19号）；6）《政府采购促进中小企业发展管理办法》（财库 〔2020〕46号）；7）陕西省财政厅关于印发《陕西省中小企业政府采购信用融资办法》（陕财办采〔2018〕23号）；8） 《关于进一步加大政府采购支持中小企业力度的通知》（财库〔2022〕19号）；9）《关于扩大政府采购支持绿色建材促进建筑品质提升政策实施范围的通知》（财库〔2022〕35号）。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格式.docx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中小企业声明函 残疾人福利性单位声明函 标的清单 报价表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格式.docx 中小企业声明函 残疾人福利性单位声明函 标的清单 报价表 响应函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中华人民共和国境内注册，具有独立承担民事责任能力的法人、其他组织，提供营业执照（或事业法人证或统一社会信用代码的营业执照等），自然人提供身份证明。</w:t>
            </w:r>
          </w:p>
        </w:tc>
        <w:tc>
          <w:tcPr>
            <w:tcW w:type="dxa" w:w="1661"/>
          </w:tcPr>
          <w:p>
            <w:pPr>
              <w:pStyle w:val="null3"/>
            </w:pPr>
            <w:r>
              <w:rPr>
                <w:rFonts w:ascii="仿宋_GB2312" w:hAnsi="仿宋_GB2312" w:cs="仿宋_GB2312" w:eastAsia="仿宋_GB2312"/>
              </w:rPr>
              <w:t>格式.docx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投标人在本项目投标文件递交截止时间前六个月内任意一个月的税收缴纳凭证及社会保险缴纳的凭证。依法免税或不需要缴纳社会保障资金的投标人，应提供相应文件证明其依法免税或不需要缴纳社会保障资金。</w:t>
            </w:r>
          </w:p>
        </w:tc>
        <w:tc>
          <w:tcPr>
            <w:tcW w:type="dxa" w:w="1661"/>
          </w:tcPr>
          <w:p>
            <w:pPr>
              <w:pStyle w:val="null3"/>
            </w:pPr>
            <w:r>
              <w:rPr>
                <w:rFonts w:ascii="仿宋_GB2312" w:hAnsi="仿宋_GB2312" w:cs="仿宋_GB2312" w:eastAsia="仿宋_GB2312"/>
              </w:rPr>
              <w:t>格式.docx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投标人提供2024年度经审计的财务审计报告（事业法人可提供部门决算报告）；或提供投标人开户银行出具的资信证明；或提供专业担保机构出具的投标担保函。</w:t>
            </w:r>
          </w:p>
        </w:tc>
        <w:tc>
          <w:tcPr>
            <w:tcW w:type="dxa" w:w="1661"/>
          </w:tcPr>
          <w:p>
            <w:pPr>
              <w:pStyle w:val="null3"/>
            </w:pPr>
            <w:r>
              <w:rPr>
                <w:rFonts w:ascii="仿宋_GB2312" w:hAnsi="仿宋_GB2312" w:cs="仿宋_GB2312" w:eastAsia="仿宋_GB2312"/>
              </w:rPr>
              <w:t>格式.docx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其中：重大违法记录是指投标人因违法经营受到刑事处罚或者责令停产停业、吊销许可证或者执照、较大数额罚款等行政处罚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格式.docx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w:t>
            </w:r>
          </w:p>
        </w:tc>
        <w:tc>
          <w:tcPr>
            <w:tcW w:type="dxa" w:w="1661"/>
          </w:tcPr>
          <w:p>
            <w:pPr>
              <w:pStyle w:val="null3"/>
            </w:pPr>
            <w:r>
              <w:rPr>
                <w:rFonts w:ascii="仿宋_GB2312" w:hAnsi="仿宋_GB2312" w:cs="仿宋_GB2312" w:eastAsia="仿宋_GB2312"/>
              </w:rPr>
              <w:t>格式.docx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供应商具有有效的城乡规划编制（国土空间规划）乙级及以上资质证书。</w:t>
            </w:r>
          </w:p>
        </w:tc>
        <w:tc>
          <w:tcPr>
            <w:tcW w:type="dxa" w:w="1661"/>
          </w:tcPr>
          <w:p>
            <w:pPr>
              <w:pStyle w:val="null3"/>
            </w:pPr>
            <w:r>
              <w:rPr>
                <w:rFonts w:ascii="仿宋_GB2312" w:hAnsi="仿宋_GB2312" w:cs="仿宋_GB2312" w:eastAsia="仿宋_GB2312"/>
              </w:rPr>
              <w:t>格式.docx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供应商信用状况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投标人，不得为中国政府采购网（www.ccgp.gov.cn）政府采购严重违法失信行为记录名单中被财政部门禁止参加政府采购活动的供应商。以开标后网站查询结果为准。</w:t>
            </w:r>
          </w:p>
        </w:tc>
        <w:tc>
          <w:tcPr>
            <w:tcW w:type="dxa" w:w="1661"/>
          </w:tcPr>
          <w:p>
            <w:pPr>
              <w:pStyle w:val="null3"/>
            </w:pPr>
            <w:r>
              <w:rPr>
                <w:rFonts w:ascii="仿宋_GB2312" w:hAnsi="仿宋_GB2312" w:cs="仿宋_GB2312" w:eastAsia="仿宋_GB2312"/>
              </w:rPr>
              <w:t>格式.docx 中小企业声明函 残疾人福利性单位声明函 标的清单 报价表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格式.docx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格式.docx 中小企业声明函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响应文件签署、签章</w:t>
            </w:r>
          </w:p>
        </w:tc>
        <w:tc>
          <w:tcPr>
            <w:tcW w:type="dxa" w:w="3322"/>
          </w:tcPr>
          <w:p>
            <w:pPr>
              <w:pStyle w:val="null3"/>
            </w:pPr>
            <w:r>
              <w:rPr>
                <w:rFonts w:ascii="仿宋_GB2312" w:hAnsi="仿宋_GB2312" w:cs="仿宋_GB2312" w:eastAsia="仿宋_GB2312"/>
              </w:rPr>
              <w:t>响应文件签署、盖章均按竞争性磋商文件要求签字、盖章</w:t>
            </w:r>
          </w:p>
        </w:tc>
        <w:tc>
          <w:tcPr>
            <w:tcW w:type="dxa" w:w="1661"/>
          </w:tcPr>
          <w:p>
            <w:pPr>
              <w:pStyle w:val="null3"/>
            </w:pPr>
            <w:r>
              <w:rPr>
                <w:rFonts w:ascii="仿宋_GB2312" w:hAnsi="仿宋_GB2312" w:cs="仿宋_GB2312" w:eastAsia="仿宋_GB2312"/>
              </w:rPr>
              <w:t>格式.docx 中小企业声明函 残疾人福利性单位声明函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报价唯一，且没有高于采购预算或竞争性磋商文件规定的最高限价</w:t>
            </w:r>
          </w:p>
        </w:tc>
        <w:tc>
          <w:tcPr>
            <w:tcW w:type="dxa" w:w="1661"/>
          </w:tcPr>
          <w:p>
            <w:pPr>
              <w:pStyle w:val="null3"/>
            </w:pPr>
            <w:r>
              <w:rPr>
                <w:rFonts w:ascii="仿宋_GB2312" w:hAnsi="仿宋_GB2312" w:cs="仿宋_GB2312" w:eastAsia="仿宋_GB2312"/>
              </w:rPr>
              <w:t>格式.docx 中小企业声明函 残疾人福利性单位声明函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格式.docx 中小企业声明函 残疾人福利性单位声明函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格式.docx 中小企业声明函 残疾人福利性单位声明函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格式.docx 中小企业声明函 残疾人福利性单位声明函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项目背景及编制基础分析</w:t>
            </w:r>
          </w:p>
        </w:tc>
        <w:tc>
          <w:tcPr>
            <w:tcW w:type="dxa" w:w="2492"/>
          </w:tcPr>
          <w:p>
            <w:pPr>
              <w:pStyle w:val="null3"/>
            </w:pPr>
            <w:r>
              <w:rPr>
                <w:rFonts w:ascii="仿宋_GB2312" w:hAnsi="仿宋_GB2312" w:cs="仿宋_GB2312" w:eastAsia="仿宋_GB2312"/>
              </w:rPr>
              <w:t>内容至少包括①项目背景及相关政策解读；②区域现状概况、 现状解读与分析；③专业资料搜集与整理；④项目前期勘察工作方案。 评审标准：1、完整性：内容全面，对评审内容中的各项要求有详细描述。 2、针对性：内容能够紧扣项目实际情况，内容科学合理。 3、可实施性：切合本项目实际情况，提出步骤清晰、合理的内容。 每完全满足一个评审标准得1分；针对评审标准存在不合理处的得0.5分；内容与本项目无关或未提供的得0分。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项目相关文件、规划解读</w:t>
            </w:r>
          </w:p>
        </w:tc>
        <w:tc>
          <w:tcPr>
            <w:tcW w:type="dxa" w:w="2492"/>
          </w:tcPr>
          <w:p>
            <w:pPr>
              <w:pStyle w:val="null3"/>
            </w:pPr>
            <w:r>
              <w:rPr>
                <w:rFonts w:ascii="仿宋_GB2312" w:hAnsi="仿宋_GB2312" w:cs="仿宋_GB2312" w:eastAsia="仿宋_GB2312"/>
              </w:rPr>
              <w:t>内容至少包括①最新政策、法律法规、技术标准文件解读；② 土地用途与指标控制要求；③上位规划内容准确传导。 评审标准：1、完整性：内容全面，对评审内容中的各项要求有详细描述。 2、针对性：内容能够紧扣项目实际情况，内容科学合理。 3、可实施性：切合本项目实际情况，提出步骤清晰、合理的内容。 每完全满足一个评审标准得1分；针对评审标准存在不合理处的得0.5分；内容与本项目无关或未提供的得0分。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项目编制思路与规划方案</w:t>
            </w:r>
          </w:p>
        </w:tc>
        <w:tc>
          <w:tcPr>
            <w:tcW w:type="dxa" w:w="2492"/>
          </w:tcPr>
          <w:p>
            <w:pPr>
              <w:pStyle w:val="null3"/>
            </w:pPr>
            <w:r>
              <w:rPr>
                <w:rFonts w:ascii="仿宋_GB2312" w:hAnsi="仿宋_GB2312" w:cs="仿宋_GB2312" w:eastAsia="仿宋_GB2312"/>
              </w:rPr>
              <w:t>内容至少包括①编制思路及技术路线；②详则相关指标分析；③项目重点难点分析；④规划方案分析。 评审标准：1、完整性：内容全面，对评审内容中的各项要求有详细描述。 2、针对性：内容能够紧扣项目实际情况，内容科学合理。 3、可实施性：切合本项目实际情况，提出步骤清晰、合理的内容。 每完全满足一个评审标准得1分；针对评审标准存在不合理处的得0.5分；内容与本项目无关或未提供的得0分。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规划成果示意</w:t>
            </w:r>
          </w:p>
        </w:tc>
        <w:tc>
          <w:tcPr>
            <w:tcW w:type="dxa" w:w="2492"/>
          </w:tcPr>
          <w:p>
            <w:pPr>
              <w:pStyle w:val="null3"/>
            </w:pPr>
            <w:r>
              <w:rPr>
                <w:rFonts w:ascii="仿宋_GB2312" w:hAnsi="仿宋_GB2312" w:cs="仿宋_GB2312" w:eastAsia="仿宋_GB2312"/>
              </w:rPr>
              <w:t>内容至少包括①成果内容；② 成果质量；③制图规范；④数据库搭建要素。 评审标准：1、完整性：内容全面，对评审内容中的各项要求有详细描述。 2、针对性：内容能够紧扣项目实际情况，内容科学合理。 3、可实施性：切合本项目实际情况，提出步骤清晰、合理的内容。 每完全满足一个评审标准得1分；针对评审标准存在不合理处的得0.5分；内容与本项目无关或未提供的得0分。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内容至少包括①提供合理的工作计划及时间节点；②具体工作 进度的保障措施；③突发状况的应急预案。 评审标准：1、完整性：内容全面，对评审内容中的各项要求有详细描述。 2、针对性：内容能够紧扣项目实际情况，内容科学合理。 3、可实施性：切合本项目实际情况，提出步骤清晰、合理的内容。 每完全满足一个评审标准得1分；针对评审标准存在不合理处的得0.5分；内容与本项目无关或未提供的得0分。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项目负责人同时具有相关专业高级及以上职称、国家注册规划师资格得5分，不满足的不得分。（需提供身份证、毕业证、职称证、注册证书等复印件或扫描件，并提供在本单位任职的证明材料）。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拟配备团队人员</w:t>
            </w:r>
          </w:p>
        </w:tc>
        <w:tc>
          <w:tcPr>
            <w:tcW w:type="dxa" w:w="2492"/>
          </w:tcPr>
          <w:p>
            <w:pPr>
              <w:pStyle w:val="null3"/>
            </w:pPr>
            <w:r>
              <w:rPr>
                <w:rFonts w:ascii="仿宋_GB2312" w:hAnsi="仿宋_GB2312" w:cs="仿宋_GB2312" w:eastAsia="仿宋_GB2312"/>
              </w:rPr>
              <w:t>项目组人员配置及分工合理，拟派本项目组人员（不包括项目负责人）具有注册城乡规划师资格或城乡规划相关专业高级职称的，每提供一个得2分；具有城乡规划相关专业中级职称的，每提供一个得1分，最高得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内容至少包括①服务质量目标分析；②针对本项目质量管理制 度；③内部管控流程。 评审标准：1、完整性：内容全面，对评审内容中的各项要求有详细描述。 2、针对性：内容能够紧扣项目实际情况，内容科学合理。 3、可实施性：切合本项目实际情况，提出步骤清晰、合理的内容。 每完全满足一个评审标准得1分；针对评审标准存在不合理处的得0.5分；内容与本项目无关或未提供的得0分。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内容至少包括①承诺对于一般技术问题能当时解决、对于重要技术问题和关键性技术问题能及时给予解决，能提供现场技术咨询服务等内容；②廉洁从业的承诺；③未能完全履行承诺时的相关处罚承诺等。 1、承诺详细、具体，可行性强，得5分； 2、承诺较为详细，有可行性，得3分； 3、承诺可行性不合理，得1分；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供应商提供2022年1月至今的类似项目业绩，每提供一份得1分，满分5分，未提供不得分。业绩证明（以合同或中标通知书为准，须在投标文件中附合同或中标通知书的扫描件或复印件并加盖单位公章。）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报价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