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版本号：ZYZB-2025-1109G20251209001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2024年王家滩一事一议破损路修复项目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ZYZB-2025-1109G</w:t>
      </w:r>
      <w:r>
        <w:br/>
      </w:r>
      <w:r>
        <w:br/>
      </w:r>
      <w:r>
        <w:br/>
      </w:r>
    </w:p>
    <w:p>
      <w:pPr>
        <w:pStyle w:val="null3"/>
        <w:jc w:val="center"/>
        <w:outlineLvl w:val="2"/>
      </w:pPr>
      <w:r>
        <w:rPr>
          <w:rFonts w:ascii="仿宋_GB2312" w:hAnsi="仿宋_GB2312" w:cs="仿宋_GB2312" w:eastAsia="仿宋_GB2312"/>
          <w:sz w:val="28"/>
          <w:b/>
        </w:rPr>
        <w:t>西安市高陵区耿镇街道办事处</w:t>
      </w:r>
    </w:p>
    <w:p>
      <w:pPr>
        <w:pStyle w:val="null3"/>
        <w:jc w:val="center"/>
        <w:outlineLvl w:val="2"/>
      </w:pPr>
      <w:r>
        <w:rPr>
          <w:rFonts w:ascii="仿宋_GB2312" w:hAnsi="仿宋_GB2312" w:cs="仿宋_GB2312" w:eastAsia="仿宋_GB2312"/>
          <w:sz w:val="28"/>
          <w:b/>
        </w:rPr>
        <w:t>中扬国际项目管理有限公司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中扬国际项目管理有限公司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西安市高陵区耿镇街道办事处</w:t>
      </w:r>
      <w:r>
        <w:rPr>
          <w:rFonts w:ascii="仿宋_GB2312" w:hAnsi="仿宋_GB2312" w:cs="仿宋_GB2312" w:eastAsia="仿宋_GB2312"/>
        </w:rPr>
        <w:t>委托，拟对</w:t>
      </w:r>
      <w:r>
        <w:rPr>
          <w:rFonts w:ascii="仿宋_GB2312" w:hAnsi="仿宋_GB2312" w:cs="仿宋_GB2312" w:eastAsia="仿宋_GB2312"/>
        </w:rPr>
        <w:t>2024年王家滩一事一议破损路修复项目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ZYZB-2025-1109G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2024年王家滩一事一议破损路修复项目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耿镇街道2024年王家滩一事一议破损路修复项目是为了修补王家滩村三、十一组主干道破损路面并解决无排水系统问题实施的项目。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 年王家滩一事一议破损路修复项目）：属于专门面向中小企业采购。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pPr>
      <w:r>
        <w:rPr>
          <w:rFonts w:ascii="仿宋_GB2312" w:hAnsi="仿宋_GB2312" w:cs="仿宋_GB2312" w:eastAsia="仿宋_GB2312"/>
        </w:rPr>
        <w:t>3、企业资质：供应商须具备建设行政主管部门颁发的市政公用工程施工总承包三级及以上资质，且具有有效的安全生产许可证。</w:t>
      </w:r>
    </w:p>
    <w:p>
      <w:pPr>
        <w:pStyle w:val="null3"/>
      </w:pPr>
      <w:r>
        <w:rPr>
          <w:rFonts w:ascii="仿宋_GB2312" w:hAnsi="仿宋_GB2312" w:cs="仿宋_GB2312" w:eastAsia="仿宋_GB2312"/>
        </w:rPr>
        <w:t>4、项目负责人：拟派项目负责人具有市政公用工程专业二级以上（含二级）注册建造师资格及有效的安全生产考核合格证书，且无其他在建项目（提供无在建工程的承诺函）。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西安市高陵区耿镇街道办事处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西安市高陵区耿镇街道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张战利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029-86060010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中扬国际项目管理有限公司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陕西省西安市未央区百寰国际10楼1001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18991873656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采购包1：941,574.14元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西安市高陵区耿镇街道办事处</w:t>
      </w:r>
      <w:r>
        <w:rPr>
          <w:rFonts w:ascii="仿宋_GB2312" w:hAnsi="仿宋_GB2312" w:cs="仿宋_GB2312" w:eastAsia="仿宋_GB2312"/>
        </w:rPr>
        <w:t>和</w:t>
      </w:r>
      <w:r>
        <w:rPr>
          <w:rFonts w:ascii="仿宋_GB2312" w:hAnsi="仿宋_GB2312" w:cs="仿宋_GB2312" w:eastAsia="仿宋_GB2312"/>
        </w:rPr>
        <w:t>中扬国际项目管理有限公司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西安市高陵区耿镇街道办事处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中扬国际项目管理有限公司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西安市高陵区耿镇街道办事处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中扬国际项目管理有限公司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联系人：朱鑫</w:t>
      </w:r>
    </w:p>
    <w:p>
      <w:pPr>
        <w:pStyle w:val="null3"/>
      </w:pPr>
      <w:r>
        <w:rPr>
          <w:rFonts w:ascii="仿宋_GB2312" w:hAnsi="仿宋_GB2312" w:cs="仿宋_GB2312" w:eastAsia="仿宋_GB2312"/>
        </w:rPr>
        <w:t>联系电话：18991873656</w:t>
      </w:r>
    </w:p>
    <w:p>
      <w:pPr>
        <w:pStyle w:val="null3"/>
      </w:pPr>
      <w:r>
        <w:rPr>
          <w:rFonts w:ascii="仿宋_GB2312" w:hAnsi="仿宋_GB2312" w:cs="仿宋_GB2312" w:eastAsia="仿宋_GB2312"/>
        </w:rPr>
        <w:t>地址：西安市未央区太华北路百寰国际10楼1001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941,574.14</w:t>
      </w:r>
    </w:p>
    <w:p>
      <w:pPr>
        <w:pStyle w:val="null3"/>
      </w:pPr>
      <w:r>
        <w:rPr>
          <w:rFonts w:ascii="仿宋_GB2312" w:hAnsi="仿宋_GB2312" w:cs="仿宋_GB2312" w:eastAsia="仿宋_GB2312"/>
        </w:rPr>
        <w:t>采购包最高限价（元）: 941,574.14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2024年王家滩一事一议破损路修复项目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941,574.14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标的名称：2024年王家滩一事一议破损路修复项目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(一)工程内容:本项目主要修补王家滩村三、十一组主干道破损路面并解决无排水系统问题；</w:t>
            </w:r>
            <w:r>
              <w:br/>
            </w:r>
            <w:r>
              <w:rPr>
                <w:rFonts w:ascii="仿宋_GB2312" w:hAnsi="仿宋_GB2312" w:cs="仿宋_GB2312" w:eastAsia="仿宋_GB2312"/>
                <w:sz w:val="24"/>
              </w:rPr>
              <w:t>(二)工程地点:王家滩村三、十一组；</w:t>
            </w:r>
            <w:r>
              <w:br/>
            </w:r>
            <w:r>
              <w:rPr>
                <w:rFonts w:ascii="仿宋_GB2312" w:hAnsi="仿宋_GB2312" w:cs="仿宋_GB2312" w:eastAsia="仿宋_GB2312"/>
                <w:sz w:val="24"/>
              </w:rPr>
              <w:t>(三)计划工期:自合同签订之日起30天内完成；</w:t>
            </w:r>
            <w:r>
              <w:br/>
            </w:r>
            <w:r>
              <w:rPr>
                <w:rFonts w:ascii="仿宋_GB2312" w:hAnsi="仿宋_GB2312" w:cs="仿宋_GB2312" w:eastAsia="仿宋_GB2312"/>
                <w:sz w:val="24"/>
              </w:rPr>
              <w:t>(四)缺陷责任期：2年；</w:t>
            </w:r>
            <w:r>
              <w:rPr>
                <w:rFonts w:ascii="仿宋_GB2312" w:hAnsi="仿宋_GB2312" w:cs="仿宋_GB2312" w:eastAsia="仿宋_GB2312"/>
                <w:sz w:val="24"/>
              </w:rPr>
              <w:t>质量保修期:2年；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工程量清单及电子招标书：详见附件。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1、施工要求：在施工期间，供应商必须注意院内人员安全，加强安全措施，并对施工人员进行安全教育，施工人员必须持证上岗。2、付款方式：自合同生效之日起，支付预付款 ，达到付款条件起 15 日内，支付合同总金额的40.00%；工程完工后，经验收合格，无任何质量问题 ，达到付款条件起 15 日内，支付合同总金额的 57.00%；验收合格两年后，无任何质量问题 ，达到付款条件起 15 日内，支付合同总金额的 3.00%。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六个月内任意一个月已缴纳的纳税证明或完税证明（增值税、营业税、企业所得税至少提供一种）,依法免税的供应商应提供相关证明文件；社保缴纳证明：提供响应文件提交截止时间前六个月内任意一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具有良好的商业信誉和健全的财务会计制度：提供经会计师事务所审计的2024年度财务审计报告，或开标前三个月内企业基本开户银行出具的资信证明（附开户许可证或基本存款账户信息）。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供应商资格证明材料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拟派项目负责人具有市政公用工程专业二级以上（含二级）注册建造师资格及有效的安全生产考核合格证书，且无其他在建项目（提供无在建工程的承诺函）。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供应商资格证明材料 项目团队</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技术要求响应偏离表 残疾人福利性单位声明函 响应报价表 报价函 标的清单 商务要求及其他要求响应偏离表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满足采购需求</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报价未超过磋商文件要求的最高限价</w:t>
            </w:r>
          </w:p>
        </w:tc>
        <w:tc>
          <w:tcPr>
            <w:tcW w:type="dxa" w:w="1661"/>
          </w:tcPr>
          <w:p>
            <w:pPr>
              <w:pStyle w:val="null3"/>
            </w:pPr>
            <w:r>
              <w:rPr>
                <w:rFonts w:ascii="仿宋_GB2312" w:hAnsi="仿宋_GB2312" w:cs="仿宋_GB2312" w:eastAsia="仿宋_GB2312"/>
              </w:rPr>
              <w:t>响应报价表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满足本磋商文件中标注的实质性条款（工期、工程地点、支付方式、支付约定等）要求的</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技术要求响应偏离表 残疾人福利性单位声明函 响应报价表 报价函 标的清单 商务要求及其他要求响应偏离表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技术要求响应偏离表 残疾人福利性单位声明函 响应报价表 报价函 标的清单 商务要求及其他要求响应偏离表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施工方案进行打分:①施工技术措施；②组织结构；③保障措施；④应急预案。上述内容有针对性的措施且内容完整的得12分，每缺1项内容扣3分，每有1处不合理或有瑕疵扣1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施工重点难点分析进行打分：①施工组织设计内容；②施工组织设计重点部位；③重点结构施工方案；④对重点施工工艺；⑤对重点施工环节。上述内容有针对性的措施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1、拟派项目经理具备高级及以上职称证书，得2分，中级职称证书得1分，其余情况不得分。 2、拟派技术负责人具备高级及以上职称证书，得2分，中级职称证书得1分，其余情况不得分。 3、对拟派本项目其余人员(不含项目经理和技术负责人)进行评分，拟投入人员须是具备施工员、质检员、安全员、资料员、材料人员证书，具有岗位证且在有效期，提供人员证书齐全的得5分，否则不得分。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的确保工程质量的技术组织措施进行打分：①质量管理措施；②规章制度；③岗位职责；④质量管理目标。措施科学合理且内容完整的得6分，每缺1项内容扣1.5分，每有1处不合理或有瑕扣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根据供应商提供的确保安全生产的技术组织措施进行打分：①安全管理规定；②安全管理体系；③安全教育；④安全培训计划。 措施科学合理且内容完整的得4分，每缺1项内容扣1分，每有1处不台理或有瑕扣0.5分。未提供的不得分。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根据供应商提供的确保文明施工的技术组织措施进行打分：①文明施工计划；②关键环节控制措施。措施科学合理且内容完整的得4分，每缺1项内容扣2分，每有1处不合理或有瑕扣 1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根据供应商提供的确保工期的技术组织措施进行打分：①总进度计划；②分阶段进度计划；③规章制度；④奖惩措施；⑤工序安排等。措施科学合理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拟投入的主要物资计划</w:t>
            </w:r>
          </w:p>
        </w:tc>
        <w:tc>
          <w:tcPr>
            <w:tcW w:type="dxa" w:w="2492"/>
          </w:tcPr>
          <w:p>
            <w:pPr>
              <w:pStyle w:val="null3"/>
            </w:pPr>
            <w:r>
              <w:rPr>
                <w:rFonts w:ascii="仿宋_GB2312" w:hAnsi="仿宋_GB2312" w:cs="仿宋_GB2312" w:eastAsia="仿宋_GB2312"/>
              </w:rPr>
              <w:t>根据供应商提供的拟投入的主要物资计划进行打分：①资源配备计划；②物资清单。计划科学合理且内容完整的得4分，每缺1项内容扣2分，每有1处不合理或有瑕扣1分。未提供的不得分。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拟投入的主要施工机械计划</w:t>
            </w:r>
          </w:p>
        </w:tc>
        <w:tc>
          <w:tcPr>
            <w:tcW w:type="dxa" w:w="2492"/>
          </w:tcPr>
          <w:p>
            <w:pPr>
              <w:pStyle w:val="null3"/>
            </w:pPr>
            <w:r>
              <w:rPr>
                <w:rFonts w:ascii="仿宋_GB2312" w:hAnsi="仿宋_GB2312" w:cs="仿宋_GB2312" w:eastAsia="仿宋_GB2312"/>
              </w:rPr>
              <w:t>根据供应商提供的拟投入的主要施工机械计划进行打分：①施工机械配备计划；②机械清单。 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根据供应商提供的劳动力安排计划进行打分：①人员配备计划；②人员清单。计划科学合理且内容完整的得4分，每缺1项内容扣2分，每有1处不合理或有瑕扣1分。未提供的不得分。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打分：①质保服务方案及承诺；②与相关部门的配合协调承诺；③优化建议。方案科学合理、满足项目要求，合理性、针对性强、服务承诺明确，计3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供应商提供2023年1月1日（以合同签订日期为准）至今承担过的类似项目的业绩合同，每提供一份计2分，满分10分。 备注：提供合同（包括合同服务内容、合同金额、合同签订日期），否则不计分。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满足磋商文件要求的有效磋商报价的最低值为评审基准价，其价格分为满分。其他响应供应商的价格分统一按照下列公式计算：磋商报价得分=（评审基准价／磋商报价）×30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详见附件：商务要求及其他要求响应偏离表</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