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版本号：HRDL-CG[2025]-010-00520250317001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旅游大道北段新建给水管网工程勘察设计项目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HRDL-CG[2025]-010-005</w:t>
      </w:r>
      <w:r>
        <w:br/>
      </w:r>
      <w:r>
        <w:br/>
      </w:r>
      <w:r>
        <w:br/>
      </w:r>
    </w:p>
    <w:p>
      <w:pPr>
        <w:pStyle w:val="null3"/>
        <w:jc w:val="center"/>
        <w:outlineLvl w:val="2"/>
      </w:pPr>
      <w:r>
        <w:rPr>
          <w:rFonts w:ascii="仿宋_GB2312" w:hAnsi="仿宋_GB2312" w:cs="仿宋_GB2312" w:eastAsia="仿宋_GB2312"/>
          <w:sz w:val="28"/>
          <w:b/>
        </w:rPr>
        <w:t>西安市高陵区水务局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西安市高陵区水务局</w:t>
      </w:r>
      <w:r>
        <w:rPr>
          <w:rFonts w:ascii="仿宋_GB2312" w:hAnsi="仿宋_GB2312" w:cs="仿宋_GB2312" w:eastAsia="仿宋_GB2312"/>
        </w:rPr>
        <w:t>委托，拟对</w:t>
      </w:r>
      <w:r>
        <w:rPr>
          <w:rFonts w:ascii="仿宋_GB2312" w:hAnsi="仿宋_GB2312" w:cs="仿宋_GB2312" w:eastAsia="仿宋_GB2312"/>
        </w:rPr>
        <w:t>旅游大道北段新建给水管网工程勘察设计项目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HRDL-CG[2025]-010-005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旅游大道北段新建给水管网工程勘察设计项目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旅游大道北段新建给水管网工程，主要建设内容为：新建dn600供水管道共10480m、dn315供水管道1200m、dn200预留管道共600m，dn160预留管道共420m，dn110预留管道及消火栓支管共700m，新建各类阀门井50座，新建室外地上式消火栓106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采购包1（旅游大道北段新建给水管网工程勘察设计项目）：属于专门面向中小企业采购。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供应商关联关系声明：①单位负责人为同一人或者存在直接控股、管理关系的不同供应商，不得参加同一合同项下的政府采购活动；②采购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特定资质要求：供应商须同时具备以下资质要求：①勘察资质：工程勘察综合甲级资质或工程勘察专业资质岩土工程（勘察）乙级（及以上）资质②设计资质：工程设计综合资质甲级或市政行业设计资质乙级及以上资质或市政行业（给水工程）专业设计资质乙级及以上资质。供应商需在项目电子化交易系统中按要求上传相应证明文件并进行电子签章；</w:t>
      </w:r>
    </w:p>
    <w:p>
      <w:pPr>
        <w:pStyle w:val="null3"/>
      </w:pPr>
      <w:r>
        <w:rPr>
          <w:rFonts w:ascii="仿宋_GB2312" w:hAnsi="仿宋_GB2312" w:cs="仿宋_GB2312" w:eastAsia="仿宋_GB2312"/>
        </w:rPr>
        <w:t>11、非联合体声明：本项目不接受联合体磋商（提供非联合体声明）；供应商需在项目电子化交易系统中按要求上传相应证明文件并进行电子签章；</w:t>
      </w:r>
    </w:p>
    <w:p>
      <w:pPr>
        <w:pStyle w:val="null3"/>
      </w:pPr>
      <w:r>
        <w:rPr>
          <w:rFonts w:ascii="仿宋_GB2312" w:hAnsi="仿宋_GB2312" w:cs="仿宋_GB2312" w:eastAsia="仿宋_GB2312"/>
        </w:rPr>
        <w:t>12、本项目为专门面向中小企业采购的采购项目：提供中小企业声明函；供应商需在项目电子化交易系统中按要求上传相应证明文件并进行电子签章；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西安市高陵区鹿祥路1212号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029-86912163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尹耕耘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西安市高陵区水务局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联系人：刘志强</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地址：陕西省西安市雁塔区凯森盛世1号A座25层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旅游大道北段新建给水管网工程，主要建设内容为：新建dn600供水管道共10480m、dn315供水管道1200m、dn200预留管道共600m，dn160预留管道共420m，dn110预留管道及消火栓支管共700m，新建各类阀门井50座，新建室外地上式消火栓106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913,000.00</w:t>
      </w:r>
    </w:p>
    <w:p>
      <w:pPr>
        <w:pStyle w:val="null3"/>
      </w:pPr>
      <w:r>
        <w:rPr>
          <w:rFonts w:ascii="仿宋_GB2312" w:hAnsi="仿宋_GB2312" w:cs="仿宋_GB2312" w:eastAsia="仿宋_GB2312"/>
        </w:rPr>
        <w:t>采购包最高限价（元）: 913,000.00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旅游大道北段新建给水管网工程勘察设计项目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标的名称：旅游大道北段新建给水管网工程勘察设计项目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80"/>
              <w:jc w:val="left"/>
            </w:pPr>
            <w:r>
              <w:rPr>
                <w:rFonts w:ascii="仿宋_GB2312" w:hAnsi="仿宋_GB2312" w:cs="仿宋_GB2312" w:eastAsia="仿宋_GB2312"/>
                <w:sz w:val="24"/>
              </w:rPr>
              <w:t>工作区域：</w:t>
            </w:r>
            <w:r>
              <w:rPr>
                <w:rFonts w:ascii="仿宋_GB2312" w:hAnsi="仿宋_GB2312" w:cs="仿宋_GB2312" w:eastAsia="仿宋_GB2312"/>
                <w:sz w:val="24"/>
              </w:rPr>
              <w:t>项目位于西安市高陵区辖区内，旅游大道北段。</w:t>
            </w:r>
          </w:p>
          <w:p>
            <w:pPr>
              <w:pStyle w:val="null3"/>
              <w:spacing w:before="240" w:after="60"/>
              <w:ind w:firstLine="480"/>
              <w:jc w:val="both"/>
            </w:pPr>
            <w:r>
              <w:rPr>
                <w:rFonts w:ascii="仿宋_GB2312" w:hAnsi="仿宋_GB2312" w:cs="仿宋_GB2312" w:eastAsia="仿宋_GB2312"/>
                <w:sz w:val="24"/>
                <w:b/>
              </w:rPr>
              <w:t>工作内容：旅游大道北段新建给水管网工程勘察设计服务，</w:t>
            </w:r>
            <w:r>
              <w:rPr>
                <w:rFonts w:ascii="仿宋_GB2312" w:hAnsi="仿宋_GB2312" w:cs="仿宋_GB2312" w:eastAsia="仿宋_GB2312"/>
                <w:sz w:val="24"/>
                <w:b/>
              </w:rPr>
              <w:t>主要内容包括但不限于：对本项目的工程勘察、初步设计、施工图设计等相关服务并配合施工技术交底、施工过程技术服务及验收等内容。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482"/>
              <w:jc w:val="both"/>
            </w:pPr>
            <w:r>
              <w:rPr>
                <w:rFonts w:ascii="仿宋_GB2312" w:hAnsi="仿宋_GB2312" w:cs="仿宋_GB2312" w:eastAsia="仿宋_GB2312"/>
                <w:sz w:val="24"/>
                <w:b/>
              </w:rPr>
              <w:t>（一）人员配备</w:t>
            </w:r>
          </w:p>
          <w:p>
            <w:pPr>
              <w:pStyle w:val="null3"/>
              <w:ind w:firstLine="482"/>
              <w:jc w:val="both"/>
            </w:pPr>
            <w:r>
              <w:rPr>
                <w:rFonts w:ascii="仿宋_GB2312" w:hAnsi="仿宋_GB2312" w:cs="仿宋_GB2312" w:eastAsia="仿宋_GB2312"/>
                <w:sz w:val="24"/>
                <w:b/>
              </w:rPr>
              <w:t xml:space="preserve"> </w:t>
            </w:r>
            <w:r>
              <w:rPr>
                <w:rFonts w:ascii="仿宋_GB2312" w:hAnsi="仿宋_GB2312" w:cs="仿宋_GB2312" w:eastAsia="仿宋_GB2312"/>
                <w:sz w:val="24"/>
                <w:b/>
              </w:rPr>
              <w:t>项目负责人需具有相关专业高级工程师及以上技术职称。</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服务标准</w:t>
            </w:r>
          </w:p>
          <w:p>
            <w:pPr>
              <w:pStyle w:val="null3"/>
              <w:ind w:firstLine="482"/>
              <w:jc w:val="both"/>
            </w:pPr>
            <w:r>
              <w:rPr>
                <w:rFonts w:ascii="仿宋_GB2312" w:hAnsi="仿宋_GB2312" w:cs="仿宋_GB2312" w:eastAsia="仿宋_GB2312"/>
                <w:sz w:val="24"/>
                <w:b/>
              </w:rPr>
              <w:t xml:space="preserve">  </w:t>
            </w:r>
            <w:r>
              <w:rPr>
                <w:rFonts w:ascii="仿宋_GB2312" w:hAnsi="仿宋_GB2312" w:cs="仿宋_GB2312" w:eastAsia="仿宋_GB2312"/>
                <w:sz w:val="24"/>
                <w:b/>
              </w:rPr>
              <w:t>质量标准：</w:t>
            </w:r>
            <w:r>
              <w:rPr>
                <w:rFonts w:ascii="仿宋_GB2312" w:hAnsi="仿宋_GB2312" w:cs="仿宋_GB2312" w:eastAsia="仿宋_GB2312"/>
                <w:sz w:val="24"/>
              </w:rPr>
              <w:t>符合国家、地区、行业标准及现行有关规范标准，如国家及有关部门对规范重新修订时，以现行规范为准；规范如有遗漏，遗漏部分的内容可参阅相关的规范及标准。</w:t>
            </w:r>
          </w:p>
          <w:p>
            <w:pPr>
              <w:pStyle w:val="null3"/>
              <w:ind w:firstLine="482"/>
              <w:jc w:val="both"/>
            </w:pPr>
            <w:r>
              <w:rPr>
                <w:rFonts w:ascii="仿宋_GB2312" w:hAnsi="仿宋_GB2312" w:cs="仿宋_GB2312" w:eastAsia="仿宋_GB2312"/>
                <w:sz w:val="24"/>
                <w:b/>
              </w:rPr>
              <w:t>成果提交：</w:t>
            </w:r>
            <w:r>
              <w:rPr>
                <w:rFonts w:ascii="仿宋_GB2312" w:hAnsi="仿宋_GB2312" w:cs="仿宋_GB2312" w:eastAsia="仿宋_GB2312"/>
                <w:sz w:val="24"/>
              </w:rPr>
              <w:t>工</w:t>
            </w:r>
            <w:r>
              <w:rPr>
                <w:rFonts w:ascii="仿宋_GB2312" w:hAnsi="仿宋_GB2312" w:cs="仿宋_GB2312" w:eastAsia="仿宋_GB2312"/>
                <w:sz w:val="24"/>
              </w:rPr>
              <w:t>程勘察成果文件（勘察报告）、初步设计成果（报告、概算及图册）、施工图设计成果（施工图册）及勘察设计等相关服务，成果</w:t>
            </w:r>
            <w:r>
              <w:rPr>
                <w:rFonts w:ascii="仿宋_GB2312" w:hAnsi="仿宋_GB2312" w:cs="仿宋_GB2312" w:eastAsia="仿宋_GB2312"/>
                <w:sz w:val="24"/>
              </w:rPr>
              <w:t>资料</w:t>
            </w:r>
            <w:r>
              <w:rPr>
                <w:rFonts w:ascii="仿宋_GB2312" w:hAnsi="仿宋_GB2312" w:cs="仿宋_GB2312" w:eastAsia="仿宋_GB2312"/>
                <w:sz w:val="24"/>
              </w:rPr>
              <w:t>8本，电子光盘1</w:t>
            </w:r>
            <w:r>
              <w:rPr>
                <w:rFonts w:ascii="仿宋_GB2312" w:hAnsi="仿宋_GB2312" w:cs="仿宋_GB2312" w:eastAsia="仿宋_GB2312"/>
                <w:sz w:val="24"/>
              </w:rPr>
              <w:t>份</w:t>
            </w:r>
            <w:r>
              <w:rPr>
                <w:rFonts w:ascii="仿宋_GB2312" w:hAnsi="仿宋_GB2312" w:cs="仿宋_GB2312" w:eastAsia="仿宋_GB2312"/>
                <w:sz w:val="24"/>
              </w:rPr>
              <w:t>。</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自合同签订之日起</w:t>
            </w:r>
            <w:r>
              <w:rPr>
                <w:rFonts w:ascii="仿宋_GB2312" w:hAnsi="仿宋_GB2312" w:cs="仿宋_GB2312" w:eastAsia="仿宋_GB2312"/>
                <w:sz w:val="24"/>
              </w:rPr>
              <w:t>40日历天内完成。</w:t>
            </w:r>
          </w:p>
          <w:p>
            <w:pPr>
              <w:pStyle w:val="null3"/>
              <w:jc w:val="both"/>
            </w:pPr>
            <w:r>
              <w:rPr>
                <w:rFonts w:ascii="仿宋_GB2312" w:hAnsi="仿宋_GB2312" w:cs="仿宋_GB2312" w:eastAsia="仿宋_GB2312"/>
                <w:sz w:val="24"/>
              </w:rPr>
              <w:t>（二）款项结算</w:t>
            </w:r>
          </w:p>
          <w:p>
            <w:pPr>
              <w:pStyle w:val="null3"/>
              <w:spacing w:before="240" w:after="60"/>
              <w:ind w:firstLine="482"/>
              <w:jc w:val="both"/>
            </w:pPr>
            <w:r>
              <w:rPr>
                <w:rFonts w:ascii="仿宋_GB2312" w:hAnsi="仿宋_GB2312" w:cs="仿宋_GB2312" w:eastAsia="仿宋_GB2312"/>
                <w:sz w:val="24"/>
                <w:b/>
              </w:rPr>
              <w:t>合同签订后，采购人支付成交供应商合同价的</w:t>
            </w:r>
            <w:r>
              <w:rPr>
                <w:rFonts w:ascii="仿宋_GB2312" w:hAnsi="仿宋_GB2312" w:cs="仿宋_GB2312" w:eastAsia="仿宋_GB2312"/>
                <w:sz w:val="24"/>
                <w:b/>
              </w:rPr>
              <w:t>30%作为预付款，出具成果报告后经采购人验收合格后，支付剩余合同价款。支付前，供应商须开具有效的发票交采购人</w:t>
            </w:r>
            <w:r>
              <w:rPr>
                <w:rFonts w:ascii="仿宋_GB2312" w:hAnsi="仿宋_GB2312" w:cs="仿宋_GB2312" w:eastAsia="仿宋_GB2312"/>
                <w:sz w:val="24"/>
                <w:b/>
              </w:rPr>
              <w:t>。</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其他要求</w:t>
            </w:r>
          </w:p>
        </w:tc>
        <w:tc>
          <w:tcPr>
            <w:tcW w:type="dxa" w:w="2076"/>
          </w:tcPr>
          <w:p>
            <w:pPr>
              <w:pStyle w:val="null3"/>
              <w:jc w:val="both"/>
            </w:pPr>
            <w:r>
              <w:rPr>
                <w:rFonts w:ascii="仿宋_GB2312" w:hAnsi="仿宋_GB2312" w:cs="仿宋_GB2312" w:eastAsia="仿宋_GB2312"/>
                <w:sz w:val="24"/>
              </w:rPr>
              <w:t>（一）质量验收标准或规范</w:t>
            </w:r>
          </w:p>
          <w:p>
            <w:pPr>
              <w:pStyle w:val="null3"/>
              <w:ind w:firstLine="480"/>
              <w:jc w:val="both"/>
            </w:pPr>
            <w:r>
              <w:rPr>
                <w:rFonts w:ascii="仿宋_GB2312" w:hAnsi="仿宋_GB2312" w:cs="仿宋_GB2312" w:eastAsia="仿宋_GB2312"/>
                <w:sz w:val="24"/>
              </w:rPr>
              <w:t>达到国家、省、市相关</w:t>
            </w:r>
            <w:r>
              <w:rPr>
                <w:rFonts w:ascii="仿宋_GB2312" w:hAnsi="仿宋_GB2312" w:cs="仿宋_GB2312" w:eastAsia="仿宋_GB2312"/>
                <w:sz w:val="24"/>
              </w:rPr>
              <w:t>行业规范要求的</w:t>
            </w:r>
            <w:r>
              <w:rPr>
                <w:rFonts w:ascii="仿宋_GB2312" w:hAnsi="仿宋_GB2312" w:cs="仿宋_GB2312" w:eastAsia="仿宋_GB2312"/>
                <w:sz w:val="24"/>
              </w:rPr>
              <w:t>“合 格”标准，符合采购人的要求。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按照《民法典》中的相关条款执行。</w:t>
            </w:r>
          </w:p>
          <w:p>
            <w:pPr>
              <w:pStyle w:val="null3"/>
              <w:numPr>
                <w:ilvl w:val="0"/>
                <w:numId w:val="1"/>
              </w:numPr>
              <w:jc w:val="both"/>
            </w:pPr>
            <w:r>
              <w:rPr>
                <w:rFonts w:ascii="仿宋_GB2312" w:hAnsi="仿宋_GB2312" w:cs="仿宋_GB2312" w:eastAsia="仿宋_GB2312"/>
                <w:sz w:val="24"/>
              </w:rPr>
              <w:t>甲乙双方应当诚信、全面履行本合同，如有违约，应赔偿由此给守约方造成的全部损失。</w:t>
            </w:r>
          </w:p>
          <w:p>
            <w:pPr>
              <w:pStyle w:val="null3"/>
              <w:numPr>
                <w:ilvl w:val="0"/>
                <w:numId w:val="1"/>
              </w:numPr>
              <w:jc w:val="both"/>
            </w:pPr>
            <w:r>
              <w:rPr>
                <w:rFonts w:ascii="仿宋_GB2312" w:hAnsi="仿宋_GB2312" w:cs="仿宋_GB2312" w:eastAsia="仿宋_GB2312"/>
                <w:sz w:val="24"/>
              </w:rPr>
              <w:t>在受托方依约履行本合同的前提下，委托方迟延支付服务费用的，每迟</w:t>
            </w:r>
            <w:r>
              <w:rPr>
                <w:rFonts w:ascii="仿宋_GB2312" w:hAnsi="仿宋_GB2312" w:cs="仿宋_GB2312" w:eastAsia="仿宋_GB2312"/>
                <w:sz w:val="24"/>
              </w:rPr>
              <w:t>1日，应当按照应付而未付金额的</w:t>
            </w:r>
            <w:r>
              <w:rPr>
                <w:rFonts w:ascii="仿宋_GB2312" w:hAnsi="仿宋_GB2312" w:cs="仿宋_GB2312" w:eastAsia="仿宋_GB2312"/>
                <w:sz w:val="24"/>
                <w:u w:val="single"/>
              </w:rPr>
              <w:t>1‰</w:t>
            </w:r>
            <w:r>
              <w:rPr>
                <w:rFonts w:ascii="仿宋_GB2312" w:hAnsi="仿宋_GB2312" w:cs="仿宋_GB2312" w:eastAsia="仿宋_GB2312"/>
                <w:sz w:val="24"/>
              </w:rPr>
              <w:t>向受</w:t>
            </w:r>
            <w:r>
              <w:rPr>
                <w:rFonts w:ascii="仿宋_GB2312" w:hAnsi="仿宋_GB2312" w:cs="仿宋_GB2312" w:eastAsia="仿宋_GB2312"/>
                <w:sz w:val="24"/>
              </w:rPr>
              <w:t>托方支付违约金。</w:t>
            </w:r>
          </w:p>
          <w:p>
            <w:pPr>
              <w:pStyle w:val="null3"/>
              <w:numPr>
                <w:ilvl w:val="0"/>
                <w:numId w:val="1"/>
              </w:numPr>
              <w:jc w:val="both"/>
            </w:pPr>
            <w:r>
              <w:rPr>
                <w:rFonts w:ascii="仿宋_GB2312" w:hAnsi="仿宋_GB2312" w:cs="仿宋_GB2312" w:eastAsia="仿宋_GB2312"/>
                <w:sz w:val="24"/>
              </w:rPr>
              <w:t>受托方未能按时提交符合本合同约定的成果文件资料，每延迟</w:t>
            </w:r>
            <w:r>
              <w:rPr>
                <w:rFonts w:ascii="仿宋_GB2312" w:hAnsi="仿宋_GB2312" w:cs="仿宋_GB2312" w:eastAsia="仿宋_GB2312"/>
                <w:sz w:val="24"/>
              </w:rPr>
              <w:t>1日，应按服务费总额的</w:t>
            </w:r>
            <w:r>
              <w:rPr>
                <w:rFonts w:ascii="仿宋_GB2312" w:hAnsi="仿宋_GB2312" w:cs="仿宋_GB2312" w:eastAsia="仿宋_GB2312"/>
                <w:sz w:val="24"/>
                <w:u w:val="single"/>
              </w:rPr>
              <w:t>1‰</w:t>
            </w:r>
            <w:r>
              <w:rPr>
                <w:rFonts w:ascii="仿宋_GB2312" w:hAnsi="仿宋_GB2312" w:cs="仿宋_GB2312" w:eastAsia="仿宋_GB2312"/>
                <w:sz w:val="24"/>
              </w:rPr>
              <w:t>支付违约金，延迟达到</w:t>
            </w:r>
            <w:r>
              <w:rPr>
                <w:rFonts w:ascii="仿宋_GB2312" w:hAnsi="仿宋_GB2312" w:cs="仿宋_GB2312" w:eastAsia="仿宋_GB2312"/>
                <w:sz w:val="24"/>
                <w:u w:val="single"/>
              </w:rPr>
              <w:t>30</w:t>
            </w:r>
            <w:r>
              <w:rPr>
                <w:rFonts w:ascii="仿宋_GB2312" w:hAnsi="仿宋_GB2312" w:cs="仿宋_GB2312" w:eastAsia="仿宋_GB2312"/>
                <w:sz w:val="24"/>
              </w:rPr>
              <w:t>日，委托方有权单方解除本合同。受托方连续两次没有通过专家评审会审查，甲方有权无条件解除合同，且按照合同不支付任何费用。</w:t>
            </w:r>
          </w:p>
          <w:p>
            <w:pPr>
              <w:pStyle w:val="null3"/>
              <w:numPr>
                <w:ilvl w:val="0"/>
                <w:numId w:val="1"/>
              </w:numPr>
              <w:jc w:val="both"/>
            </w:pPr>
            <w:r>
              <w:rPr>
                <w:rFonts w:ascii="仿宋_GB2312" w:hAnsi="仿宋_GB2312" w:cs="仿宋_GB2312" w:eastAsia="仿宋_GB2312"/>
                <w:sz w:val="24"/>
              </w:rPr>
              <w:t>因受托方不具备政府相关部门确认的资格而给委托方造成的一切损失，由受托方负责赔偿。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项目负责人需具有相关专业高级工程师及以上技术职称。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按照《民法典》中的相关条款执行。 1.甲乙双方应当诚信、全面履行本合同，如有违约，应赔偿由此给守约方造成的全部损失。 2.在受托方依约履行本合同的前提下，委托方迟延支付服务费用的，每迟1日，应当按照应付而未付金额的1‰向受托方支付违约金。 3.受托方未能按时提交符合本合同约定的成果文件资料，每延迟1日，应按服务费总额的1‰支付违约金，延迟达到30日，委托方有权单方解除本合同。受托方连续两次没有通过专家评审会审查，甲方有权无条件解除合同，且按照合同不支付任何费用。 4.因受托方不具备政府相关部门确认的资格而给委托方造成的一切损失，由受托方负责赔偿。</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 行业规范要求的“合 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合同签订后，支付前，供应商须开具有效的发票交采购人。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出具成果报告后经采购人验收合格后，支付剩余合同价款，支付前，供应商须开具有效的发票交采购人。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11-相关资格证明材料.docx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采购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特定资质要求</w:t>
            </w:r>
          </w:p>
        </w:tc>
        <w:tc>
          <w:tcPr>
            <w:tcW w:type="dxa" w:w="3322"/>
          </w:tcPr>
          <w:p>
            <w:pPr>
              <w:pStyle w:val="null3"/>
            </w:pPr>
            <w:r>
              <w:rPr>
                <w:rFonts w:ascii="仿宋_GB2312" w:hAnsi="仿宋_GB2312" w:cs="仿宋_GB2312" w:eastAsia="仿宋_GB2312"/>
              </w:rPr>
              <w:t>供应商须同时具备以下资质要求：①勘察资质：工程勘察综合甲级资质或工程勘察专业资质岩土工程（勘察）乙级（及以上）资质②设计资质：工程设计综合资质甲级或市政行业设计资质乙级及以上资质或市政行业（给水工程）专业设计资质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拟委任的主要人员及简历表.docx 供应商承诺书.docx 响应文件封面 12-服务方案.docx 残疾人福利性单位声明函 费用组成明细表.docx 11-相关资格证明材料.docx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拟委任的主要人员及简历表.docx 供应商承诺书.docx 响应文件封面 12-服务方案.docx 残疾人福利性单位声明函 费用组成明细表.docx 11-相关资格证明材料.docx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费用组成明细表.docx 商务应答表 标的清单 报价表 响应函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勘察工作方案完整性</w:t>
            </w:r>
          </w:p>
        </w:tc>
        <w:tc>
          <w:tcPr>
            <w:tcW w:type="dxa" w:w="2492"/>
          </w:tcPr>
          <w:p>
            <w:pPr>
              <w:pStyle w:val="null3"/>
            </w:pPr>
            <w:r>
              <w:rPr>
                <w:rFonts w:ascii="仿宋_GB2312" w:hAnsi="仿宋_GB2312" w:cs="仿宋_GB2312" w:eastAsia="仿宋_GB2312"/>
              </w:rPr>
              <w:t>勘察工作方案内容全面，完全结合实际。满分6分。每有一项内容缺陷按缺陷程度扣0.5-1分，直至本项分扣完为止。 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设计工作方案完整性</w:t>
            </w:r>
          </w:p>
        </w:tc>
        <w:tc>
          <w:tcPr>
            <w:tcW w:type="dxa" w:w="2492"/>
          </w:tcPr>
          <w:p>
            <w:pPr>
              <w:pStyle w:val="null3"/>
            </w:pPr>
            <w:r>
              <w:rPr>
                <w:rFonts w:ascii="仿宋_GB2312" w:hAnsi="仿宋_GB2312" w:cs="仿宋_GB2312" w:eastAsia="仿宋_GB2312"/>
              </w:rPr>
              <w:t>设计工作方案内容全面，完全结合实际。满分6分。每有一项内容缺陷按缺陷程度扣0.5-1分，直至本项分扣完为止。 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勘察工作方案清晰程度</w:t>
            </w:r>
          </w:p>
        </w:tc>
        <w:tc>
          <w:tcPr>
            <w:tcW w:type="dxa" w:w="2492"/>
          </w:tcPr>
          <w:p>
            <w:pPr>
              <w:pStyle w:val="null3"/>
            </w:pPr>
            <w:r>
              <w:rPr>
                <w:rFonts w:ascii="仿宋_GB2312" w:hAnsi="仿宋_GB2312" w:cs="仿宋_GB2312" w:eastAsia="仿宋_GB2312"/>
              </w:rPr>
              <w:t>勘察工作方案表述清楚，应用性强，重点突出。满分6分；每有一项内容缺陷按缺陷程度扣0.5-1分，直至本项分扣完为止。 内容缺陷是指：表述不够清楚、重点不够突出、应用性不强、不符合项目实际情况等。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设计工作方案清晰程度</w:t>
            </w:r>
          </w:p>
        </w:tc>
        <w:tc>
          <w:tcPr>
            <w:tcW w:type="dxa" w:w="2492"/>
          </w:tcPr>
          <w:p>
            <w:pPr>
              <w:pStyle w:val="null3"/>
            </w:pPr>
            <w:r>
              <w:rPr>
                <w:rFonts w:ascii="仿宋_GB2312" w:hAnsi="仿宋_GB2312" w:cs="仿宋_GB2312" w:eastAsia="仿宋_GB2312"/>
              </w:rPr>
              <w:t>设计工作方案表述清楚，应用性强，重点突出。满分6分；每有一项内容缺陷按缺陷程度扣0.5-1分，直至本项分扣完为止。 内容缺陷是指：表述不够清楚、重点不够突出、应用性不强、不符合项目实际情况等。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现状解析</w:t>
            </w:r>
          </w:p>
        </w:tc>
        <w:tc>
          <w:tcPr>
            <w:tcW w:type="dxa" w:w="2492"/>
          </w:tcPr>
          <w:p>
            <w:pPr>
              <w:pStyle w:val="null3"/>
            </w:pPr>
            <w:r>
              <w:rPr>
                <w:rFonts w:ascii="仿宋_GB2312" w:hAnsi="仿宋_GB2312" w:cs="仿宋_GB2312" w:eastAsia="仿宋_GB2312"/>
              </w:rPr>
              <w:t>针对主要内容（勘察与设计）与任务中现状问题识别内容全面，编制思路清晰、针对性强，符合发展需要，具有可操作性。满分6分。每有一项内容缺陷按缺陷程度扣0.5-1分，直至本项分扣完为止。 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提升策略</w:t>
            </w:r>
          </w:p>
        </w:tc>
        <w:tc>
          <w:tcPr>
            <w:tcW w:type="dxa" w:w="2492"/>
          </w:tcPr>
          <w:p>
            <w:pPr>
              <w:pStyle w:val="null3"/>
            </w:pPr>
            <w:r>
              <w:rPr>
                <w:rFonts w:ascii="仿宋_GB2312" w:hAnsi="仿宋_GB2312" w:cs="仿宋_GB2312" w:eastAsia="仿宋_GB2312"/>
              </w:rPr>
              <w:t>针对主要内容与任务中提升策略内容全面，编制思路清晰、针对性强，符合发展需要，具有前瞻性和可操作性。满分6分。每有一项内容缺陷按缺陷程度扣0.5-1分，直至本项分扣完为止。 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针对本项目合理化建议行之有效、分析透彻，满分6分；每有一项内容缺陷按缺陷程度扣0.5-1分，直至本项分扣完为止。 内容缺陷是指：内容不够详实合理、理解不够深刻、现状不够熟悉、建议不够合理、全面、不符合项目实际情况等。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项目出现突发状况或问题后的补救措施等方面，有明确、切实可行、内容详尽的应急补救措施，满分6分；每有一项内容缺陷按缺陷程度扣0.5-1分，直至本项分扣完为止。 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对项目实施过程中的重点、难点分析及解决方案，供应商根据本项目的实际情况，提出有针对性的关键点分析及解决方案，且关键点分析准确，解决方案得当，满分6分；每有一项内容缺陷按缺陷程度扣0.5-1分，直至本项分扣完为止。 内容缺陷是指：内容不够详实合理、思路不够清晰、针对性不强、表述不够清楚、不符合项目实际情况、解决方案实施困难，解决方案与重难点分析脱节等。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进度安排及成果交付计划</w:t>
            </w:r>
          </w:p>
        </w:tc>
        <w:tc>
          <w:tcPr>
            <w:tcW w:type="dxa" w:w="2492"/>
          </w:tcPr>
          <w:p>
            <w:pPr>
              <w:pStyle w:val="null3"/>
            </w:pPr>
            <w:r>
              <w:rPr>
                <w:rFonts w:ascii="仿宋_GB2312" w:hAnsi="仿宋_GB2312" w:cs="仿宋_GB2312" w:eastAsia="仿宋_GB2312"/>
              </w:rPr>
              <w:t>供应商针对本项目招标内容有明确的进度安排，合理的成果交付时限且进度安排科学合理，完全满足需求，满分6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①项目负责人具备市政工程或岩土工程或给水排水工程等相关专业学历；本科及以上学历的得2分。 ②项目负责人具有类似项目业绩的一项得1分，以中标通知书或者合同为准，满分2分。 （提供人员有效证书复印件及开标时间前6个月内任意一个月的社保证明，加盖公章及中标通知书或者合同复印件或扫描件加盖公章）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p>
            <w:pPr>
              <w:pStyle w:val="null3"/>
            </w:pPr>
            <w:r>
              <w:rPr>
                <w:rFonts w:ascii="仿宋_GB2312" w:hAnsi="仿宋_GB2312" w:cs="仿宋_GB2312" w:eastAsia="仿宋_GB2312"/>
              </w:rPr>
              <w:t>拟委任的主要人员及简历表.docx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专业人员配备合理、全面、满足项目需求，人员分工、岗位职责明确等。 1、根据人员架构的设置情况是否充分，是否覆盖与本项目相关的专业技术能力，根据人员配备情况进行赋分，满分4分； 每有一项内容缺陷的扣0.5- 1分，直至本项分扣完为止。内容缺陷是指：存在不适用项目实际情况的情形、架构不清晰、人员经验不足等。 2、根据拟派团队人员的具体专业技术能力进行赋分，满分3分； 每有一项内容缺陷的扣0.5- 1分，直至本项分扣完为止。内容缺陷是指：存在不适用项目实际情况的情形、技术能力偏差等。 3、根据供应商提供的针对本项目团队人员岗位划分是否清晰，职责是否明确进行赋分，满分3分。 每有一项内容缺陷的扣0.5-1分，直至本项分扣完为止。内容缺陷是指：存在不适用项目实际情况的情形、人员安排不当等。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p>
            <w:pPr>
              <w:pStyle w:val="null3"/>
            </w:pPr>
            <w:r>
              <w:rPr>
                <w:rFonts w:ascii="仿宋_GB2312" w:hAnsi="仿宋_GB2312" w:cs="仿宋_GB2312" w:eastAsia="仿宋_GB2312"/>
              </w:rPr>
              <w:t>拟委任的主要人员及简历表.docx</w:t>
            </w:r>
          </w:p>
        </w:tc>
      </w:tr>
      <w:tr>
        <w:tc>
          <w:tcPr>
            <w:tcW w:type="dxa" w:w="831"/>
            <w:vMerge/>
          </w:tcPr>
          <w:p/>
        </w:tc>
        <w:tc>
          <w:tcPr>
            <w:tcW w:type="dxa" w:w="1661"/>
          </w:tcPr>
          <w:p>
            <w:pPr>
              <w:pStyle w:val="null3"/>
            </w:pPr>
            <w:r>
              <w:rPr>
                <w:rFonts w:ascii="仿宋_GB2312" w:hAnsi="仿宋_GB2312" w:cs="仿宋_GB2312" w:eastAsia="仿宋_GB2312"/>
              </w:rPr>
              <w:t>质量保证体系</w:t>
            </w:r>
          </w:p>
        </w:tc>
        <w:tc>
          <w:tcPr>
            <w:tcW w:type="dxa" w:w="2492"/>
          </w:tcPr>
          <w:p>
            <w:pPr>
              <w:pStyle w:val="null3"/>
            </w:pPr>
            <w:r>
              <w:rPr>
                <w:rFonts w:ascii="仿宋_GB2312" w:hAnsi="仿宋_GB2312" w:cs="仿宋_GB2312" w:eastAsia="仿宋_GB2312"/>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和可行性不够、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对成果交付后的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根据各供应商提供的2020年1月1日至今同类项目业绩合同，时间以合同签订的日期为准，每一个有效业绩得2分。满分6分。（合同复印件加盖公章附在响应文件中，否则不做为评审依据）。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p>
            <w:pPr>
              <w:pStyle w:val="null3"/>
            </w:pPr>
            <w:r>
              <w:rPr>
                <w:rFonts w:ascii="仿宋_GB2312" w:hAnsi="仿宋_GB2312" w:cs="仿宋_GB2312" w:eastAsia="仿宋_GB2312"/>
              </w:rPr>
              <w:t>12-服务方案.docx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满足磋商文件要求且最后的磋商报价最低的投标价为评标基准价，其价格分为满分。 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详见附件：拟委任的主要人员及简历表.docx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