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A40378">
      <w:pPr>
        <w:jc w:val="center"/>
        <w:rPr>
          <w:rFonts w:ascii="宋体" w:hAnsi="宋体"/>
          <w:spacing w:val="24"/>
          <w:sz w:val="28"/>
          <w:szCs w:val="28"/>
        </w:rPr>
      </w:pPr>
      <w:r>
        <w:rPr>
          <w:rFonts w:hint="eastAsia" w:ascii="黑体" w:hAnsi="黑体" w:eastAsia="黑体" w:cs="黑体"/>
          <w:b/>
          <w:bCs/>
          <w:color w:val="auto"/>
          <w:kern w:val="2"/>
          <w:sz w:val="32"/>
          <w:szCs w:val="32"/>
          <w:highlight w:val="none"/>
          <w:lang w:val="zh-CN" w:eastAsia="zh-CN" w:bidi="ar-SA"/>
        </w:rPr>
        <w:t>拟签订的合同条款文本</w:t>
      </w:r>
    </w:p>
    <w:p w14:paraId="723F4211">
      <w:pPr>
        <w:autoSpaceDE w:val="0"/>
        <w:autoSpaceDN w:val="0"/>
        <w:adjustRightInd w:val="0"/>
        <w:spacing w:before="100" w:after="100"/>
        <w:jc w:val="center"/>
        <w:rPr>
          <w:rFonts w:hint="eastAsia" w:ascii="方正小标宋简体" w:hAnsi="方正小标宋简体" w:eastAsia="方正小标宋简体" w:cs="方正小标宋简体"/>
          <w:b/>
          <w:color w:val="auto"/>
          <w:sz w:val="44"/>
          <w:szCs w:val="44"/>
          <w:highlight w:val="none"/>
          <w:lang w:eastAsia="zh-CN"/>
        </w:rPr>
      </w:pPr>
    </w:p>
    <w:p w14:paraId="03B3E09F">
      <w:pPr>
        <w:autoSpaceDE w:val="0"/>
        <w:autoSpaceDN w:val="0"/>
        <w:adjustRightInd w:val="0"/>
        <w:spacing w:before="100" w:after="100"/>
        <w:jc w:val="center"/>
        <w:rPr>
          <w:rFonts w:hint="eastAsia" w:ascii="宋体"/>
          <w:b/>
          <w:bCs/>
          <w:color w:val="auto"/>
          <w:kern w:val="0"/>
          <w:sz w:val="44"/>
          <w:szCs w:val="44"/>
          <w:highlight w:val="none"/>
        </w:rPr>
      </w:pPr>
      <w:r>
        <w:rPr>
          <w:rFonts w:hint="eastAsia" w:ascii="方正小标宋简体" w:hAnsi="方正小标宋简体" w:eastAsia="方正小标宋简体" w:cs="方正小标宋简体"/>
          <w:b/>
          <w:color w:val="auto"/>
          <w:sz w:val="44"/>
          <w:szCs w:val="44"/>
          <w:highlight w:val="none"/>
          <w:lang w:eastAsia="zh-CN"/>
        </w:rPr>
        <w:t xml:space="preserve"> </w:t>
      </w:r>
      <w:r>
        <w:rPr>
          <w:rFonts w:hint="eastAsia" w:ascii="宋体"/>
          <w:b/>
          <w:bCs/>
          <w:color w:val="auto"/>
          <w:kern w:val="0"/>
          <w:sz w:val="44"/>
          <w:szCs w:val="44"/>
          <w:highlight w:val="none"/>
        </w:rPr>
        <w:t>建设工程勘察设计合同</w:t>
      </w:r>
    </w:p>
    <w:p w14:paraId="58DB0599">
      <w:pPr>
        <w:autoSpaceDE w:val="0"/>
        <w:autoSpaceDN w:val="0"/>
        <w:adjustRightInd w:val="0"/>
        <w:spacing w:before="100" w:after="100"/>
        <w:jc w:val="center"/>
        <w:rPr>
          <w:rFonts w:hint="eastAsia" w:ascii="黑体" w:eastAsia="黑体"/>
          <w:b/>
          <w:bCs/>
          <w:color w:val="auto"/>
          <w:kern w:val="0"/>
          <w:sz w:val="28"/>
          <w:szCs w:val="28"/>
          <w:highlight w:val="none"/>
        </w:rPr>
      </w:pPr>
      <w:r>
        <w:rPr>
          <w:rFonts w:hint="eastAsia" w:ascii="黑体" w:eastAsia="黑体"/>
          <w:b/>
          <w:bCs/>
          <w:color w:val="auto"/>
          <w:kern w:val="0"/>
          <w:sz w:val="28"/>
          <w:szCs w:val="28"/>
          <w:highlight w:val="none"/>
        </w:rPr>
        <w:t xml:space="preserve"> </w:t>
      </w:r>
    </w:p>
    <w:p w14:paraId="0304BCD5">
      <w:pPr>
        <w:autoSpaceDE w:val="0"/>
        <w:autoSpaceDN w:val="0"/>
        <w:adjustRightInd w:val="0"/>
        <w:spacing w:before="100" w:after="100"/>
        <w:jc w:val="center"/>
        <w:rPr>
          <w:rFonts w:hint="eastAsia" w:ascii="黑体" w:eastAsia="黑体"/>
          <w:b/>
          <w:bCs/>
          <w:color w:val="auto"/>
          <w:kern w:val="0"/>
          <w:sz w:val="28"/>
          <w:szCs w:val="28"/>
          <w:highlight w:val="none"/>
        </w:rPr>
      </w:pPr>
    </w:p>
    <w:p w14:paraId="3A8F69EC">
      <w:pPr>
        <w:autoSpaceDE w:val="0"/>
        <w:autoSpaceDN w:val="0"/>
        <w:adjustRightInd w:val="0"/>
        <w:spacing w:before="100" w:after="100"/>
        <w:jc w:val="center"/>
        <w:rPr>
          <w:rFonts w:hint="eastAsia" w:ascii="黑体" w:eastAsia="黑体"/>
          <w:b/>
          <w:bCs/>
          <w:color w:val="auto"/>
          <w:kern w:val="0"/>
          <w:sz w:val="28"/>
          <w:szCs w:val="28"/>
          <w:highlight w:val="none"/>
        </w:rPr>
      </w:pPr>
    </w:p>
    <w:p w14:paraId="10B9D9B4">
      <w:pPr>
        <w:pStyle w:val="2"/>
        <w:rPr>
          <w:rFonts w:hint="eastAsia"/>
        </w:rPr>
      </w:pPr>
    </w:p>
    <w:p w14:paraId="13BE5DE7">
      <w:pPr>
        <w:keepNext w:val="0"/>
        <w:keepLines w:val="0"/>
        <w:pageBreakBefore w:val="0"/>
        <w:widowControl w:val="0"/>
        <w:kinsoku/>
        <w:wordWrap/>
        <w:overflowPunct/>
        <w:topLinePunct w:val="0"/>
        <w:autoSpaceDE w:val="0"/>
        <w:autoSpaceDN w:val="0"/>
        <w:bidi w:val="0"/>
        <w:adjustRightInd w:val="0"/>
        <w:snapToGrid/>
        <w:spacing w:line="360" w:lineRule="auto"/>
        <w:ind w:firstLine="1920" w:firstLineChars="800"/>
        <w:jc w:val="both"/>
        <w:textAlignment w:val="auto"/>
        <w:rPr>
          <w:rFonts w:hint="default" w:ascii="宋体" w:eastAsia="宋体"/>
          <w:color w:val="auto"/>
          <w:kern w:val="0"/>
          <w:sz w:val="24"/>
          <w:szCs w:val="24"/>
          <w:highlight w:val="none"/>
          <w:u w:val="single"/>
          <w:lang w:eastAsia="zh-CN"/>
        </w:rPr>
      </w:pPr>
      <w:r>
        <w:rPr>
          <w:rFonts w:hint="eastAsia" w:ascii="宋体"/>
          <w:color w:val="auto"/>
          <w:kern w:val="0"/>
          <w:sz w:val="24"/>
          <w:szCs w:val="24"/>
          <w:highlight w:val="none"/>
        </w:rPr>
        <w:t>工程名称：</w:t>
      </w: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u w:val="single"/>
          <w:lang w:val="en-US" w:eastAsia="zh-CN"/>
        </w:rPr>
        <w:t xml:space="preserve">                           </w:t>
      </w:r>
    </w:p>
    <w:p w14:paraId="55079CBC">
      <w:pPr>
        <w:keepNext w:val="0"/>
        <w:keepLines w:val="0"/>
        <w:pageBreakBefore w:val="0"/>
        <w:widowControl w:val="0"/>
        <w:kinsoku/>
        <w:wordWrap/>
        <w:overflowPunct/>
        <w:topLinePunct w:val="0"/>
        <w:autoSpaceDE w:val="0"/>
        <w:autoSpaceDN w:val="0"/>
        <w:bidi w:val="0"/>
        <w:adjustRightInd w:val="0"/>
        <w:snapToGrid/>
        <w:spacing w:line="360" w:lineRule="auto"/>
        <w:ind w:firstLine="1920" w:firstLineChars="800"/>
        <w:jc w:val="both"/>
        <w:textAlignment w:val="auto"/>
        <w:rPr>
          <w:rFonts w:hint="default" w:ascii="宋体" w:hAnsi="宋体" w:eastAsia="宋体"/>
          <w:color w:val="auto"/>
          <w:sz w:val="24"/>
          <w:szCs w:val="24"/>
          <w:highlight w:val="none"/>
          <w:u w:val="single"/>
          <w:lang w:val="en-US" w:eastAsia="zh-CN"/>
        </w:rPr>
      </w:pPr>
      <w:r>
        <w:rPr>
          <w:rFonts w:hint="eastAsia" w:ascii="宋体"/>
          <w:color w:val="auto"/>
          <w:kern w:val="0"/>
          <w:sz w:val="24"/>
          <w:szCs w:val="24"/>
          <w:highlight w:val="none"/>
        </w:rPr>
        <w:t>工程地点:</w:t>
      </w: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u w:val="single"/>
          <w:lang w:val="en-US" w:eastAsia="zh-CN"/>
        </w:rPr>
        <w:t xml:space="preserve">                           </w:t>
      </w:r>
    </w:p>
    <w:p w14:paraId="4CFE860F">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eastAsia="宋体"/>
          <w:color w:val="auto"/>
          <w:kern w:val="0"/>
          <w:sz w:val="24"/>
          <w:szCs w:val="24"/>
          <w:highlight w:val="none"/>
          <w:lang w:val="en-US" w:eastAsia="zh-CN"/>
        </w:rPr>
      </w:pP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rPr>
        <w:t>合同编号：____________________________</w:t>
      </w:r>
    </w:p>
    <w:p w14:paraId="5683B6DB">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color w:val="auto"/>
          <w:kern w:val="0"/>
          <w:sz w:val="24"/>
          <w:szCs w:val="24"/>
          <w:highlight w:val="none"/>
        </w:rPr>
      </w:pP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rPr>
        <w:t>证书等级：_____________________________</w:t>
      </w:r>
    </w:p>
    <w:p w14:paraId="2FEF585F">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color w:val="auto"/>
          <w:kern w:val="0"/>
          <w:sz w:val="24"/>
          <w:szCs w:val="24"/>
          <w:highlight w:val="none"/>
        </w:rPr>
      </w:pP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lang w:eastAsia="zh-CN"/>
        </w:rPr>
        <w:t>委托</w:t>
      </w:r>
      <w:r>
        <w:rPr>
          <w:rFonts w:hint="eastAsia" w:ascii="宋体"/>
          <w:color w:val="auto"/>
          <w:kern w:val="0"/>
          <w:sz w:val="24"/>
          <w:szCs w:val="24"/>
          <w:highlight w:val="none"/>
        </w:rPr>
        <w:t>人：________________________________</w:t>
      </w:r>
    </w:p>
    <w:p w14:paraId="6C9FF1DA">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color w:val="auto"/>
          <w:kern w:val="0"/>
          <w:sz w:val="24"/>
          <w:szCs w:val="24"/>
          <w:highlight w:val="none"/>
        </w:rPr>
      </w:pPr>
      <w:r>
        <w:rPr>
          <w:rFonts w:hint="eastAsia" w:ascii="宋体"/>
          <w:color w:val="auto"/>
          <w:kern w:val="0"/>
          <w:sz w:val="24"/>
          <w:szCs w:val="24"/>
          <w:highlight w:val="none"/>
          <w:lang w:val="en-US" w:eastAsia="zh-CN"/>
        </w:rPr>
        <w:t xml:space="preserve">   供应商</w:t>
      </w:r>
      <w:r>
        <w:rPr>
          <w:rFonts w:hint="eastAsia" w:ascii="宋体"/>
          <w:color w:val="auto"/>
          <w:kern w:val="0"/>
          <w:sz w:val="24"/>
          <w:szCs w:val="24"/>
          <w:highlight w:val="none"/>
        </w:rPr>
        <w:t>：________________________________</w:t>
      </w:r>
    </w:p>
    <w:p w14:paraId="14A83DD4">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color w:val="auto"/>
          <w:kern w:val="0"/>
          <w:sz w:val="24"/>
          <w:szCs w:val="24"/>
          <w:highlight w:val="none"/>
        </w:rPr>
      </w:pPr>
      <w:r>
        <w:rPr>
          <w:rFonts w:hint="eastAsia" w:ascii="宋体"/>
          <w:color w:val="auto"/>
          <w:kern w:val="0"/>
          <w:sz w:val="24"/>
          <w:szCs w:val="24"/>
          <w:highlight w:val="none"/>
          <w:lang w:val="en-US" w:eastAsia="zh-CN"/>
        </w:rPr>
        <w:t xml:space="preserve">   </w:t>
      </w:r>
      <w:r>
        <w:rPr>
          <w:rFonts w:hint="eastAsia" w:ascii="宋体"/>
          <w:color w:val="auto"/>
          <w:kern w:val="0"/>
          <w:sz w:val="24"/>
          <w:szCs w:val="24"/>
          <w:highlight w:val="none"/>
        </w:rPr>
        <w:t>签订日期：______________________________</w:t>
      </w:r>
    </w:p>
    <w:p w14:paraId="2CEA5D2A">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b/>
          <w:bCs/>
          <w:color w:val="auto"/>
          <w:kern w:val="0"/>
          <w:sz w:val="24"/>
          <w:highlight w:val="none"/>
        </w:rPr>
      </w:pPr>
      <w:r>
        <w:rPr>
          <w:rFonts w:hint="eastAsia" w:ascii="宋体"/>
          <w:b/>
          <w:bCs/>
          <w:color w:val="auto"/>
          <w:kern w:val="0"/>
          <w:sz w:val="24"/>
          <w:highlight w:val="none"/>
        </w:rPr>
        <w:t xml:space="preserve"> </w:t>
      </w:r>
    </w:p>
    <w:p w14:paraId="2515882D">
      <w:pPr>
        <w:autoSpaceDE w:val="0"/>
        <w:autoSpaceDN w:val="0"/>
        <w:adjustRightInd w:val="0"/>
        <w:spacing w:before="100" w:after="100"/>
        <w:jc w:val="center"/>
        <w:rPr>
          <w:rFonts w:hint="eastAsia" w:ascii="宋体"/>
          <w:b/>
          <w:bCs/>
          <w:color w:val="auto"/>
          <w:kern w:val="0"/>
          <w:sz w:val="24"/>
          <w:highlight w:val="none"/>
        </w:rPr>
      </w:pPr>
      <w:r>
        <w:rPr>
          <w:rFonts w:hint="eastAsia" w:ascii="宋体"/>
          <w:b/>
          <w:bCs/>
          <w:color w:val="auto"/>
          <w:kern w:val="0"/>
          <w:sz w:val="24"/>
          <w:highlight w:val="none"/>
        </w:rPr>
        <w:t xml:space="preserve"> </w:t>
      </w:r>
    </w:p>
    <w:p w14:paraId="1C4A4540">
      <w:pPr>
        <w:autoSpaceDE w:val="0"/>
        <w:autoSpaceDN w:val="0"/>
        <w:adjustRightInd w:val="0"/>
        <w:spacing w:before="100" w:after="100" w:line="100" w:lineRule="exact"/>
        <w:jc w:val="center"/>
        <w:rPr>
          <w:rFonts w:hint="eastAsia" w:ascii="宋体"/>
          <w:b/>
          <w:bCs/>
          <w:color w:val="auto"/>
          <w:kern w:val="0"/>
          <w:sz w:val="52"/>
          <w:szCs w:val="52"/>
          <w:highlight w:val="none"/>
        </w:rPr>
      </w:pPr>
      <w:r>
        <w:rPr>
          <w:rFonts w:hint="eastAsia" w:ascii="宋体"/>
          <w:b/>
          <w:bCs/>
          <w:color w:val="auto"/>
          <w:kern w:val="0"/>
          <w:sz w:val="52"/>
          <w:szCs w:val="52"/>
          <w:highlight w:val="none"/>
        </w:rPr>
        <w:t xml:space="preserve"> </w:t>
      </w:r>
    </w:p>
    <w:p w14:paraId="4DAE6B4E">
      <w:pPr>
        <w:autoSpaceDE w:val="0"/>
        <w:autoSpaceDN w:val="0"/>
        <w:adjustRightInd w:val="0"/>
        <w:spacing w:before="100" w:after="100" w:line="240" w:lineRule="atLeast"/>
        <w:jc w:val="center"/>
        <w:rPr>
          <w:rFonts w:hint="eastAsia" w:ascii="黑体" w:eastAsia="黑体"/>
          <w:b/>
          <w:bCs/>
          <w:color w:val="auto"/>
          <w:kern w:val="0"/>
          <w:sz w:val="36"/>
          <w:szCs w:val="36"/>
          <w:highlight w:val="none"/>
        </w:rPr>
      </w:pPr>
      <w:r>
        <w:rPr>
          <w:rFonts w:hint="eastAsia" w:ascii="黑体" w:eastAsia="黑体"/>
          <w:b/>
          <w:bCs/>
          <w:color w:val="auto"/>
          <w:kern w:val="0"/>
          <w:sz w:val="36"/>
          <w:szCs w:val="36"/>
          <w:highlight w:val="none"/>
        </w:rPr>
        <w:t xml:space="preserve"> </w:t>
      </w:r>
    </w:p>
    <w:p w14:paraId="4C1C6C20">
      <w:pPr>
        <w:autoSpaceDE w:val="0"/>
        <w:autoSpaceDN w:val="0"/>
        <w:adjustRightInd w:val="0"/>
        <w:spacing w:line="240" w:lineRule="atLeast"/>
        <w:jc w:val="center"/>
        <w:rPr>
          <w:rFonts w:hint="eastAsia" w:ascii="黑体" w:eastAsia="黑体"/>
          <w:b/>
          <w:bCs/>
          <w:color w:val="auto"/>
          <w:kern w:val="0"/>
          <w:sz w:val="36"/>
          <w:szCs w:val="36"/>
          <w:highlight w:val="none"/>
        </w:rPr>
      </w:pPr>
    </w:p>
    <w:p w14:paraId="57F3E37D">
      <w:pPr>
        <w:autoSpaceDE w:val="0"/>
        <w:autoSpaceDN w:val="0"/>
        <w:adjustRightInd w:val="0"/>
        <w:spacing w:line="240" w:lineRule="atLeast"/>
        <w:jc w:val="center"/>
        <w:rPr>
          <w:rFonts w:hint="eastAsia" w:ascii="黑体" w:eastAsia="黑体"/>
          <w:b/>
          <w:bCs/>
          <w:color w:val="auto"/>
          <w:kern w:val="0"/>
          <w:sz w:val="36"/>
          <w:szCs w:val="36"/>
          <w:highlight w:val="none"/>
        </w:rPr>
      </w:pPr>
      <w:r>
        <w:rPr>
          <w:rFonts w:hint="eastAsia" w:ascii="黑体" w:eastAsia="黑体"/>
          <w:b/>
          <w:bCs/>
          <w:color w:val="auto"/>
          <w:kern w:val="0"/>
          <w:sz w:val="36"/>
          <w:szCs w:val="36"/>
          <w:highlight w:val="none"/>
        </w:rPr>
        <w:t xml:space="preserve"> </w:t>
      </w:r>
    </w:p>
    <w:p w14:paraId="0BC3DD05">
      <w:pPr>
        <w:autoSpaceDE w:val="0"/>
        <w:autoSpaceDN w:val="0"/>
        <w:adjustRightInd w:val="0"/>
        <w:spacing w:before="100" w:after="100" w:line="240" w:lineRule="atLeast"/>
        <w:jc w:val="center"/>
        <w:rPr>
          <w:rFonts w:hint="eastAsia" w:ascii="宋体" w:hAnsi="宋体"/>
          <w:bCs/>
          <w:color w:val="auto"/>
          <w:kern w:val="0"/>
          <w:sz w:val="24"/>
          <w:highlight w:val="none"/>
        </w:rPr>
      </w:pPr>
    </w:p>
    <w:p w14:paraId="5744DFB1">
      <w:pPr>
        <w:autoSpaceDE w:val="0"/>
        <w:autoSpaceDN w:val="0"/>
        <w:adjustRightInd w:val="0"/>
        <w:spacing w:before="100" w:after="100" w:line="240" w:lineRule="atLeast"/>
        <w:jc w:val="center"/>
        <w:rPr>
          <w:rFonts w:hint="eastAsia" w:ascii="宋体" w:hAnsi="宋体"/>
          <w:bCs/>
          <w:color w:val="auto"/>
          <w:kern w:val="0"/>
          <w:sz w:val="24"/>
          <w:highlight w:val="none"/>
        </w:rPr>
      </w:pPr>
    </w:p>
    <w:p w14:paraId="29483A51">
      <w:pPr>
        <w:autoSpaceDE w:val="0"/>
        <w:autoSpaceDN w:val="0"/>
        <w:adjustRightInd w:val="0"/>
        <w:spacing w:before="100" w:after="100" w:line="240" w:lineRule="atLeast"/>
        <w:jc w:val="center"/>
        <w:rPr>
          <w:rFonts w:hint="eastAsia" w:ascii="宋体" w:hAnsi="宋体"/>
          <w:bCs/>
          <w:color w:val="auto"/>
          <w:kern w:val="0"/>
          <w:sz w:val="24"/>
          <w:highlight w:val="none"/>
        </w:rPr>
      </w:pPr>
    </w:p>
    <w:p w14:paraId="52E7F1CE">
      <w:pPr>
        <w:pageBreakBefore w:val="0"/>
        <w:widowControl w:val="0"/>
        <w:kinsoku/>
        <w:wordWrap/>
        <w:overflowPunct/>
        <w:topLinePunct w:val="0"/>
        <w:autoSpaceDE w:val="0"/>
        <w:autoSpaceDN w:val="0"/>
        <w:bidi w:val="0"/>
        <w:adjustRightInd w:val="0"/>
        <w:spacing w:before="100" w:after="100" w:line="360" w:lineRule="exact"/>
        <w:jc w:val="center"/>
        <w:textAlignment w:val="auto"/>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8"/>
          <w:szCs w:val="28"/>
          <w:highlight w:val="none"/>
        </w:rPr>
        <w:br w:type="page"/>
      </w:r>
      <w:r>
        <w:rPr>
          <w:rFonts w:hint="eastAsia" w:ascii="宋体" w:hAnsi="宋体" w:eastAsia="宋体" w:cs="宋体"/>
          <w:b/>
          <w:bCs w:val="0"/>
          <w:color w:val="auto"/>
          <w:kern w:val="0"/>
          <w:sz w:val="32"/>
          <w:szCs w:val="32"/>
          <w:highlight w:val="none"/>
        </w:rPr>
        <w:t>第一部分 协议书</w:t>
      </w:r>
    </w:p>
    <w:p w14:paraId="78D696EE">
      <w:pPr>
        <w:pageBreakBefore w:val="0"/>
        <w:widowControl w:val="0"/>
        <w:kinsoku/>
        <w:wordWrap/>
        <w:overflowPunct/>
        <w:topLinePunct w:val="0"/>
        <w:autoSpaceDE w:val="0"/>
        <w:autoSpaceDN w:val="0"/>
        <w:bidi w:val="0"/>
        <w:adjustRightInd w:val="0"/>
        <w:spacing w:before="100" w:after="100" w:line="360" w:lineRule="exact"/>
        <w:ind w:right="720"/>
        <w:jc w:val="left"/>
        <w:textAlignment w:val="auto"/>
        <w:rPr>
          <w:rFonts w:hint="eastAsia"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委托人：</w:t>
      </w:r>
      <w:r>
        <w:rPr>
          <w:rFonts w:hint="eastAsia" w:ascii="宋体" w:hAnsi="宋体" w:eastAsia="宋体" w:cs="宋体"/>
          <w:b/>
          <w:bCs/>
          <w:color w:val="auto"/>
          <w:kern w:val="0"/>
          <w:sz w:val="22"/>
          <w:szCs w:val="22"/>
          <w:highlight w:val="none"/>
          <w:u w:val="single"/>
          <w:lang w:val="en-US" w:eastAsia="zh-CN"/>
        </w:rPr>
        <w:t xml:space="preserve">      </w:t>
      </w:r>
      <w:r>
        <w:rPr>
          <w:rFonts w:hint="eastAsia" w:ascii="宋体" w:hAnsi="宋体" w:cs="宋体"/>
          <w:b/>
          <w:bCs/>
          <w:color w:val="auto"/>
          <w:kern w:val="0"/>
          <w:sz w:val="22"/>
          <w:szCs w:val="22"/>
          <w:highlight w:val="none"/>
          <w:u w:val="single"/>
          <w:lang w:val="en-US" w:eastAsia="zh-CN"/>
        </w:rPr>
        <w:t xml:space="preserve">         </w:t>
      </w:r>
      <w:r>
        <w:rPr>
          <w:rFonts w:hint="eastAsia" w:ascii="宋体" w:hAnsi="宋体" w:eastAsia="宋体" w:cs="宋体"/>
          <w:b/>
          <w:bCs/>
          <w:color w:val="auto"/>
          <w:kern w:val="0"/>
          <w:sz w:val="22"/>
          <w:szCs w:val="22"/>
          <w:highlight w:val="none"/>
          <w:u w:val="single"/>
          <w:lang w:val="en-US" w:eastAsia="zh-CN"/>
        </w:rPr>
        <w:t xml:space="preserve">    </w:t>
      </w:r>
    </w:p>
    <w:p w14:paraId="18C6DA76">
      <w:pPr>
        <w:pStyle w:val="5"/>
        <w:keepNext w:val="0"/>
        <w:keepLines w:val="0"/>
        <w:pageBreakBefore w:val="0"/>
        <w:widowControl w:val="0"/>
        <w:tabs>
          <w:tab w:val="left" w:pos="4127"/>
        </w:tabs>
        <w:kinsoku/>
        <w:wordWrap/>
        <w:overflowPunct/>
        <w:topLinePunct w:val="0"/>
        <w:autoSpaceDE/>
        <w:autoSpaceDN/>
        <w:bidi w:val="0"/>
        <w:adjustRightInd/>
        <w:snapToGrid/>
        <w:spacing w:line="360" w:lineRule="auto"/>
        <w:ind w:right="0"/>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供应商</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u w:val="single"/>
        </w:rPr>
        <w:t>【</w:t>
      </w:r>
      <w:r>
        <w:rPr>
          <w:rFonts w:hint="eastAsia" w:ascii="宋体" w:hAnsi="宋体" w:eastAsia="宋体" w:cs="宋体"/>
          <w:b/>
          <w:bCs/>
          <w:color w:val="auto"/>
          <w:sz w:val="22"/>
          <w:szCs w:val="22"/>
          <w:highlight w:val="none"/>
          <w:u w:val="single"/>
          <w:lang w:val="en-US" w:eastAsia="zh-CN"/>
        </w:rPr>
        <w:t xml:space="preserve">          </w:t>
      </w:r>
      <w:r>
        <w:rPr>
          <w:rFonts w:hint="eastAsia" w:ascii="宋体" w:hAnsi="宋体" w:eastAsia="宋体" w:cs="宋体"/>
          <w:b/>
          <w:bCs/>
          <w:color w:val="auto"/>
          <w:sz w:val="22"/>
          <w:szCs w:val="22"/>
          <w:highlight w:val="none"/>
          <w:u w:val="single"/>
        </w:rPr>
        <w:t>】</w:t>
      </w:r>
    </w:p>
    <w:p w14:paraId="55F124F1">
      <w:pPr>
        <w:pStyle w:val="5"/>
        <w:pageBreakBefore w:val="0"/>
        <w:widowControl w:val="0"/>
        <w:tabs>
          <w:tab w:val="left" w:pos="4127"/>
        </w:tabs>
        <w:kinsoku/>
        <w:wordWrap/>
        <w:overflowPunct/>
        <w:topLinePunct w:val="0"/>
        <w:bidi w:val="0"/>
        <w:spacing w:line="360" w:lineRule="exact"/>
        <w:ind w:right="-692"/>
        <w:textAlignment w:val="auto"/>
        <w:rPr>
          <w:rFonts w:hint="eastAsia" w:ascii="宋体" w:hAnsi="宋体" w:eastAsia="宋体" w:cs="宋体"/>
          <w:b/>
          <w:bCs/>
          <w:color w:val="auto"/>
          <w:sz w:val="18"/>
          <w:szCs w:val="18"/>
          <w:highlight w:val="none"/>
        </w:rPr>
      </w:pPr>
    </w:p>
    <w:p w14:paraId="298D6AF9">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根据《中华人民共和国</w:t>
      </w:r>
      <w:r>
        <w:rPr>
          <w:rFonts w:hint="eastAsia" w:ascii="宋体" w:hAnsi="宋体" w:eastAsia="宋体" w:cs="宋体"/>
          <w:color w:val="auto"/>
          <w:sz w:val="22"/>
          <w:szCs w:val="22"/>
          <w:highlight w:val="none"/>
          <w:lang w:eastAsia="zh-CN"/>
        </w:rPr>
        <w:t>民法典</w:t>
      </w:r>
      <w:r>
        <w:rPr>
          <w:rFonts w:hint="eastAsia" w:ascii="宋体" w:hAnsi="宋体" w:eastAsia="宋体" w:cs="宋体"/>
          <w:color w:val="auto"/>
          <w:sz w:val="22"/>
          <w:szCs w:val="22"/>
          <w:highlight w:val="none"/>
        </w:rPr>
        <w:t>》、《建设工程勘察设计管理条例》及国家有关政策、法令、法规，为了维护双方的合法权益，明确各自职责，双方本着平等互利、等价有偿的原则，经双方协商，签订本合同，以共同遵守。</w:t>
      </w:r>
    </w:p>
    <w:p w14:paraId="798D0BCD">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一、工程概况</w:t>
      </w:r>
    </w:p>
    <w:p w14:paraId="1A4FC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1、项目名称：</w:t>
      </w:r>
      <w:r>
        <w:rPr>
          <w:rFonts w:hint="eastAsia" w:ascii="宋体" w:hAnsi="宋体" w:eastAsia="宋体" w:cs="宋体"/>
          <w:color w:val="auto"/>
          <w:sz w:val="22"/>
          <w:szCs w:val="22"/>
          <w:highlight w:val="none"/>
          <w:lang w:val="en-US" w:eastAsia="zh-CN"/>
        </w:rPr>
        <w:t>旅游大道北段新建给水管网工程勘察设计项目</w:t>
      </w:r>
    </w:p>
    <w:p w14:paraId="0F7A95C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2、工作范围：</w:t>
      </w:r>
    </w:p>
    <w:p w14:paraId="1379F680">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项目实施范围：项目位于西安市高陵区辖区内，旅游大道北段。</w:t>
      </w:r>
    </w:p>
    <w:p w14:paraId="21B7A4F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sz w:val="22"/>
          <w:szCs w:val="22"/>
          <w:highlight w:val="none"/>
          <w:lang w:val="en-US" w:eastAsia="zh-CN"/>
        </w:rPr>
        <w:t>建设内容及任务：旅游大道北段新建给水管网工程，主要建设内容为：新建dn600供水管道共10480m、dn315供水管道1200m、dn200预留管道共600m，dn160预留管道共</w:t>
      </w:r>
      <w:r>
        <w:rPr>
          <w:rFonts w:hint="eastAsia" w:ascii="宋体" w:hAnsi="宋体" w:eastAsia="宋体" w:cs="宋体"/>
          <w:color w:val="auto"/>
          <w:kern w:val="2"/>
          <w:sz w:val="22"/>
          <w:szCs w:val="22"/>
          <w:highlight w:val="none"/>
          <w:lang w:val="en-US" w:eastAsia="zh-CN" w:bidi="ar-SA"/>
        </w:rPr>
        <w:t>420m，dn110预留管道及消火栓支管共700m，新建各类阀门井50座，新建室外地上式消火栓106座。</w:t>
      </w:r>
    </w:p>
    <w:p w14:paraId="7F9E07A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3、服务内容：主要内容包括但不限于：对本项目的工程勘察、初步设计、施工图设计等相关服务并配合施工技术交底、施工过程技术服务及验收等内容。</w:t>
      </w:r>
    </w:p>
    <w:p w14:paraId="2FCED8B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default" w:ascii="宋体" w:hAnsi="宋体" w:eastAsia="宋体" w:cs="宋体"/>
          <w:b w:val="0"/>
          <w:bCs w:val="0"/>
          <w:color w:val="auto"/>
          <w:kern w:val="0"/>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 xml:space="preserve"> 质量标准：符</w:t>
      </w:r>
      <w:r>
        <w:rPr>
          <w:rFonts w:hint="eastAsia" w:ascii="宋体" w:hAnsi="宋体" w:eastAsia="宋体" w:cs="宋体"/>
          <w:b w:val="0"/>
          <w:bCs w:val="0"/>
          <w:color w:val="auto"/>
          <w:kern w:val="0"/>
          <w:sz w:val="22"/>
          <w:szCs w:val="22"/>
          <w:highlight w:val="none"/>
          <w:lang w:val="en-US" w:eastAsia="zh-CN" w:bidi="ar-SA"/>
        </w:rPr>
        <w:t>合国家、地区、行业标准及现行有关规范标准，如国家及有关部门对规范重新修订时，以现行规范为准；规范如有遗漏，遗漏部分的内容可参阅相关的规范及标准。</w:t>
      </w:r>
    </w:p>
    <w:p w14:paraId="43125FBE">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二、合同价款</w:t>
      </w:r>
    </w:p>
    <w:p w14:paraId="72B35AD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1、本合同</w:t>
      </w:r>
      <w:r>
        <w:rPr>
          <w:rFonts w:hint="eastAsia" w:ascii="宋体" w:hAnsi="宋体" w:eastAsia="宋体" w:cs="宋体"/>
          <w:color w:val="auto"/>
          <w:sz w:val="22"/>
          <w:szCs w:val="22"/>
          <w:highlight w:val="none"/>
          <w:lang w:val="en-US" w:eastAsia="zh-CN"/>
        </w:rPr>
        <w:t>含税</w:t>
      </w:r>
      <w:r>
        <w:rPr>
          <w:rFonts w:hint="eastAsia" w:ascii="宋体" w:hAnsi="宋体" w:eastAsia="宋体" w:cs="宋体"/>
          <w:color w:val="auto"/>
          <w:sz w:val="22"/>
          <w:szCs w:val="22"/>
          <w:highlight w:val="none"/>
        </w:rPr>
        <w:t>合同价款为</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元（大写：</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其中</w:t>
      </w:r>
      <w:r>
        <w:rPr>
          <w:rFonts w:hint="eastAsia" w:ascii="宋体" w:hAnsi="宋体" w:eastAsia="宋体" w:cs="宋体"/>
          <w:color w:val="auto"/>
          <w:sz w:val="22"/>
          <w:szCs w:val="22"/>
          <w:highlight w:val="none"/>
          <w:lang w:val="en-US" w:eastAsia="zh-CN"/>
        </w:rPr>
        <w:t>含税</w:t>
      </w:r>
      <w:r>
        <w:rPr>
          <w:rFonts w:hint="eastAsia" w:ascii="宋体" w:hAnsi="宋体" w:eastAsia="宋体" w:cs="宋体"/>
          <w:color w:val="auto"/>
          <w:sz w:val="22"/>
          <w:szCs w:val="22"/>
          <w:highlight w:val="none"/>
        </w:rPr>
        <w:t>勘察费为</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元（大写：</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含税</w:t>
      </w:r>
      <w:r>
        <w:rPr>
          <w:rFonts w:hint="eastAsia" w:ascii="宋体" w:hAnsi="宋体" w:eastAsia="宋体" w:cs="宋体"/>
          <w:color w:val="auto"/>
          <w:sz w:val="22"/>
          <w:szCs w:val="22"/>
          <w:highlight w:val="none"/>
        </w:rPr>
        <w:t>设计费为</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元（大写：</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w:t>
      </w:r>
    </w:p>
    <w:p w14:paraId="6AD720F6">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outlineLvl w:val="3"/>
        <w:rPr>
          <w:rFonts w:hint="eastAsia" w:ascii="宋体" w:hAnsi="宋体" w:eastAsia="宋体" w:cs="宋体"/>
          <w:b w:val="0"/>
          <w:bCs/>
          <w:color w:val="auto"/>
          <w:sz w:val="22"/>
          <w:szCs w:val="22"/>
          <w:highlight w:val="none"/>
        </w:rPr>
      </w:pPr>
      <w:r>
        <w:rPr>
          <w:rFonts w:hint="eastAsia" w:ascii="宋体" w:hAnsi="宋体" w:cs="宋体"/>
          <w:color w:val="auto"/>
          <w:sz w:val="22"/>
          <w:szCs w:val="22"/>
          <w:highlight w:val="none"/>
          <w:lang w:val="en-US" w:eastAsia="zh-CN"/>
        </w:rPr>
        <w:t>2</w:t>
      </w:r>
      <w:r>
        <w:rPr>
          <w:rFonts w:hint="eastAsia" w:ascii="宋体" w:hAnsi="宋体" w:eastAsia="宋体" w:cs="宋体"/>
          <w:color w:val="auto"/>
          <w:sz w:val="22"/>
          <w:szCs w:val="22"/>
          <w:highlight w:val="none"/>
        </w:rPr>
        <w:t>、本工程勘察、设计费已包含</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为履行本合同项下全部义务所产生的一切费用</w:t>
      </w:r>
      <w:r>
        <w:rPr>
          <w:rFonts w:hint="eastAsia" w:ascii="宋体" w:hAnsi="宋体" w:eastAsia="宋体" w:cs="宋体"/>
          <w:b w:val="0"/>
          <w:bCs/>
          <w:color w:val="auto"/>
          <w:sz w:val="22"/>
          <w:szCs w:val="22"/>
          <w:highlight w:val="none"/>
        </w:rPr>
        <w:t>（包括但不限于勘察费、设计费、后期服务费等），除此之外，委托人不支付其他任何费用。</w:t>
      </w:r>
    </w:p>
    <w:p w14:paraId="338CF92D">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val="en-US" w:eastAsia="zh-CN"/>
        </w:rPr>
        <w:t>三、付款方式</w:t>
      </w:r>
    </w:p>
    <w:p w14:paraId="427D9E16">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outlineLvl w:val="3"/>
        <w:rPr>
          <w:rFonts w:hint="default" w:ascii="宋体" w:hAnsi="宋体" w:eastAsia="宋体" w:cs="宋体"/>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合同签订后，采购人支付成交供应商合同价的30%作为预付款，出具成果报告后经采购人验收合格后，支付剩余合同价款。</w:t>
      </w:r>
      <w:r>
        <w:rPr>
          <w:rFonts w:hint="eastAsia" w:ascii="宋体" w:hAnsi="宋体" w:eastAsia="宋体" w:cs="宋体"/>
          <w:color w:val="auto"/>
          <w:sz w:val="22"/>
          <w:szCs w:val="22"/>
          <w:highlight w:val="none"/>
          <w:lang w:val="en-US" w:eastAsia="zh-CN"/>
        </w:rPr>
        <w:t>支付前，供应商须开具有效的发票交采购人。</w:t>
      </w:r>
    </w:p>
    <w:p w14:paraId="2F5590A6">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cs="宋体"/>
          <w:b/>
          <w:color w:val="auto"/>
          <w:sz w:val="22"/>
          <w:szCs w:val="22"/>
          <w:highlight w:val="none"/>
          <w:lang w:val="en-US" w:eastAsia="zh-CN"/>
        </w:rPr>
        <w:t>四</w:t>
      </w:r>
      <w:r>
        <w:rPr>
          <w:rFonts w:hint="eastAsia" w:ascii="宋体" w:hAnsi="宋体" w:eastAsia="宋体" w:cs="宋体"/>
          <w:b/>
          <w:color w:val="auto"/>
          <w:sz w:val="22"/>
          <w:szCs w:val="22"/>
          <w:highlight w:val="none"/>
        </w:rPr>
        <w:t>、下列文件为本合同的组成部分</w:t>
      </w:r>
    </w:p>
    <w:p w14:paraId="6485DDDA">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1、合同及附件（含评标和合同签订期间的澄清文件）；</w:t>
      </w:r>
    </w:p>
    <w:p w14:paraId="4054C783">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cs="宋体"/>
          <w:color w:val="auto"/>
          <w:sz w:val="22"/>
          <w:szCs w:val="22"/>
          <w:highlight w:val="none"/>
          <w:lang w:eastAsia="zh-CN"/>
        </w:rPr>
        <w:t>成交</w:t>
      </w:r>
      <w:r>
        <w:rPr>
          <w:rFonts w:hint="eastAsia" w:ascii="宋体" w:hAnsi="宋体" w:eastAsia="宋体" w:cs="宋体"/>
          <w:color w:val="auto"/>
          <w:sz w:val="22"/>
          <w:szCs w:val="22"/>
          <w:highlight w:val="none"/>
        </w:rPr>
        <w:t>通知书；</w:t>
      </w:r>
    </w:p>
    <w:p w14:paraId="3C7BC7D7">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3、合同条款；</w:t>
      </w:r>
      <w:r>
        <w:rPr>
          <w:rFonts w:hint="eastAsia" w:ascii="宋体" w:hAnsi="宋体" w:eastAsia="宋体" w:cs="宋体"/>
          <w:color w:val="auto"/>
          <w:sz w:val="22"/>
          <w:szCs w:val="22"/>
          <w:highlight w:val="none"/>
        </w:rPr>
        <w:tab/>
      </w:r>
    </w:p>
    <w:p w14:paraId="36AF86C9">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4、设计工作大纲；</w:t>
      </w:r>
    </w:p>
    <w:p w14:paraId="179062F0">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5、双方协商同意的变更、纪要和协议；</w:t>
      </w:r>
    </w:p>
    <w:p w14:paraId="51B078E9">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lang w:eastAsia="zh-CN"/>
        </w:rPr>
        <w:t>磋商文件</w:t>
      </w:r>
    </w:p>
    <w:p w14:paraId="7F7A2098">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7、</w:t>
      </w:r>
      <w:r>
        <w:rPr>
          <w:rFonts w:hint="eastAsia" w:ascii="宋体" w:hAnsi="宋体" w:eastAsia="宋体" w:cs="宋体"/>
          <w:color w:val="auto"/>
          <w:sz w:val="22"/>
          <w:szCs w:val="22"/>
          <w:highlight w:val="none"/>
          <w:lang w:eastAsia="zh-CN"/>
        </w:rPr>
        <w:t>响应文件</w:t>
      </w:r>
    </w:p>
    <w:p w14:paraId="030F5D6C">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上述文件互为补充和解释，如有模棱两可或互相矛盾处，以上面所列顺序在前的为准，同一顺序的以时间在后的为准。</w:t>
      </w:r>
    </w:p>
    <w:p w14:paraId="608D1414">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cs="宋体"/>
          <w:b/>
          <w:color w:val="auto"/>
          <w:sz w:val="22"/>
          <w:szCs w:val="22"/>
          <w:highlight w:val="none"/>
          <w:lang w:val="en-US" w:eastAsia="zh-CN"/>
        </w:rPr>
        <w:t>五</w:t>
      </w:r>
      <w:r>
        <w:rPr>
          <w:rFonts w:hint="eastAsia" w:ascii="宋体" w:hAnsi="宋体" w:eastAsia="宋体" w:cs="宋体"/>
          <w:b/>
          <w:color w:val="auto"/>
          <w:sz w:val="22"/>
          <w:szCs w:val="22"/>
          <w:highlight w:val="none"/>
        </w:rPr>
        <w:t>、设计文件份数</w:t>
      </w:r>
    </w:p>
    <w:p w14:paraId="41A953D5">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工程勘察报告一式</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份；设计文件一式</w:t>
      </w:r>
      <w:r>
        <w:rPr>
          <w:rFonts w:hint="eastAsia" w:ascii="宋体" w:hAnsi="宋体" w:eastAsia="宋体" w:cs="宋体"/>
          <w:color w:val="auto"/>
          <w:sz w:val="22"/>
          <w:szCs w:val="22"/>
          <w:highlight w:val="none"/>
          <w:u w:val="none"/>
          <w:lang w:val="en-US" w:eastAsia="zh-CN"/>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份；并提供相应电子版文件</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套。</w:t>
      </w:r>
    </w:p>
    <w:p w14:paraId="318E9AA7">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cs="宋体"/>
          <w:b/>
          <w:color w:val="auto"/>
          <w:sz w:val="22"/>
          <w:szCs w:val="22"/>
          <w:highlight w:val="none"/>
          <w:lang w:val="en-US" w:eastAsia="zh-CN"/>
        </w:rPr>
        <w:t>六</w:t>
      </w:r>
      <w:r>
        <w:rPr>
          <w:rFonts w:hint="eastAsia" w:ascii="宋体" w:hAnsi="宋体" w:eastAsia="宋体" w:cs="宋体"/>
          <w:b/>
          <w:color w:val="auto"/>
          <w:sz w:val="22"/>
          <w:szCs w:val="22"/>
          <w:highlight w:val="none"/>
        </w:rPr>
        <w:t>、勘察及设计周期</w:t>
      </w:r>
    </w:p>
    <w:p w14:paraId="3480B405">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outlineLvl w:val="3"/>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本工程总勘察及设计周期为</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个日历天</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包括勘察、初步设计及施工图设计的工作周期。</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须按下列时间分别将各阶段设计成果送达委托人要求的地点，并完成相关技术服务工作。</w:t>
      </w:r>
    </w:p>
    <w:p w14:paraId="64A8F20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1、勘察周期：</w:t>
      </w:r>
    </w:p>
    <w:p w14:paraId="59BFB37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签订合同后</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个日历天内完成勘察工作并提供勘察成果资料和文件；</w:t>
      </w:r>
    </w:p>
    <w:p w14:paraId="319471D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2、设计周期（可根据实际情况细化或合并）</w:t>
      </w:r>
    </w:p>
    <w:p w14:paraId="0CE8540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2.1初步设计周期</w:t>
      </w:r>
    </w:p>
    <w:p w14:paraId="4092489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签订合同后</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个日历天内完成初步设计工作并提供初步设计文件；</w:t>
      </w:r>
    </w:p>
    <w:p w14:paraId="4E6EC2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2.2施工图设计周期：</w:t>
      </w:r>
    </w:p>
    <w:p w14:paraId="6C433CAB">
      <w:pPr>
        <w:keepNext w:val="0"/>
        <w:keepLines w:val="0"/>
        <w:pageBreakBefore w:val="0"/>
        <w:widowControl w:val="0"/>
        <w:tabs>
          <w:tab w:val="left" w:pos="540"/>
        </w:tabs>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从初步设计文件审批通过之日起，所有施工图设计应在</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个日历天内全部完成；</w:t>
      </w:r>
    </w:p>
    <w:p w14:paraId="61C0A1D7">
      <w:pPr>
        <w:keepNext w:val="0"/>
        <w:keepLines w:val="0"/>
        <w:pageBreakBefore w:val="0"/>
        <w:widowControl w:val="0"/>
        <w:tabs>
          <w:tab w:val="left" w:pos="540"/>
        </w:tabs>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相关技术服务周期：</w:t>
      </w:r>
    </w:p>
    <w:p w14:paraId="5A396A4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相关技术服务工作包括施工招标配合服务、施工现场配合服务及工程竣工阶段的配合服务等，直至工程施工缺陷责任期满止。</w:t>
      </w:r>
    </w:p>
    <w:p w14:paraId="2E6AEE4A">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cs="宋体"/>
          <w:b/>
          <w:color w:val="auto"/>
          <w:sz w:val="22"/>
          <w:szCs w:val="22"/>
          <w:highlight w:val="none"/>
          <w:lang w:val="en-US" w:eastAsia="zh-CN"/>
        </w:rPr>
        <w:t>七</w:t>
      </w:r>
      <w:r>
        <w:rPr>
          <w:rFonts w:hint="eastAsia" w:ascii="宋体" w:hAnsi="宋体" w:eastAsia="宋体" w:cs="宋体"/>
          <w:b/>
          <w:color w:val="auto"/>
          <w:sz w:val="22"/>
          <w:szCs w:val="22"/>
          <w:highlight w:val="none"/>
        </w:rPr>
        <w:t>、双方承诺</w:t>
      </w:r>
    </w:p>
    <w:p w14:paraId="5282957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按照合同规定履行责任与义务，委托人按合同约定向</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结算相关费用。</w:t>
      </w:r>
    </w:p>
    <w:p w14:paraId="08DC75B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承诺对上列各阶段勘察成果、设计成果质量终身负责，并提供使委托人满意的勘察及设计服务。</w:t>
      </w:r>
    </w:p>
    <w:p w14:paraId="00F20C1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3、委托人所有需提供的资料已在招标时全部提供，勘察设计工作所需的其它相关资料由</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自行负责收集,其费用已经包含在合同价款中，委托人不另行支付。</w:t>
      </w:r>
    </w:p>
    <w:p w14:paraId="799F398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本合同（包括合同文件）表达了双方所有的协议、谅解、承诺和契约，并汇集、结合和取代了所有以往的协商、谅解与协议（本合同附带的《合同条款》除外）。除在本合同中有特别规定或用书面阐明并与该合同履行了相同手续外，该合同的修改或变动均为无效或对双方不具约束力。</w:t>
      </w:r>
    </w:p>
    <w:p w14:paraId="0D437F5C">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color w:val="auto"/>
          <w:sz w:val="22"/>
          <w:szCs w:val="22"/>
          <w:highlight w:val="none"/>
        </w:rPr>
      </w:pPr>
      <w:r>
        <w:rPr>
          <w:rFonts w:hint="eastAsia" w:ascii="宋体" w:hAnsi="宋体" w:cs="宋体"/>
          <w:b/>
          <w:color w:val="auto"/>
          <w:sz w:val="22"/>
          <w:szCs w:val="22"/>
          <w:highlight w:val="none"/>
          <w:lang w:val="en-US" w:eastAsia="zh-CN"/>
        </w:rPr>
        <w:t>八</w:t>
      </w:r>
      <w:r>
        <w:rPr>
          <w:rFonts w:hint="eastAsia" w:ascii="宋体" w:hAnsi="宋体" w:eastAsia="宋体" w:cs="宋体"/>
          <w:b/>
          <w:color w:val="auto"/>
          <w:sz w:val="22"/>
          <w:szCs w:val="22"/>
          <w:highlight w:val="none"/>
        </w:rPr>
        <w:t>、验收</w:t>
      </w:r>
    </w:p>
    <w:p w14:paraId="4FFF1BC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本项目验收费用，由</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rPr>
        <w:t>自行承担。</w:t>
      </w:r>
    </w:p>
    <w:p w14:paraId="7BAAD7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服务期满后，由</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rPr>
        <w:t>向</w:t>
      </w:r>
      <w:r>
        <w:rPr>
          <w:rFonts w:hint="eastAsia" w:ascii="宋体" w:hAnsi="宋体" w:eastAsia="宋体" w:cs="宋体"/>
          <w:color w:val="auto"/>
          <w:sz w:val="22"/>
          <w:szCs w:val="22"/>
          <w:highlight w:val="none"/>
          <w:lang w:val="en-US" w:eastAsia="zh-CN"/>
        </w:rPr>
        <w:t>委托人</w:t>
      </w:r>
      <w:r>
        <w:rPr>
          <w:rFonts w:hint="eastAsia" w:ascii="宋体" w:hAnsi="宋体" w:eastAsia="宋体" w:cs="宋体"/>
          <w:color w:val="auto"/>
          <w:sz w:val="22"/>
          <w:szCs w:val="22"/>
          <w:highlight w:val="none"/>
        </w:rPr>
        <w:t>递交验收通知书，经</w:t>
      </w:r>
      <w:r>
        <w:rPr>
          <w:rFonts w:hint="eastAsia" w:ascii="宋体" w:hAnsi="宋体" w:eastAsia="宋体" w:cs="宋体"/>
          <w:color w:val="auto"/>
          <w:sz w:val="22"/>
          <w:szCs w:val="22"/>
          <w:highlight w:val="none"/>
          <w:lang w:val="en-US" w:eastAsia="zh-CN"/>
        </w:rPr>
        <w:t>委托人</w:t>
      </w:r>
      <w:r>
        <w:rPr>
          <w:rFonts w:hint="eastAsia" w:ascii="宋体" w:hAnsi="宋体" w:eastAsia="宋体" w:cs="宋体"/>
          <w:color w:val="auto"/>
          <w:sz w:val="22"/>
          <w:szCs w:val="22"/>
          <w:highlight w:val="none"/>
        </w:rPr>
        <w:t>确认后，组织</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rPr>
        <w:t>进行验收。验收合格后，填写政府采购项目验收单作为对本次服务的最终认可。</w:t>
      </w:r>
    </w:p>
    <w:p w14:paraId="4C3ED87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验收依据：</w:t>
      </w:r>
    </w:p>
    <w:p w14:paraId="44BD92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本合同及附加文本；</w:t>
      </w:r>
    </w:p>
    <w:p w14:paraId="02E6842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lang w:eastAsia="zh-CN"/>
        </w:rPr>
        <w:t>）磋商文件</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的</w:t>
      </w:r>
      <w:r>
        <w:rPr>
          <w:rFonts w:hint="eastAsia" w:ascii="宋体" w:hAnsi="宋体" w:eastAsia="宋体" w:cs="宋体"/>
          <w:color w:val="auto"/>
          <w:sz w:val="22"/>
          <w:szCs w:val="22"/>
          <w:highlight w:val="none"/>
          <w:lang w:eastAsia="zh-CN"/>
        </w:rPr>
        <w:t>响应文件</w:t>
      </w:r>
      <w:r>
        <w:rPr>
          <w:rFonts w:hint="eastAsia" w:ascii="宋体" w:hAnsi="宋体" w:eastAsia="宋体" w:cs="宋体"/>
          <w:color w:val="auto"/>
          <w:sz w:val="22"/>
          <w:szCs w:val="22"/>
          <w:highlight w:val="none"/>
        </w:rPr>
        <w:t>及澄清（承诺）函；</w:t>
      </w:r>
    </w:p>
    <w:p w14:paraId="1743127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国家相应的标准、规范。</w:t>
      </w:r>
    </w:p>
    <w:p w14:paraId="7217D36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rPr>
          <w:rFonts w:hint="eastAsia" w:ascii="宋体" w:hAnsi="宋体" w:cs="宋体"/>
          <w:b/>
          <w:bCs/>
          <w:color w:val="auto"/>
          <w:sz w:val="22"/>
          <w:szCs w:val="22"/>
          <w:highlight w:val="none"/>
          <w:lang w:val="en-US" w:eastAsia="zh-CN"/>
        </w:rPr>
      </w:pPr>
      <w:r>
        <w:rPr>
          <w:rFonts w:hint="eastAsia" w:ascii="宋体" w:hAnsi="宋体" w:cs="宋体"/>
          <w:b/>
          <w:bCs/>
          <w:color w:val="auto"/>
          <w:sz w:val="22"/>
          <w:szCs w:val="22"/>
          <w:highlight w:val="none"/>
          <w:lang w:val="en-US" w:eastAsia="zh-CN"/>
        </w:rPr>
        <w:t>九</w:t>
      </w:r>
      <w:r>
        <w:rPr>
          <w:rFonts w:hint="eastAsia" w:ascii="宋体" w:hAnsi="宋体" w:eastAsia="宋体" w:cs="宋体"/>
          <w:b/>
          <w:bCs/>
          <w:color w:val="auto"/>
          <w:sz w:val="22"/>
          <w:szCs w:val="22"/>
          <w:highlight w:val="none"/>
        </w:rPr>
        <w:t>、</w:t>
      </w:r>
      <w:r>
        <w:rPr>
          <w:rFonts w:hint="eastAsia" w:ascii="宋体" w:hAnsi="宋体" w:cs="宋体"/>
          <w:b/>
          <w:bCs/>
          <w:color w:val="auto"/>
          <w:sz w:val="22"/>
          <w:szCs w:val="22"/>
          <w:highlight w:val="none"/>
          <w:lang w:val="en-US" w:eastAsia="zh-CN"/>
        </w:rPr>
        <w:t>违约条款</w:t>
      </w:r>
    </w:p>
    <w:p w14:paraId="405BCA3B">
      <w:pPr>
        <w:pStyle w:val="2"/>
        <w:ind w:firstLine="660" w:firstLineChars="30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按《民法典》中的相关条款执行；</w:t>
      </w:r>
    </w:p>
    <w:p w14:paraId="79699AA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w:t>
      </w:r>
      <w:r>
        <w:rPr>
          <w:rFonts w:hint="eastAsia" w:ascii="宋体" w:hAnsi="宋体" w:eastAsia="宋体" w:cs="宋体"/>
          <w:color w:val="auto"/>
          <w:sz w:val="22"/>
          <w:szCs w:val="22"/>
          <w:highlight w:val="none"/>
          <w:lang w:val="en-US" w:eastAsia="zh-CN"/>
        </w:rPr>
        <w:t>甲乙双方应当诚信、全面履行本合同，如有违约，应赔偿由此给守约方造成的全部损失。</w:t>
      </w:r>
    </w:p>
    <w:p w14:paraId="500EA14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2、</w:t>
      </w:r>
      <w:r>
        <w:rPr>
          <w:rFonts w:hint="eastAsia" w:ascii="宋体" w:hAnsi="宋体" w:eastAsia="宋体" w:cs="宋体"/>
          <w:color w:val="auto"/>
          <w:sz w:val="22"/>
          <w:szCs w:val="22"/>
          <w:highlight w:val="none"/>
          <w:lang w:val="en-US" w:eastAsia="zh-CN"/>
        </w:rPr>
        <w:t>在受托方依约履行本合同的前提下，委托方迟延支付服务费用的，每迟1日，应当按照应付而未付金额的1‰向受托方支付违约金。</w:t>
      </w:r>
    </w:p>
    <w:p w14:paraId="2D1E037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3、</w:t>
      </w:r>
      <w:r>
        <w:rPr>
          <w:rFonts w:hint="eastAsia" w:ascii="宋体" w:hAnsi="宋体" w:eastAsia="宋体" w:cs="宋体"/>
          <w:color w:val="auto"/>
          <w:sz w:val="22"/>
          <w:szCs w:val="22"/>
          <w:highlight w:val="none"/>
          <w:lang w:val="en-US" w:eastAsia="zh-CN"/>
        </w:rPr>
        <w:t>受托方未能按时提交符合本合同约定的成果文件资料，每延迟1日，应按服务费总额的1‰支付违约金，延迟达到30日，委托方有权单方解除本合同。受托方连续两次没有通过专家评审会审查，甲方有权无条件解除合同，且按照合同不支付任何费用。</w:t>
      </w:r>
    </w:p>
    <w:p w14:paraId="4AB4A6B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4、</w:t>
      </w:r>
      <w:r>
        <w:rPr>
          <w:rFonts w:hint="eastAsia" w:ascii="宋体" w:hAnsi="宋体" w:eastAsia="宋体" w:cs="宋体"/>
          <w:color w:val="auto"/>
          <w:sz w:val="22"/>
          <w:szCs w:val="22"/>
          <w:highlight w:val="none"/>
          <w:lang w:val="en-US" w:eastAsia="zh-CN"/>
        </w:rPr>
        <w:t>因受托方不具备政府相关部门确认的资格而给委托方造成的一切损失，由受托方负责赔偿。</w:t>
      </w:r>
    </w:p>
    <w:p w14:paraId="65A189CD">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firstLine="442" w:firstLineChars="200"/>
        <w:textAlignment w:val="auto"/>
        <w:rPr>
          <w:rFonts w:hint="eastAsia" w:ascii="宋体" w:hAnsi="宋体" w:eastAsia="宋体" w:cs="宋体"/>
          <w:b/>
          <w:bCs/>
          <w:color w:val="auto"/>
          <w:sz w:val="22"/>
          <w:szCs w:val="22"/>
          <w:highlight w:val="none"/>
        </w:rPr>
      </w:pPr>
      <w:r>
        <w:rPr>
          <w:rFonts w:hint="eastAsia" w:ascii="宋体" w:hAnsi="宋体" w:cs="宋体"/>
          <w:b/>
          <w:bCs/>
          <w:color w:val="auto"/>
          <w:sz w:val="22"/>
          <w:szCs w:val="22"/>
          <w:highlight w:val="none"/>
          <w:lang w:val="en-US" w:eastAsia="zh-CN"/>
        </w:rPr>
        <w:t>十、</w:t>
      </w:r>
      <w:r>
        <w:rPr>
          <w:rFonts w:hint="eastAsia" w:ascii="宋体" w:hAnsi="宋体" w:eastAsia="宋体" w:cs="宋体"/>
          <w:b/>
          <w:bCs/>
          <w:color w:val="auto"/>
          <w:sz w:val="22"/>
          <w:szCs w:val="22"/>
          <w:highlight w:val="none"/>
        </w:rPr>
        <w:t>其他约定：</w:t>
      </w:r>
    </w:p>
    <w:p w14:paraId="4837EC78">
      <w:pPr>
        <w:keepNext w:val="0"/>
        <w:keepLines w:val="0"/>
        <w:spacing w:line="360" w:lineRule="auto"/>
        <w:ind w:firstLine="440" w:firstLineChars="200"/>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按《中华人民共和国民法典》中的相关条款执行</w:t>
      </w:r>
    </w:p>
    <w:p w14:paraId="3FBB23E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1</w:t>
      </w:r>
      <w:r>
        <w:rPr>
          <w:rFonts w:hint="eastAsia" w:ascii="宋体" w:hAnsi="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rPr>
        <w:t>供应商承诺对各阶段勘察成果、设计成果质量终身负责，并提供使委托人满意的勘察及设计服务。</w:t>
      </w:r>
    </w:p>
    <w:p w14:paraId="2F8733A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2</w:t>
      </w:r>
      <w:r>
        <w:rPr>
          <w:rFonts w:hint="eastAsia" w:ascii="宋体" w:hAnsi="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rPr>
        <w:t>委托人所有需提供的资料已在合同中约定并按时提供，勘察设计工作所需的其它相关资料由供应商自行负责收集,其费用已经包含在合同价款中，委托人不另行支付。</w:t>
      </w:r>
    </w:p>
    <w:p w14:paraId="4B811A4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lang w:val="en-US" w:eastAsia="zh-CN"/>
        </w:rPr>
        <w:t>3</w:t>
      </w:r>
      <w:r>
        <w:rPr>
          <w:rFonts w:hint="eastAsia" w:ascii="宋体" w:hAnsi="宋体" w:cs="宋体"/>
          <w:b w:val="0"/>
          <w:bCs w:val="0"/>
          <w:color w:val="auto"/>
          <w:sz w:val="22"/>
          <w:szCs w:val="22"/>
          <w:highlight w:val="none"/>
          <w:lang w:val="en-US" w:eastAsia="zh-CN"/>
        </w:rPr>
        <w:t>、</w:t>
      </w:r>
      <w:r>
        <w:rPr>
          <w:rFonts w:hint="eastAsia" w:ascii="宋体" w:hAnsi="宋体" w:eastAsia="宋体" w:cs="宋体"/>
          <w:b w:val="0"/>
          <w:bCs w:val="0"/>
          <w:color w:val="auto"/>
          <w:sz w:val="22"/>
          <w:szCs w:val="22"/>
          <w:highlight w:val="none"/>
        </w:rPr>
        <w:t>供应商不按照双方签订的合同及委托人相关标准规范履约，未按合同要求提供服务或服务质量不能满足技术要求的，采购人有权终止合同，并对成交单位违约行为进行追究，同时按《中华人民共和国政府采购法》的有关规定进行处罚。</w:t>
      </w:r>
    </w:p>
    <w:p w14:paraId="647CB4B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lang w:val="en-US" w:eastAsia="zh-CN"/>
        </w:rPr>
        <w:t>4</w:t>
      </w:r>
      <w:r>
        <w:rPr>
          <w:rFonts w:hint="eastAsia" w:ascii="宋体" w:hAnsi="宋体" w:cs="宋体"/>
          <w:b w:val="0"/>
          <w:bCs w:val="0"/>
          <w:color w:val="auto"/>
          <w:sz w:val="22"/>
          <w:szCs w:val="22"/>
          <w:highlight w:val="none"/>
          <w:lang w:val="en-US" w:eastAsia="zh-CN"/>
        </w:rPr>
        <w:t>、</w:t>
      </w:r>
      <w:r>
        <w:rPr>
          <w:rFonts w:hint="eastAsia" w:ascii="宋体" w:hAnsi="宋体" w:eastAsia="宋体" w:cs="宋体"/>
          <w:b w:val="0"/>
          <w:bCs w:val="0"/>
          <w:color w:val="auto"/>
          <w:sz w:val="22"/>
          <w:szCs w:val="22"/>
          <w:highlight w:val="none"/>
        </w:rPr>
        <w:t>勘察、设计文件存在错误、遗漏、含混、矛盾、不充分之处或其他缺陷，无论勘察、设计是否通过了委托人审查或审查机构审查，供应商均应自费对前述问题带来的缺陷和工程问题进行改正，因委托人提供的文件错误导致的除外。</w:t>
      </w:r>
    </w:p>
    <w:p w14:paraId="563CBD2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因供应商原因造成勘察、设计文件不合格的，委托人有权要求供应商采取补救措施，直至达到合同要求的质量标准，并承担违约责任，具体违约金计算方法为：</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rPr>
        <w:t xml:space="preserve">。 </w:t>
      </w:r>
    </w:p>
    <w:p w14:paraId="3FB646A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因委托人原因造成设计文件不合格的，供应商应当采取补救措施，直至达到合同要求的质量标准，由此造成的费用增加或服务期限延误由委托人承担。</w:t>
      </w:r>
    </w:p>
    <w:p w14:paraId="4A6AB81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lang w:val="en-US" w:eastAsia="zh-CN"/>
        </w:rPr>
        <w:t>5</w:t>
      </w:r>
      <w:r>
        <w:rPr>
          <w:rFonts w:hint="eastAsia" w:ascii="宋体" w:hAnsi="宋体" w:cs="宋体"/>
          <w:b w:val="0"/>
          <w:bCs w:val="0"/>
          <w:color w:val="auto"/>
          <w:sz w:val="22"/>
          <w:szCs w:val="22"/>
          <w:highlight w:val="none"/>
          <w:lang w:val="en-US" w:eastAsia="zh-CN"/>
        </w:rPr>
        <w:t>、</w:t>
      </w:r>
      <w:r>
        <w:rPr>
          <w:rFonts w:hint="eastAsia" w:ascii="宋体" w:hAnsi="宋体" w:eastAsia="宋体" w:cs="宋体"/>
          <w:b w:val="0"/>
          <w:bCs w:val="0"/>
          <w:color w:val="auto"/>
          <w:sz w:val="22"/>
          <w:szCs w:val="22"/>
          <w:highlight w:val="none"/>
        </w:rPr>
        <w:t>由于供应商原因造成周期延误，供应商应支付逾期违约金。逾期违约金的计算方法为：</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rPr>
        <w:t>；最高限额为：</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rPr>
        <w:t>。</w:t>
      </w:r>
    </w:p>
    <w:p w14:paraId="70A5AE1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b/>
          <w:bCs/>
          <w:color w:val="auto"/>
          <w:sz w:val="22"/>
          <w:szCs w:val="22"/>
          <w:highlight w:val="none"/>
        </w:rPr>
      </w:pPr>
      <w:r>
        <w:rPr>
          <w:rFonts w:hint="eastAsia" w:ascii="宋体" w:hAnsi="宋体" w:eastAsia="宋体" w:cs="宋体"/>
          <w:b w:val="0"/>
          <w:bCs w:val="0"/>
          <w:color w:val="auto"/>
          <w:sz w:val="22"/>
          <w:szCs w:val="22"/>
          <w:highlight w:val="none"/>
          <w:lang w:val="en-US" w:eastAsia="zh-CN"/>
        </w:rPr>
        <w:t>6、</w:t>
      </w:r>
      <w:r>
        <w:rPr>
          <w:rFonts w:hint="eastAsia" w:ascii="宋体" w:hAnsi="宋体" w:eastAsia="宋体" w:cs="宋体"/>
          <w:b w:val="0"/>
          <w:bCs w:val="0"/>
          <w:color w:val="auto"/>
          <w:sz w:val="22"/>
          <w:szCs w:val="22"/>
          <w:highlight w:val="none"/>
        </w:rPr>
        <w:t>本合同未尽事宜由双方协商解决。</w:t>
      </w:r>
    </w:p>
    <w:p w14:paraId="413C0105">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十</w:t>
      </w:r>
      <w:r>
        <w:rPr>
          <w:rFonts w:hint="eastAsia" w:ascii="宋体" w:hAnsi="宋体" w:cs="宋体"/>
          <w:b/>
          <w:bCs/>
          <w:color w:val="auto"/>
          <w:sz w:val="22"/>
          <w:szCs w:val="22"/>
          <w:highlight w:val="none"/>
          <w:lang w:val="en-US" w:eastAsia="zh-CN"/>
        </w:rPr>
        <w:t>一</w:t>
      </w:r>
      <w:r>
        <w:rPr>
          <w:rFonts w:hint="eastAsia" w:ascii="宋体" w:hAnsi="宋体" w:eastAsia="宋体" w:cs="宋体"/>
          <w:b/>
          <w:bCs/>
          <w:color w:val="auto"/>
          <w:sz w:val="22"/>
          <w:szCs w:val="22"/>
          <w:highlight w:val="none"/>
          <w:lang w:val="en-US" w:eastAsia="zh-CN"/>
        </w:rPr>
        <w:t>、本合同一式【】份，正本【】份，副本【】份，委托人执正本【】份、副本【】份；供应商执正本【】份、副本【】份。</w:t>
      </w:r>
    </w:p>
    <w:p w14:paraId="6897DA06">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textAlignment w:val="auto"/>
        <w:outlineLvl w:val="3"/>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十</w:t>
      </w:r>
      <w:r>
        <w:rPr>
          <w:rFonts w:hint="eastAsia" w:ascii="宋体" w:hAnsi="宋体" w:cs="宋体"/>
          <w:b/>
          <w:bCs/>
          <w:color w:val="auto"/>
          <w:sz w:val="22"/>
          <w:szCs w:val="22"/>
          <w:highlight w:val="none"/>
          <w:lang w:val="en-US" w:eastAsia="zh-CN"/>
        </w:rPr>
        <w:t>二</w:t>
      </w:r>
      <w:r>
        <w:rPr>
          <w:rFonts w:hint="eastAsia" w:ascii="宋体" w:hAnsi="宋体" w:eastAsia="宋体" w:cs="宋体"/>
          <w:b/>
          <w:bCs/>
          <w:color w:val="auto"/>
          <w:sz w:val="22"/>
          <w:szCs w:val="22"/>
          <w:highlight w:val="none"/>
          <w:lang w:val="en-US" w:eastAsia="zh-CN"/>
        </w:rPr>
        <w:t>、合同生效：</w:t>
      </w:r>
    </w:p>
    <w:p w14:paraId="5829AEC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本合同经双方法定代表人或授权代理人签字（或加盖法定代表人印章）并加盖单位公章或合同专用章后生效</w:t>
      </w:r>
      <w:bookmarkStart w:id="0" w:name="_Toc28147656"/>
      <w:bookmarkStart w:id="1" w:name="_Toc36927858"/>
      <w:bookmarkStart w:id="2" w:name="_Toc28141510"/>
      <w:bookmarkStart w:id="3" w:name="_Toc27464408"/>
      <w:bookmarkStart w:id="4" w:name="_Toc27755433"/>
      <w:bookmarkStart w:id="5" w:name="_Toc27109490"/>
      <w:bookmarkStart w:id="6" w:name="_Toc27110744"/>
      <w:bookmarkStart w:id="7" w:name="_Toc27375400"/>
      <w:bookmarkStart w:id="8" w:name="_Toc27811208"/>
      <w:bookmarkStart w:id="9" w:name="_Toc27320691"/>
      <w:bookmarkStart w:id="10" w:name="_Toc27321554"/>
      <w:r>
        <w:rPr>
          <w:rFonts w:hint="eastAsia" w:ascii="宋体" w:hAnsi="宋体" w:eastAsia="宋体" w:cs="宋体"/>
          <w:color w:val="auto"/>
          <w:sz w:val="22"/>
          <w:szCs w:val="22"/>
          <w:highlight w:val="none"/>
        </w:rPr>
        <w:t>，任何于本合同签订前经双方协商但未记载于本合同之事项，对双方皆无约束力。</w:t>
      </w:r>
    </w:p>
    <w:p w14:paraId="03707C0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2" w:firstLineChars="200"/>
        <w:jc w:val="left"/>
        <w:textAlignment w:val="auto"/>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十</w:t>
      </w:r>
      <w:r>
        <w:rPr>
          <w:rFonts w:hint="eastAsia" w:ascii="宋体" w:hAnsi="宋体" w:cs="宋体"/>
          <w:b/>
          <w:bCs/>
          <w:color w:val="auto"/>
          <w:sz w:val="22"/>
          <w:szCs w:val="22"/>
          <w:highlight w:val="none"/>
          <w:lang w:val="en-US" w:eastAsia="zh-CN"/>
        </w:rPr>
        <w:t>三</w:t>
      </w:r>
      <w:r>
        <w:rPr>
          <w:rFonts w:hint="eastAsia" w:ascii="宋体" w:hAnsi="宋体" w:eastAsia="宋体" w:cs="宋体"/>
          <w:b/>
          <w:bCs/>
          <w:color w:val="auto"/>
          <w:sz w:val="22"/>
          <w:szCs w:val="22"/>
          <w:highlight w:val="none"/>
          <w:lang w:val="en-US" w:eastAsia="zh-CN"/>
        </w:rPr>
        <w:t>、争议的解决：</w:t>
      </w:r>
    </w:p>
    <w:p w14:paraId="567DF9D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双方在履行合同中发生争议的，可以友好协商解决。合同当事人友好协商解决不成的，可采取以下第</w:t>
      </w:r>
      <w:r>
        <w:rPr>
          <w:rFonts w:hint="eastAsia" w:ascii="宋体" w:hAnsi="宋体" w:eastAsia="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single"/>
          <w:lang w:val="en-US" w:eastAsia="zh-CN"/>
        </w:rPr>
        <w:t>（2）</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条方式解决</w:t>
      </w:r>
    </w:p>
    <w:p w14:paraId="43601FC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（1）向约定的仲裁委员会申请仲裁；</w:t>
      </w:r>
    </w:p>
    <w:p w14:paraId="4AFDB73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（2）向有管辖权的人民法院提起诉讼；</w:t>
      </w:r>
    </w:p>
    <w:p w14:paraId="2CE231E8">
      <w:pPr>
        <w:keepNext w:val="0"/>
        <w:keepLines w:val="0"/>
        <w:spacing w:line="360" w:lineRule="auto"/>
        <w:ind w:firstLine="442" w:firstLineChars="20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十</w:t>
      </w:r>
      <w:r>
        <w:rPr>
          <w:rFonts w:hint="eastAsia" w:ascii="宋体" w:hAnsi="宋体" w:cs="宋体"/>
          <w:b/>
          <w:bCs/>
          <w:color w:val="auto"/>
          <w:sz w:val="22"/>
          <w:szCs w:val="22"/>
          <w:highlight w:val="none"/>
          <w:lang w:val="en-US" w:eastAsia="zh-CN"/>
        </w:rPr>
        <w:t>四</w:t>
      </w:r>
      <w:bookmarkStart w:id="69" w:name="_GoBack"/>
      <w:bookmarkEnd w:id="69"/>
      <w:r>
        <w:rPr>
          <w:rFonts w:hint="eastAsia" w:ascii="宋体" w:hAnsi="宋体" w:eastAsia="宋体" w:cs="宋体"/>
          <w:b/>
          <w:bCs/>
          <w:color w:val="auto"/>
          <w:sz w:val="22"/>
          <w:szCs w:val="22"/>
          <w:highlight w:val="none"/>
          <w:lang w:val="en-US" w:eastAsia="zh-CN"/>
        </w:rPr>
        <w:t>、合同生效：</w:t>
      </w:r>
    </w:p>
    <w:p w14:paraId="71418FDA">
      <w:pPr>
        <w:keepNext w:val="0"/>
        <w:keepLines w:val="0"/>
        <w:spacing w:line="360" w:lineRule="auto"/>
        <w:ind w:firstLine="440" w:firstLineChars="200"/>
        <w:jc w:val="left"/>
        <w:rPr>
          <w:rFonts w:hint="eastAsia"/>
          <w:lang w:val="en-US" w:eastAsia="zh-CN"/>
        </w:rPr>
      </w:pPr>
      <w:r>
        <w:rPr>
          <w:rFonts w:hint="eastAsia" w:ascii="宋体" w:hAnsi="宋体" w:eastAsia="宋体" w:cs="宋体"/>
          <w:color w:val="auto"/>
          <w:sz w:val="22"/>
          <w:szCs w:val="22"/>
          <w:highlight w:val="none"/>
          <w:lang w:val="en-US" w:eastAsia="zh-CN"/>
        </w:rPr>
        <w:t>本合同经双方法定代表人或授权代理人签字（或加盖法定代表人印章）并加盖单位公章或合同专用章后生效。</w:t>
      </w:r>
    </w:p>
    <w:p w14:paraId="54B5810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附件</w:t>
      </w: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rPr>
        <w:t>：廉政协议书</w:t>
      </w:r>
    </w:p>
    <w:p w14:paraId="790CFB79">
      <w:pPr>
        <w:pStyle w:val="5"/>
        <w:keepLines w:val="0"/>
        <w:pageBreakBefore w:val="0"/>
        <w:widowControl w:val="0"/>
        <w:kinsoku/>
        <w:wordWrap/>
        <w:overflowPunct/>
        <w:topLinePunct w:val="0"/>
        <w:autoSpaceDE/>
        <w:autoSpaceDN/>
        <w:bidi w:val="0"/>
        <w:adjustRightInd/>
        <w:snapToGrid/>
        <w:spacing w:afterAutospacing="0"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附件二：勘察设计工作考核表</w:t>
      </w:r>
    </w:p>
    <w:p w14:paraId="243049E5">
      <w:pPr>
        <w:keepNext w:val="0"/>
        <w:keepLines w:val="0"/>
        <w:pageBreakBefore w:val="0"/>
        <w:widowControl w:val="0"/>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委托人：                             </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 xml:space="preserve">：                         </w:t>
      </w:r>
    </w:p>
    <w:p w14:paraId="3F68556B">
      <w:pPr>
        <w:keepNext w:val="0"/>
        <w:keepLines w:val="0"/>
        <w:pageBreakBefore w:val="0"/>
        <w:widowControl w:val="0"/>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（盖章）                            （盖章）</w:t>
      </w:r>
    </w:p>
    <w:p w14:paraId="12C12D49">
      <w:pPr>
        <w:keepNext w:val="0"/>
        <w:keepLines w:val="0"/>
        <w:pageBreakBefore w:val="0"/>
        <w:widowControl w:val="0"/>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                         法定代表人：</w:t>
      </w:r>
    </w:p>
    <w:p w14:paraId="03CD0026">
      <w:pPr>
        <w:keepNext w:val="0"/>
        <w:keepLines w:val="0"/>
        <w:pageBreakBefore w:val="0"/>
        <w:widowControl w:val="0"/>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或授权代理人：                       或授权代理人：</w:t>
      </w:r>
    </w:p>
    <w:p w14:paraId="13CDC612">
      <w:pPr>
        <w:keepNext w:val="0"/>
        <w:keepLines w:val="0"/>
        <w:pageBreakBefore w:val="0"/>
        <w:widowControl w:val="0"/>
        <w:kinsoku/>
        <w:wordWrap/>
        <w:overflowPunct/>
        <w:topLinePunct w:val="0"/>
        <w:autoSpaceDE/>
        <w:autoSpaceDN/>
        <w:bidi w:val="0"/>
        <w:adjustRightInd/>
        <w:snapToGrid w:val="0"/>
        <w:spacing w:afterAutospacing="0" w:line="360" w:lineRule="auto"/>
        <w:ind w:firstLine="14"/>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地    址：                           地    址：  </w:t>
      </w:r>
    </w:p>
    <w:p w14:paraId="2CC0D4F7">
      <w:pPr>
        <w:keepNext w:val="0"/>
        <w:keepLines w:val="0"/>
        <w:pageBreakBefore w:val="0"/>
        <w:widowControl w:val="0"/>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电    话：                           电    话：  </w:t>
      </w:r>
    </w:p>
    <w:p w14:paraId="62512DFA">
      <w:pPr>
        <w:keepNext w:val="0"/>
        <w:keepLines w:val="0"/>
        <w:pageBreakBefore w:val="0"/>
        <w:widowControl w:val="0"/>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开户银行：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开户银行： </w:t>
      </w:r>
    </w:p>
    <w:p w14:paraId="1B9B389C">
      <w:pPr>
        <w:keepNext w:val="0"/>
        <w:keepLines w:val="0"/>
        <w:pageBreakBefore w:val="0"/>
        <w:widowControl w:val="0"/>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账    号：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账    号： </w:t>
      </w:r>
    </w:p>
    <w:p w14:paraId="26F2C8AA">
      <w:pPr>
        <w:spacing w:line="360" w:lineRule="auto"/>
        <w:rPr>
          <w:rFonts w:eastAsia="方正仿宋"/>
          <w:color w:val="auto"/>
          <w:sz w:val="24"/>
          <w:szCs w:val="24"/>
          <w:highlight w:val="none"/>
        </w:rPr>
      </w:pPr>
      <w:r>
        <w:rPr>
          <w:rFonts w:hint="eastAsia" w:ascii="宋体" w:hAnsi="宋体" w:eastAsia="宋体" w:cs="宋体"/>
          <w:color w:val="auto"/>
          <w:sz w:val="22"/>
          <w:szCs w:val="22"/>
          <w:highlight w:val="none"/>
          <w:lang w:val="en-US" w:eastAsia="zh-CN"/>
        </w:rPr>
        <w:br w:type="page"/>
      </w:r>
      <w:bookmarkEnd w:id="0"/>
      <w:bookmarkEnd w:id="1"/>
      <w:bookmarkEnd w:id="2"/>
      <w:bookmarkEnd w:id="3"/>
      <w:bookmarkEnd w:id="4"/>
      <w:bookmarkEnd w:id="5"/>
      <w:bookmarkEnd w:id="6"/>
      <w:bookmarkEnd w:id="7"/>
      <w:bookmarkEnd w:id="8"/>
      <w:bookmarkEnd w:id="9"/>
      <w:bookmarkEnd w:id="10"/>
      <w:r>
        <w:rPr>
          <w:rFonts w:hint="eastAsia" w:ascii="宋体" w:hAnsi="宋体" w:cs="宋体"/>
          <w:b/>
          <w:bCs/>
          <w:color w:val="auto"/>
          <w:sz w:val="21"/>
          <w:szCs w:val="16"/>
          <w:highlight w:val="none"/>
        </w:rPr>
        <w:t>附件一</w:t>
      </w:r>
    </w:p>
    <w:p w14:paraId="69656D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廉政协议书</w:t>
      </w:r>
    </w:p>
    <w:p w14:paraId="2A648161">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 xml:space="preserve">委托人：  </w:t>
      </w:r>
      <w:r>
        <w:rPr>
          <w:rFonts w:hint="eastAsia" w:ascii="宋体" w:hAnsi="宋体" w:eastAsia="宋体" w:cs="宋体"/>
          <w:color w:val="auto"/>
          <w:sz w:val="22"/>
          <w:szCs w:val="22"/>
          <w:highlight w:val="none"/>
        </w:rPr>
        <w:t>（以下简称委托人）</w:t>
      </w:r>
    </w:p>
    <w:p w14:paraId="27617685">
      <w:pPr>
        <w:keepNext w:val="0"/>
        <w:keepLines w:val="0"/>
        <w:pageBreakBefore w:val="0"/>
        <w:widowControl w:val="0"/>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b/>
          <w:color w:val="auto"/>
          <w:sz w:val="22"/>
          <w:szCs w:val="22"/>
          <w:highlight w:val="none"/>
          <w:u w:val="single"/>
        </w:rPr>
      </w:pPr>
      <w:r>
        <w:rPr>
          <w:rFonts w:hint="eastAsia" w:ascii="宋体" w:hAnsi="宋体" w:eastAsia="宋体" w:cs="宋体"/>
          <w:b/>
          <w:color w:val="auto"/>
          <w:sz w:val="22"/>
          <w:szCs w:val="22"/>
          <w:highlight w:val="none"/>
          <w:lang w:eastAsia="zh-CN"/>
        </w:rPr>
        <w:t>供应商</w:t>
      </w:r>
      <w:r>
        <w:rPr>
          <w:rFonts w:hint="eastAsia" w:ascii="宋体" w:hAnsi="宋体" w:eastAsia="宋体" w:cs="宋体"/>
          <w:b/>
          <w:color w:val="auto"/>
          <w:sz w:val="22"/>
          <w:szCs w:val="22"/>
          <w:highlight w:val="none"/>
        </w:rPr>
        <w:t xml:space="preserve">：  </w:t>
      </w:r>
      <w:r>
        <w:rPr>
          <w:rFonts w:hint="eastAsia" w:ascii="宋体" w:hAnsi="宋体" w:eastAsia="宋体" w:cs="宋体"/>
          <w:color w:val="auto"/>
          <w:sz w:val="22"/>
          <w:szCs w:val="22"/>
          <w:highlight w:val="none"/>
        </w:rPr>
        <w:t>（以下简称</w:t>
      </w:r>
      <w:r>
        <w:rPr>
          <w:rFonts w:hint="eastAsia" w:ascii="宋体" w:hAnsi="宋体" w:eastAsia="宋体" w:cs="宋体"/>
          <w:b w:val="0"/>
          <w:bCs/>
          <w:color w:val="auto"/>
          <w:sz w:val="22"/>
          <w:szCs w:val="22"/>
          <w:highlight w:val="none"/>
          <w:lang w:eastAsia="zh-CN"/>
        </w:rPr>
        <w:t>供应商</w:t>
      </w:r>
      <w:r>
        <w:rPr>
          <w:rFonts w:hint="eastAsia" w:ascii="宋体" w:hAnsi="宋体" w:eastAsia="宋体" w:cs="宋体"/>
          <w:color w:val="auto"/>
          <w:sz w:val="22"/>
          <w:szCs w:val="22"/>
          <w:highlight w:val="none"/>
        </w:rPr>
        <w:t>）</w:t>
      </w:r>
    </w:p>
    <w:p w14:paraId="53C2DB1C">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为规范企业经营活动，维护双方的共同利益，遵循诚实信用的原则，经友好协商，签订本协议，以便双方共同遵守。</w:t>
      </w:r>
    </w:p>
    <w:p w14:paraId="4357ADD1">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b/>
          <w:color w:val="auto"/>
          <w:sz w:val="22"/>
          <w:szCs w:val="22"/>
          <w:highlight w:val="none"/>
        </w:rPr>
      </w:pPr>
      <w:bookmarkStart w:id="11" w:name="_Toc301793326"/>
      <w:bookmarkStart w:id="12" w:name="_Toc302497232"/>
      <w:bookmarkStart w:id="13" w:name="_Toc278113502"/>
      <w:bookmarkStart w:id="14" w:name="_Toc287907292"/>
      <w:r>
        <w:rPr>
          <w:rFonts w:hint="eastAsia" w:ascii="宋体" w:hAnsi="宋体" w:eastAsia="宋体" w:cs="宋体"/>
          <w:b/>
          <w:color w:val="auto"/>
          <w:sz w:val="22"/>
          <w:szCs w:val="22"/>
          <w:highlight w:val="none"/>
        </w:rPr>
        <w:t>第一条  双方的责任</w:t>
      </w:r>
      <w:bookmarkEnd w:id="11"/>
      <w:bookmarkEnd w:id="12"/>
      <w:bookmarkEnd w:id="13"/>
      <w:bookmarkEnd w:id="14"/>
    </w:p>
    <w:p w14:paraId="070EDC09">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bookmarkStart w:id="15" w:name="_Toc302497233"/>
      <w:bookmarkStart w:id="16" w:name="_Toc347384335"/>
      <w:bookmarkStart w:id="17" w:name="_Toc347335904"/>
      <w:bookmarkStart w:id="18" w:name="_Toc346991163"/>
      <w:bookmarkStart w:id="19" w:name="_Toc346990550"/>
      <w:bookmarkStart w:id="20" w:name="_Toc301793327"/>
      <w:bookmarkStart w:id="21" w:name="_Toc347833395"/>
      <w:bookmarkStart w:id="22" w:name="_Toc346989291"/>
      <w:r>
        <w:rPr>
          <w:rFonts w:hint="eastAsia" w:ascii="宋体" w:hAnsi="宋体" w:eastAsia="宋体" w:cs="宋体"/>
          <w:color w:val="auto"/>
          <w:sz w:val="22"/>
          <w:szCs w:val="22"/>
          <w:highlight w:val="none"/>
        </w:rPr>
        <w:t>1.1 严格遵守国家有关的法律、法规。</w:t>
      </w:r>
      <w:bookmarkEnd w:id="15"/>
      <w:bookmarkEnd w:id="16"/>
      <w:bookmarkEnd w:id="17"/>
      <w:bookmarkEnd w:id="18"/>
      <w:bookmarkEnd w:id="19"/>
      <w:bookmarkEnd w:id="20"/>
      <w:bookmarkEnd w:id="21"/>
      <w:bookmarkEnd w:id="22"/>
    </w:p>
    <w:p w14:paraId="306ACBB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bookmarkStart w:id="23" w:name="_Toc346991164"/>
      <w:bookmarkStart w:id="24" w:name="_Toc346990551"/>
      <w:bookmarkStart w:id="25" w:name="_Toc346989292"/>
      <w:bookmarkStart w:id="26" w:name="_Toc347384336"/>
      <w:bookmarkStart w:id="27" w:name="_Toc347833396"/>
      <w:bookmarkStart w:id="28" w:name="_Toc301793328"/>
      <w:bookmarkStart w:id="29" w:name="_Toc347335905"/>
      <w:bookmarkStart w:id="30" w:name="_Toc302497234"/>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任何一方不得为获取不正当的利益，采用任何方式损害对方的合法权益。</w:t>
      </w:r>
      <w:bookmarkEnd w:id="23"/>
      <w:bookmarkEnd w:id="24"/>
      <w:bookmarkEnd w:id="25"/>
      <w:bookmarkEnd w:id="26"/>
      <w:bookmarkEnd w:id="27"/>
      <w:bookmarkEnd w:id="28"/>
      <w:bookmarkEnd w:id="29"/>
      <w:bookmarkEnd w:id="30"/>
    </w:p>
    <w:p w14:paraId="680B0BBF">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bookmarkStart w:id="31" w:name="_Toc302497235"/>
      <w:bookmarkStart w:id="32" w:name="_Toc347335906"/>
      <w:bookmarkStart w:id="33" w:name="_Toc346990552"/>
      <w:bookmarkStart w:id="34" w:name="_Toc301793329"/>
      <w:bookmarkStart w:id="35" w:name="_Toc346991165"/>
      <w:bookmarkStart w:id="36" w:name="_Toc347833397"/>
      <w:bookmarkStart w:id="37" w:name="_Toc347384337"/>
      <w:bookmarkStart w:id="38" w:name="_Toc346989293"/>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 xml:space="preserve"> 任何一方发现对方业务人员在业务活动中有违法、违规、违纪、违反本协议行为的，有义务即时向对方监督部门举报，举报时须提供相关证明材料。</w:t>
      </w:r>
      <w:bookmarkEnd w:id="31"/>
      <w:bookmarkEnd w:id="32"/>
      <w:bookmarkEnd w:id="33"/>
      <w:bookmarkEnd w:id="34"/>
      <w:bookmarkEnd w:id="35"/>
      <w:bookmarkEnd w:id="36"/>
      <w:bookmarkEnd w:id="37"/>
      <w:bookmarkEnd w:id="38"/>
    </w:p>
    <w:p w14:paraId="09074700">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b/>
          <w:color w:val="auto"/>
          <w:sz w:val="22"/>
          <w:szCs w:val="22"/>
          <w:highlight w:val="none"/>
        </w:rPr>
      </w:pPr>
      <w:bookmarkStart w:id="39" w:name="_Toc347384338"/>
      <w:bookmarkStart w:id="40" w:name="_Toc346991166"/>
      <w:bookmarkStart w:id="41" w:name="_Toc347833398"/>
      <w:bookmarkStart w:id="42" w:name="_Toc346990553"/>
      <w:bookmarkStart w:id="43" w:name="_Toc346989294"/>
      <w:bookmarkStart w:id="44" w:name="_Toc287907293"/>
      <w:bookmarkStart w:id="45" w:name="_Toc302497236"/>
      <w:bookmarkStart w:id="46" w:name="_Toc347335907"/>
      <w:bookmarkStart w:id="47" w:name="_Toc278113503"/>
      <w:bookmarkStart w:id="48" w:name="_Toc301793330"/>
      <w:r>
        <w:rPr>
          <w:rFonts w:hint="eastAsia" w:ascii="宋体" w:hAnsi="宋体" w:eastAsia="宋体" w:cs="宋体"/>
          <w:b/>
          <w:color w:val="auto"/>
          <w:sz w:val="22"/>
          <w:szCs w:val="22"/>
          <w:highlight w:val="none"/>
        </w:rPr>
        <w:t>第二条  委托人的责任</w:t>
      </w:r>
      <w:bookmarkEnd w:id="39"/>
      <w:bookmarkEnd w:id="40"/>
      <w:bookmarkEnd w:id="41"/>
      <w:bookmarkEnd w:id="42"/>
      <w:bookmarkEnd w:id="43"/>
      <w:bookmarkEnd w:id="44"/>
      <w:bookmarkEnd w:id="45"/>
      <w:bookmarkEnd w:id="46"/>
      <w:bookmarkEnd w:id="47"/>
      <w:bookmarkEnd w:id="48"/>
    </w:p>
    <w:p w14:paraId="4F89B78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2.1 应与</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保持正常的业务交往，按照有关法律法规和程序开展业务工作。</w:t>
      </w:r>
    </w:p>
    <w:p w14:paraId="3CE67D11">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 在业务活动中应当依法办事、廉洁自律，不得有任何涉及商业贿赂或损害企业利益的行为（包括但不限于以下情形）：</w:t>
      </w:r>
    </w:p>
    <w:p w14:paraId="3BC7EB95">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2.2.1不得以任何理由向</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及</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工作人员索要或接受</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以及</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工作人员的回扣、礼金、有价证券、贵重物品或好处费、感谢费等；</w:t>
      </w:r>
    </w:p>
    <w:p w14:paraId="6652C881">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2.2.2 不得以任何理由在业务活动中设置障碍、态度粗鲁、刁难</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w:t>
      </w:r>
    </w:p>
    <w:p w14:paraId="5E9AC17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2.2.3不得在</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报销任何应由委托人或委托人工作人员个人支付的费用；</w:t>
      </w:r>
    </w:p>
    <w:p w14:paraId="71E44CB6">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2.2.4 不得以任何理由要求及接受</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工作人员为委托人工作人员装修住房、婚丧嫁娶、或为其配偶及亲戚朋友安排工作提供方便；</w:t>
      </w:r>
    </w:p>
    <w:p w14:paraId="0488D66C">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2.2.5不得以任何理由参加</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工作人员安排的宴请、健身、娱乐、桑拿按摩等活动；</w:t>
      </w:r>
    </w:p>
    <w:p w14:paraId="0639638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2.2.6不得以任何理由向</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工作人员要求为委托人工作人员或其配偶及亲戚朋友介绍经营业务等活动。</w:t>
      </w:r>
    </w:p>
    <w:p w14:paraId="000B06F3">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b/>
          <w:color w:val="auto"/>
          <w:sz w:val="22"/>
          <w:szCs w:val="22"/>
          <w:highlight w:val="none"/>
        </w:rPr>
      </w:pPr>
      <w:bookmarkStart w:id="49" w:name="_Toc347335908"/>
      <w:bookmarkStart w:id="50" w:name="_Toc346991167"/>
      <w:bookmarkStart w:id="51" w:name="_Toc301793331"/>
      <w:bookmarkStart w:id="52" w:name="_Toc346989295"/>
      <w:bookmarkStart w:id="53" w:name="_Toc287907294"/>
      <w:bookmarkStart w:id="54" w:name="_Toc278113504"/>
      <w:bookmarkStart w:id="55" w:name="_Toc347833399"/>
      <w:bookmarkStart w:id="56" w:name="_Toc302497237"/>
      <w:bookmarkStart w:id="57" w:name="_Toc347384339"/>
      <w:bookmarkStart w:id="58" w:name="_Toc346990554"/>
      <w:r>
        <w:rPr>
          <w:rFonts w:hint="eastAsia" w:ascii="宋体" w:hAnsi="宋体" w:eastAsia="宋体" w:cs="宋体"/>
          <w:b/>
          <w:color w:val="auto"/>
          <w:sz w:val="22"/>
          <w:szCs w:val="22"/>
          <w:highlight w:val="none"/>
        </w:rPr>
        <w:t xml:space="preserve">第三条  </w:t>
      </w:r>
      <w:r>
        <w:rPr>
          <w:rFonts w:hint="eastAsia" w:ascii="宋体" w:hAnsi="宋体" w:eastAsia="宋体" w:cs="宋体"/>
          <w:b/>
          <w:color w:val="auto"/>
          <w:sz w:val="22"/>
          <w:szCs w:val="22"/>
          <w:highlight w:val="none"/>
          <w:lang w:eastAsia="zh-CN"/>
        </w:rPr>
        <w:t>供应商</w:t>
      </w:r>
      <w:r>
        <w:rPr>
          <w:rFonts w:hint="eastAsia" w:ascii="宋体" w:hAnsi="宋体" w:eastAsia="宋体" w:cs="宋体"/>
          <w:b/>
          <w:color w:val="auto"/>
          <w:sz w:val="22"/>
          <w:szCs w:val="22"/>
          <w:highlight w:val="none"/>
        </w:rPr>
        <w:t>的责任</w:t>
      </w:r>
      <w:bookmarkEnd w:id="49"/>
      <w:bookmarkEnd w:id="50"/>
      <w:bookmarkEnd w:id="51"/>
      <w:bookmarkEnd w:id="52"/>
      <w:bookmarkEnd w:id="53"/>
      <w:bookmarkEnd w:id="54"/>
      <w:bookmarkEnd w:id="55"/>
      <w:bookmarkEnd w:id="56"/>
      <w:bookmarkEnd w:id="57"/>
      <w:bookmarkEnd w:id="58"/>
    </w:p>
    <w:p w14:paraId="682EADB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3.1 应与委托人保持正常的业务交往，按照有关法律法规和程序开展业务工作。</w:t>
      </w:r>
    </w:p>
    <w:p w14:paraId="21890F40">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3.2 在与委托人的业务活动中应当依法办事、廉洁自律，不得以任何方式从事任何涉及商业贿赂或损害委托人企业利益的行为，包括但不限于以下情形： </w:t>
      </w:r>
    </w:p>
    <w:p w14:paraId="4F8B3A3D">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3.2.1不得以任何理由向委托人及其工作人员赠送礼金、有价证券、贵重物品及回扣、好处费、感谢费等；</w:t>
      </w:r>
    </w:p>
    <w:p w14:paraId="06D1E58B">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3.2.2不得以任何理由或方式为委托人及其工作人员报销应由委托人及其工作人员支付的费用； </w:t>
      </w:r>
    </w:p>
    <w:p w14:paraId="591C3462">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3.2.3不得以任何理由为委托人工作人员装修住房、安排婚丧嫁娶活动及为其配偶或亲戚朋友安排工作或牵线搭桥、提供方便；</w:t>
      </w:r>
    </w:p>
    <w:p w14:paraId="2DF2AE83">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3.2.4不得以任何理由宴请委托人单位及其工作人员；以任何理由安排委托人单位及其工作人员参与其组织的健身、娱乐、桑拿按摩等活动；</w:t>
      </w:r>
    </w:p>
    <w:p w14:paraId="532DF28F">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3.2.5不得以任何理由为委托人工作人员及其配偶、亲戚朋友介绍经营业务、提供经营业务的便利条件，进行经营业务合作等活动。</w:t>
      </w:r>
    </w:p>
    <w:p w14:paraId="67824E06">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b/>
          <w:color w:val="auto"/>
          <w:sz w:val="22"/>
          <w:szCs w:val="22"/>
          <w:highlight w:val="none"/>
        </w:rPr>
      </w:pPr>
      <w:bookmarkStart w:id="59" w:name="_Toc346990555"/>
      <w:bookmarkStart w:id="60" w:name="_Toc347335909"/>
      <w:bookmarkStart w:id="61" w:name="_Toc301793332"/>
      <w:bookmarkStart w:id="62" w:name="_Toc287907295"/>
      <w:bookmarkStart w:id="63" w:name="_Toc346991168"/>
      <w:bookmarkStart w:id="64" w:name="_Toc278113505"/>
      <w:bookmarkStart w:id="65" w:name="_Toc346989296"/>
      <w:bookmarkStart w:id="66" w:name="_Toc347833400"/>
      <w:bookmarkStart w:id="67" w:name="_Toc302497238"/>
      <w:bookmarkStart w:id="68" w:name="_Toc347384340"/>
      <w:r>
        <w:rPr>
          <w:rFonts w:hint="eastAsia" w:ascii="宋体" w:hAnsi="宋体" w:eastAsia="宋体" w:cs="宋体"/>
          <w:b/>
          <w:color w:val="auto"/>
          <w:sz w:val="22"/>
          <w:szCs w:val="22"/>
          <w:highlight w:val="none"/>
        </w:rPr>
        <w:t>第四条  违约责任</w:t>
      </w:r>
      <w:bookmarkEnd w:id="59"/>
      <w:bookmarkEnd w:id="60"/>
      <w:bookmarkEnd w:id="61"/>
      <w:bookmarkEnd w:id="62"/>
      <w:bookmarkEnd w:id="63"/>
      <w:bookmarkEnd w:id="64"/>
      <w:bookmarkEnd w:id="65"/>
      <w:bookmarkEnd w:id="66"/>
      <w:bookmarkEnd w:id="67"/>
      <w:bookmarkEnd w:id="68"/>
    </w:p>
    <w:p w14:paraId="6129E309">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4.1 </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工作人员违反本协议第一条或第三条的，</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应向委托人赔偿违约金共计人民币两万元整，委托人有权据此解除采购合同，同时委托人将永久性地取消</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与委托人再次合作的资格，构成犯罪的，委托人将向司法机关报案，追究</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及</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相关人员刑事责任；给委托人单位造成经济损失的，还应予以赔偿。</w:t>
      </w:r>
    </w:p>
    <w:p w14:paraId="408F3A41">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4.2 委托人或委托人工作人员违反本协议第一条或第二条的，委托人应向</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赔偿违约金共计人民币两万整。</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有权据此解除采购合同，构成犯罪的，</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将向司法机关报案，追究委托人及委托人相关人员刑事责任；给</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单位造成经济损失的，还应予以赔偿。</w:t>
      </w:r>
    </w:p>
    <w:p w14:paraId="1F7A2096">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第五条  本协议作为《</w:t>
      </w:r>
      <w:r>
        <w:rPr>
          <w:rFonts w:hint="eastAsia" w:ascii="宋体" w:hAnsi="宋体" w:eastAsia="宋体" w:cs="宋体"/>
          <w:b w:val="0"/>
          <w:bCs w:val="0"/>
          <w:color w:val="auto"/>
          <w:kern w:val="2"/>
          <w:sz w:val="22"/>
          <w:szCs w:val="22"/>
          <w:highlight w:val="none"/>
          <w:lang w:val="en-US" w:eastAsia="zh-CN" w:bidi="ar-SA"/>
        </w:rPr>
        <w:t>旅游大道北段新建给水管网工程</w:t>
      </w:r>
      <w:r>
        <w:rPr>
          <w:rFonts w:hint="eastAsia" w:ascii="宋体" w:hAnsi="宋体" w:eastAsia="宋体" w:cs="宋体"/>
          <w:color w:val="auto"/>
          <w:sz w:val="22"/>
          <w:szCs w:val="22"/>
          <w:highlight w:val="none"/>
          <w:lang w:eastAsia="zh-CN"/>
        </w:rPr>
        <w:t>勘察设计合同</w:t>
      </w:r>
      <w:r>
        <w:rPr>
          <w:rFonts w:hint="eastAsia" w:ascii="宋体" w:hAnsi="宋体" w:eastAsia="宋体" w:cs="宋体"/>
          <w:color w:val="auto"/>
          <w:sz w:val="22"/>
          <w:szCs w:val="22"/>
          <w:highlight w:val="none"/>
        </w:rPr>
        <w:t>》的附件，与合同具有同等法律效力。</w:t>
      </w:r>
    </w:p>
    <w:p w14:paraId="29018698">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宋体" w:hAnsi="宋体" w:eastAsia="宋体" w:cs="宋体"/>
          <w:color w:val="auto"/>
          <w:sz w:val="22"/>
          <w:szCs w:val="22"/>
          <w:highlight w:val="none"/>
        </w:rPr>
      </w:pPr>
    </w:p>
    <w:p w14:paraId="364238DE">
      <w:pPr>
        <w:keepNext w:val="0"/>
        <w:keepLines w:val="0"/>
        <w:pageBreakBefore w:val="0"/>
        <w:widowControl w:val="0"/>
        <w:kinsoku/>
        <w:wordWrap/>
        <w:overflowPunct/>
        <w:topLinePunct w:val="0"/>
        <w:autoSpaceDE/>
        <w:autoSpaceDN/>
        <w:bidi w:val="0"/>
        <w:adjustRightInd w:val="0"/>
        <w:snapToGrid w:val="0"/>
        <w:spacing w:line="360" w:lineRule="auto"/>
        <w:ind w:firstLine="221" w:firstLineChars="100"/>
        <w:jc w:val="left"/>
        <w:textAlignment w:val="auto"/>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 xml:space="preserve">委托人：                            </w:t>
      </w:r>
      <w:r>
        <w:rPr>
          <w:rFonts w:hint="eastAsia" w:ascii="宋体" w:hAnsi="宋体" w:eastAsia="宋体" w:cs="宋体"/>
          <w:b/>
          <w:color w:val="auto"/>
          <w:sz w:val="22"/>
          <w:szCs w:val="22"/>
          <w:highlight w:val="none"/>
          <w:lang w:eastAsia="zh-CN"/>
        </w:rPr>
        <w:t>供应商</w:t>
      </w:r>
      <w:r>
        <w:rPr>
          <w:rFonts w:hint="eastAsia" w:ascii="宋体" w:hAnsi="宋体" w:eastAsia="宋体" w:cs="宋体"/>
          <w:b/>
          <w:color w:val="auto"/>
          <w:sz w:val="22"/>
          <w:szCs w:val="22"/>
          <w:highlight w:val="none"/>
        </w:rPr>
        <w:t>：</w:t>
      </w:r>
    </w:p>
    <w:p w14:paraId="1B5862F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法定代表人</w:t>
      </w:r>
      <w:r>
        <w:rPr>
          <w:rFonts w:hint="eastAsia" w:ascii="宋体" w:hAnsi="宋体" w:eastAsia="宋体" w:cs="宋体"/>
          <w:color w:val="auto"/>
          <w:sz w:val="22"/>
          <w:szCs w:val="22"/>
          <w:highlight w:val="none"/>
        </w:rPr>
        <w:t xml:space="preserve">                         </w:t>
      </w:r>
      <w:r>
        <w:rPr>
          <w:rFonts w:hint="eastAsia" w:ascii="宋体" w:hAnsi="宋体" w:eastAsia="宋体" w:cs="宋体"/>
          <w:b/>
          <w:color w:val="auto"/>
          <w:sz w:val="22"/>
          <w:szCs w:val="22"/>
          <w:highlight w:val="none"/>
        </w:rPr>
        <w:t xml:space="preserve"> 法定代表人</w:t>
      </w:r>
    </w:p>
    <w:p w14:paraId="60A037D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或委托代理人：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 xml:space="preserve">           </w:t>
      </w:r>
      <w:r>
        <w:rPr>
          <w:rFonts w:hint="eastAsia" w:ascii="宋体" w:hAnsi="宋体" w:eastAsia="宋体" w:cs="宋体"/>
          <w:b/>
          <w:color w:val="auto"/>
          <w:sz w:val="22"/>
          <w:szCs w:val="22"/>
          <w:highlight w:val="none"/>
        </w:rPr>
        <w:t xml:space="preserve">          或委托代理人：</w:t>
      </w:r>
    </w:p>
    <w:p w14:paraId="17DC156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 xml:space="preserve"> </w:t>
      </w:r>
    </w:p>
    <w:p w14:paraId="7B7494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p>
    <w:p w14:paraId="186C88C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p>
    <w:p w14:paraId="7A8BA0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p>
    <w:p w14:paraId="3826D46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p>
    <w:p w14:paraId="1118BE5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2"/>
          <w:szCs w:val="22"/>
          <w:highlight w:val="none"/>
        </w:rPr>
      </w:pPr>
    </w:p>
    <w:p w14:paraId="1309853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16"/>
          <w:highlight w:val="none"/>
        </w:rPr>
      </w:pPr>
      <w:r>
        <w:rPr>
          <w:rFonts w:hint="eastAsia" w:ascii="宋体" w:hAnsi="宋体" w:eastAsia="宋体" w:cs="宋体"/>
          <w:b/>
          <w:bCs/>
          <w:color w:val="auto"/>
          <w:sz w:val="21"/>
          <w:szCs w:val="16"/>
          <w:highlight w:val="none"/>
        </w:rPr>
        <w:t>附件二</w:t>
      </w:r>
    </w:p>
    <w:p w14:paraId="041DA988">
      <w:pPr>
        <w:pStyle w:val="5"/>
        <w:ind w:left="0" w:leftChars="0" w:right="70" w:firstLine="0" w:firstLineChars="0"/>
        <w:jc w:val="center"/>
        <w:rPr>
          <w:rFonts w:hint="eastAsia" w:ascii="宋体" w:hAnsi="宋体" w:eastAsia="宋体" w:cs="宋体"/>
          <w:b/>
          <w:bCs/>
          <w:color w:val="auto"/>
          <w:sz w:val="18"/>
          <w:szCs w:val="16"/>
          <w:highlight w:val="none"/>
        </w:rPr>
      </w:pPr>
      <w:r>
        <w:rPr>
          <w:rFonts w:hint="eastAsia" w:ascii="宋体" w:hAnsi="宋体" w:eastAsia="宋体" w:cs="宋体"/>
          <w:b/>
          <w:bCs/>
          <w:color w:val="auto"/>
          <w:sz w:val="24"/>
          <w:szCs w:val="24"/>
          <w:highlight w:val="none"/>
        </w:rPr>
        <w:t>勘察设计工作考核表</w:t>
      </w:r>
    </w:p>
    <w:tbl>
      <w:tblPr>
        <w:tblStyle w:val="12"/>
        <w:tblW w:w="0" w:type="auto"/>
        <w:tblInd w:w="0" w:type="dxa"/>
        <w:tblLayout w:type="fixed"/>
        <w:tblCellMar>
          <w:top w:w="0" w:type="dxa"/>
          <w:left w:w="108" w:type="dxa"/>
          <w:bottom w:w="0" w:type="dxa"/>
          <w:right w:w="108" w:type="dxa"/>
        </w:tblCellMar>
      </w:tblPr>
      <w:tblGrid>
        <w:gridCol w:w="534"/>
        <w:gridCol w:w="1217"/>
        <w:gridCol w:w="1618"/>
        <w:gridCol w:w="982"/>
        <w:gridCol w:w="4121"/>
        <w:gridCol w:w="708"/>
      </w:tblGrid>
      <w:tr w14:paraId="7EA6046B">
        <w:tblPrEx>
          <w:tblCellMar>
            <w:top w:w="0" w:type="dxa"/>
            <w:left w:w="108" w:type="dxa"/>
            <w:bottom w:w="0" w:type="dxa"/>
            <w:right w:w="108" w:type="dxa"/>
          </w:tblCellMar>
        </w:tblPrEx>
        <w:trPr>
          <w:trHeight w:val="49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5ECC3F03">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序</w:t>
            </w:r>
            <w:r>
              <w:rPr>
                <w:rFonts w:hint="eastAsia" w:ascii="宋体" w:hAnsi="宋体" w:eastAsia="宋体" w:cs="宋体"/>
                <w:bCs/>
                <w:color w:val="auto"/>
                <w:kern w:val="0"/>
                <w:sz w:val="16"/>
                <w:szCs w:val="16"/>
                <w:highlight w:val="none"/>
              </w:rPr>
              <w:br w:type="textWrapping"/>
            </w:r>
            <w:r>
              <w:rPr>
                <w:rFonts w:hint="eastAsia" w:ascii="宋体" w:hAnsi="宋体" w:eastAsia="宋体" w:cs="宋体"/>
                <w:bCs/>
                <w:color w:val="auto"/>
                <w:kern w:val="0"/>
                <w:sz w:val="16"/>
                <w:szCs w:val="16"/>
                <w:highlight w:val="none"/>
              </w:rPr>
              <w:t>号</w:t>
            </w:r>
          </w:p>
        </w:tc>
        <w:tc>
          <w:tcPr>
            <w:tcW w:w="2835" w:type="dxa"/>
            <w:gridSpan w:val="2"/>
            <w:tcBorders>
              <w:top w:val="single" w:color="auto" w:sz="4" w:space="0"/>
              <w:left w:val="single" w:color="auto" w:sz="4" w:space="0"/>
              <w:bottom w:val="single" w:color="auto" w:sz="4" w:space="0"/>
              <w:right w:val="single" w:color="auto" w:sz="4" w:space="0"/>
            </w:tcBorders>
            <w:noWrap w:val="0"/>
            <w:vAlign w:val="center"/>
          </w:tcPr>
          <w:p w14:paraId="22D1897F">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考核内容</w:t>
            </w:r>
          </w:p>
        </w:tc>
        <w:tc>
          <w:tcPr>
            <w:tcW w:w="982" w:type="dxa"/>
            <w:tcBorders>
              <w:top w:val="single" w:color="auto" w:sz="4" w:space="0"/>
              <w:left w:val="single" w:color="auto" w:sz="4" w:space="0"/>
              <w:bottom w:val="single" w:color="auto" w:sz="4" w:space="0"/>
              <w:right w:val="single" w:color="auto" w:sz="4" w:space="0"/>
            </w:tcBorders>
            <w:noWrap w:val="0"/>
            <w:vAlign w:val="center"/>
          </w:tcPr>
          <w:p w14:paraId="25389669">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标准分</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3D48D9D4">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扣分标准</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629A9FB6">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评价得分</w:t>
            </w:r>
          </w:p>
        </w:tc>
      </w:tr>
      <w:tr w14:paraId="3D87A815">
        <w:tblPrEx>
          <w:tblCellMar>
            <w:top w:w="0" w:type="dxa"/>
            <w:left w:w="108" w:type="dxa"/>
            <w:bottom w:w="0" w:type="dxa"/>
            <w:right w:w="108" w:type="dxa"/>
          </w:tblCellMar>
        </w:tblPrEx>
        <w:trPr>
          <w:trHeight w:val="90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14928BC2">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47CA9797">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管理制度及人员</w:t>
            </w:r>
            <w:r>
              <w:rPr>
                <w:rFonts w:hint="eastAsia" w:ascii="宋体" w:hAnsi="宋体" w:eastAsia="宋体" w:cs="宋体"/>
                <w:color w:val="auto"/>
                <w:kern w:val="0"/>
                <w:sz w:val="16"/>
                <w:szCs w:val="16"/>
                <w:highlight w:val="none"/>
              </w:rPr>
              <w:br w:type="textWrapping"/>
            </w:r>
            <w:r>
              <w:rPr>
                <w:rFonts w:hint="eastAsia" w:ascii="宋体" w:hAnsi="宋体" w:eastAsia="宋体" w:cs="宋体"/>
                <w:color w:val="auto"/>
                <w:kern w:val="0"/>
                <w:sz w:val="16"/>
                <w:szCs w:val="16"/>
                <w:highlight w:val="none"/>
              </w:rPr>
              <w:t>配备15分）</w:t>
            </w:r>
          </w:p>
        </w:tc>
        <w:tc>
          <w:tcPr>
            <w:tcW w:w="1618" w:type="dxa"/>
            <w:tcBorders>
              <w:top w:val="single" w:color="auto" w:sz="4" w:space="0"/>
              <w:left w:val="nil"/>
              <w:bottom w:val="single" w:color="auto" w:sz="4" w:space="0"/>
              <w:right w:val="single" w:color="auto" w:sz="4" w:space="0"/>
            </w:tcBorders>
            <w:noWrap w:val="0"/>
            <w:vAlign w:val="center"/>
          </w:tcPr>
          <w:p w14:paraId="26DB3070">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设计质量保证体系及管理制度</w:t>
            </w:r>
          </w:p>
        </w:tc>
        <w:tc>
          <w:tcPr>
            <w:tcW w:w="982" w:type="dxa"/>
            <w:tcBorders>
              <w:top w:val="single" w:color="auto" w:sz="4" w:space="0"/>
              <w:left w:val="nil"/>
              <w:bottom w:val="single" w:color="auto" w:sz="4" w:space="0"/>
              <w:right w:val="single" w:color="auto" w:sz="4" w:space="0"/>
            </w:tcBorders>
            <w:noWrap w:val="0"/>
            <w:vAlign w:val="center"/>
          </w:tcPr>
          <w:p w14:paraId="135A66AC">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1B781FAE">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1.设计质量管理体系不健全，扣2分；2.无完整的设计文件校核、审核、审定制度，扣3分。</w:t>
            </w:r>
          </w:p>
        </w:tc>
        <w:tc>
          <w:tcPr>
            <w:tcW w:w="708" w:type="dxa"/>
            <w:tcBorders>
              <w:top w:val="single" w:color="auto" w:sz="4" w:space="0"/>
              <w:left w:val="nil"/>
              <w:bottom w:val="single" w:color="auto" w:sz="4" w:space="0"/>
              <w:right w:val="single" w:color="auto" w:sz="4" w:space="0"/>
            </w:tcBorders>
            <w:noWrap w:val="0"/>
            <w:vAlign w:val="center"/>
          </w:tcPr>
          <w:p w14:paraId="7A45763A">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1EA0F460">
        <w:tblPrEx>
          <w:tblCellMar>
            <w:top w:w="0" w:type="dxa"/>
            <w:left w:w="108" w:type="dxa"/>
            <w:bottom w:w="0" w:type="dxa"/>
            <w:right w:w="108" w:type="dxa"/>
          </w:tblCellMar>
        </w:tblPrEx>
        <w:trPr>
          <w:trHeight w:val="85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387AFC56">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2</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3EF980C5">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18D69305">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项目设计总负责人的技术水平及协调能力</w:t>
            </w:r>
          </w:p>
        </w:tc>
        <w:tc>
          <w:tcPr>
            <w:tcW w:w="982" w:type="dxa"/>
            <w:tcBorders>
              <w:top w:val="single" w:color="auto" w:sz="4" w:space="0"/>
              <w:left w:val="nil"/>
              <w:bottom w:val="single" w:color="auto" w:sz="4" w:space="0"/>
              <w:right w:val="single" w:color="auto" w:sz="4" w:space="0"/>
            </w:tcBorders>
            <w:noWrap w:val="0"/>
            <w:vAlign w:val="center"/>
          </w:tcPr>
          <w:p w14:paraId="7FCD5164">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21CACF14">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设总在项目设计及服务过程中组织协调能力和解决技术问题不强，扣1分；3.未按时参加技术协调会议的，每次扣2分。</w:t>
            </w:r>
          </w:p>
        </w:tc>
        <w:tc>
          <w:tcPr>
            <w:tcW w:w="708" w:type="dxa"/>
            <w:tcBorders>
              <w:top w:val="single" w:color="auto" w:sz="4" w:space="0"/>
              <w:left w:val="nil"/>
              <w:bottom w:val="single" w:color="auto" w:sz="4" w:space="0"/>
              <w:right w:val="single" w:color="auto" w:sz="4" w:space="0"/>
            </w:tcBorders>
            <w:noWrap w:val="0"/>
            <w:vAlign w:val="center"/>
          </w:tcPr>
          <w:p w14:paraId="6BAB945D">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08B61482">
        <w:tblPrEx>
          <w:tblCellMar>
            <w:top w:w="0" w:type="dxa"/>
            <w:left w:w="108" w:type="dxa"/>
            <w:bottom w:w="0" w:type="dxa"/>
            <w:right w:w="108" w:type="dxa"/>
          </w:tblCellMar>
        </w:tblPrEx>
        <w:trPr>
          <w:trHeight w:val="90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105E9491">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3</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2D9DA75E">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09376EC5">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项目设计各专业负责人的技术水平及工作能力</w:t>
            </w:r>
          </w:p>
        </w:tc>
        <w:tc>
          <w:tcPr>
            <w:tcW w:w="982" w:type="dxa"/>
            <w:tcBorders>
              <w:top w:val="single" w:color="auto" w:sz="4" w:space="0"/>
              <w:left w:val="nil"/>
              <w:bottom w:val="single" w:color="auto" w:sz="4" w:space="0"/>
              <w:right w:val="single" w:color="auto" w:sz="4" w:space="0"/>
            </w:tcBorders>
            <w:noWrap w:val="0"/>
            <w:vAlign w:val="center"/>
          </w:tcPr>
          <w:p w14:paraId="27317838">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2D38B32A">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项目各专业负责人的技术水平和解决技术问题不足影响施工的，每次扣1分。</w:t>
            </w:r>
          </w:p>
        </w:tc>
        <w:tc>
          <w:tcPr>
            <w:tcW w:w="708" w:type="dxa"/>
            <w:tcBorders>
              <w:top w:val="single" w:color="auto" w:sz="4" w:space="0"/>
              <w:left w:val="nil"/>
              <w:bottom w:val="single" w:color="auto" w:sz="4" w:space="0"/>
              <w:right w:val="single" w:color="auto" w:sz="4" w:space="0"/>
            </w:tcBorders>
            <w:noWrap w:val="0"/>
            <w:vAlign w:val="center"/>
          </w:tcPr>
          <w:p w14:paraId="570D2406">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5F460943">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30FF1E11">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4</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0907FBAB">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设计质量</w:t>
            </w:r>
          </w:p>
          <w:p w14:paraId="522080B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（40分）</w:t>
            </w:r>
          </w:p>
        </w:tc>
        <w:tc>
          <w:tcPr>
            <w:tcW w:w="1618" w:type="dxa"/>
            <w:tcBorders>
              <w:top w:val="single" w:color="auto" w:sz="4" w:space="0"/>
              <w:left w:val="nil"/>
              <w:bottom w:val="single" w:color="auto" w:sz="4" w:space="0"/>
              <w:right w:val="single" w:color="auto" w:sz="4" w:space="0"/>
            </w:tcBorders>
            <w:noWrap w:val="0"/>
            <w:vAlign w:val="center"/>
          </w:tcPr>
          <w:p w14:paraId="760E5679">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设计文件的完整性</w:t>
            </w:r>
          </w:p>
        </w:tc>
        <w:tc>
          <w:tcPr>
            <w:tcW w:w="982" w:type="dxa"/>
            <w:tcBorders>
              <w:top w:val="single" w:color="auto" w:sz="4" w:space="0"/>
              <w:left w:val="nil"/>
              <w:bottom w:val="single" w:color="auto" w:sz="4" w:space="0"/>
              <w:right w:val="single" w:color="auto" w:sz="4" w:space="0"/>
            </w:tcBorders>
            <w:noWrap w:val="0"/>
            <w:vAlign w:val="center"/>
          </w:tcPr>
          <w:p w14:paraId="688855FE">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4843E3B3">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1.各专业设计图纸不完整、齐全，影响工程施工的，每次扣2分；2.</w:t>
            </w: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设计深度不满足业主要求影响施工的，每次扣2分。</w:t>
            </w:r>
          </w:p>
        </w:tc>
        <w:tc>
          <w:tcPr>
            <w:tcW w:w="708" w:type="dxa"/>
            <w:tcBorders>
              <w:top w:val="single" w:color="auto" w:sz="4" w:space="0"/>
              <w:left w:val="nil"/>
              <w:bottom w:val="single" w:color="auto" w:sz="4" w:space="0"/>
              <w:right w:val="single" w:color="auto" w:sz="4" w:space="0"/>
            </w:tcBorders>
            <w:noWrap w:val="0"/>
            <w:vAlign w:val="center"/>
          </w:tcPr>
          <w:p w14:paraId="4D4EF121">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3C6171ED">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5051CC25">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183484EA">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60983F6E">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设计文件符合规范</w:t>
            </w:r>
          </w:p>
        </w:tc>
        <w:tc>
          <w:tcPr>
            <w:tcW w:w="982" w:type="dxa"/>
            <w:tcBorders>
              <w:top w:val="single" w:color="auto" w:sz="4" w:space="0"/>
              <w:left w:val="nil"/>
              <w:bottom w:val="single" w:color="auto" w:sz="4" w:space="0"/>
              <w:right w:val="single" w:color="auto" w:sz="4" w:space="0"/>
            </w:tcBorders>
            <w:noWrap w:val="0"/>
            <w:vAlign w:val="center"/>
          </w:tcPr>
          <w:p w14:paraId="6559C1DD">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6A944182">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设计文件不满足国家有关规范规定要求，存在违反强条规定的，每发现一次，扣2分。</w:t>
            </w:r>
          </w:p>
        </w:tc>
        <w:tc>
          <w:tcPr>
            <w:tcW w:w="708" w:type="dxa"/>
            <w:tcBorders>
              <w:top w:val="single" w:color="auto" w:sz="4" w:space="0"/>
              <w:left w:val="nil"/>
              <w:bottom w:val="single" w:color="auto" w:sz="4" w:space="0"/>
              <w:right w:val="single" w:color="auto" w:sz="4" w:space="0"/>
            </w:tcBorders>
            <w:noWrap w:val="0"/>
            <w:vAlign w:val="center"/>
          </w:tcPr>
          <w:p w14:paraId="51C9749D">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6FA4020F">
        <w:tblPrEx>
          <w:tblCellMar>
            <w:top w:w="0" w:type="dxa"/>
            <w:left w:w="108" w:type="dxa"/>
            <w:bottom w:w="0" w:type="dxa"/>
            <w:right w:w="108" w:type="dxa"/>
          </w:tblCellMar>
        </w:tblPrEx>
        <w:trPr>
          <w:trHeight w:val="63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310C099B">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6</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19DDEA22">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6149E9CD">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设计文件的经济合理性</w:t>
            </w:r>
          </w:p>
        </w:tc>
        <w:tc>
          <w:tcPr>
            <w:tcW w:w="982" w:type="dxa"/>
            <w:tcBorders>
              <w:top w:val="single" w:color="auto" w:sz="4" w:space="0"/>
              <w:left w:val="nil"/>
              <w:bottom w:val="single" w:color="auto" w:sz="4" w:space="0"/>
              <w:right w:val="single" w:color="auto" w:sz="4" w:space="0"/>
            </w:tcBorders>
            <w:noWrap w:val="0"/>
            <w:vAlign w:val="center"/>
          </w:tcPr>
          <w:p w14:paraId="6EED7B9D">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55B61B96">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设计文件不经济，经审查具有明显的优化方案可采取的，每次扣2分。</w:t>
            </w:r>
          </w:p>
        </w:tc>
        <w:tc>
          <w:tcPr>
            <w:tcW w:w="708" w:type="dxa"/>
            <w:tcBorders>
              <w:top w:val="single" w:color="auto" w:sz="4" w:space="0"/>
              <w:left w:val="nil"/>
              <w:bottom w:val="single" w:color="auto" w:sz="4" w:space="0"/>
              <w:right w:val="single" w:color="auto" w:sz="4" w:space="0"/>
            </w:tcBorders>
            <w:noWrap w:val="0"/>
            <w:vAlign w:val="center"/>
          </w:tcPr>
          <w:p w14:paraId="13066391">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786BBA59">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53E44B2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7</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4EA54021">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22968BDA">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设计文件的严密性</w:t>
            </w:r>
          </w:p>
        </w:tc>
        <w:tc>
          <w:tcPr>
            <w:tcW w:w="982" w:type="dxa"/>
            <w:tcBorders>
              <w:top w:val="single" w:color="auto" w:sz="4" w:space="0"/>
              <w:left w:val="nil"/>
              <w:bottom w:val="single" w:color="auto" w:sz="4" w:space="0"/>
              <w:right w:val="single" w:color="auto" w:sz="4" w:space="0"/>
            </w:tcBorders>
            <w:noWrap w:val="0"/>
            <w:vAlign w:val="center"/>
          </w:tcPr>
          <w:p w14:paraId="66F545B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67CDF5BD">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设计文件明显存在错、漏、碰、缺现象未及时纠正的，每次扣2分。</w:t>
            </w:r>
          </w:p>
        </w:tc>
        <w:tc>
          <w:tcPr>
            <w:tcW w:w="708" w:type="dxa"/>
            <w:tcBorders>
              <w:top w:val="single" w:color="auto" w:sz="4" w:space="0"/>
              <w:left w:val="nil"/>
              <w:bottom w:val="single" w:color="auto" w:sz="4" w:space="0"/>
              <w:right w:val="single" w:color="auto" w:sz="4" w:space="0"/>
            </w:tcBorders>
            <w:noWrap w:val="0"/>
            <w:vAlign w:val="center"/>
          </w:tcPr>
          <w:p w14:paraId="2B0CEDBB">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35C11B0E">
        <w:tblPrEx>
          <w:tblCellMar>
            <w:top w:w="0" w:type="dxa"/>
            <w:left w:w="108" w:type="dxa"/>
            <w:bottom w:w="0" w:type="dxa"/>
            <w:right w:w="108" w:type="dxa"/>
          </w:tblCellMar>
        </w:tblPrEx>
        <w:trPr>
          <w:trHeight w:val="924"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0AAD32CA">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8</w:t>
            </w:r>
          </w:p>
        </w:tc>
        <w:tc>
          <w:tcPr>
            <w:tcW w:w="1217" w:type="dxa"/>
            <w:tcBorders>
              <w:top w:val="single" w:color="auto" w:sz="4" w:space="0"/>
              <w:left w:val="nil"/>
              <w:bottom w:val="single" w:color="auto" w:sz="4" w:space="0"/>
              <w:right w:val="single" w:color="auto" w:sz="4" w:space="0"/>
            </w:tcBorders>
            <w:noWrap w:val="0"/>
            <w:vAlign w:val="center"/>
          </w:tcPr>
          <w:p w14:paraId="29A6967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设计进度</w:t>
            </w:r>
          </w:p>
          <w:p w14:paraId="0C35F668">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（15分）</w:t>
            </w:r>
          </w:p>
        </w:tc>
        <w:tc>
          <w:tcPr>
            <w:tcW w:w="1618" w:type="dxa"/>
            <w:tcBorders>
              <w:top w:val="single" w:color="auto" w:sz="4" w:space="0"/>
              <w:left w:val="nil"/>
              <w:bottom w:val="single" w:color="auto" w:sz="4" w:space="0"/>
              <w:right w:val="single" w:color="auto" w:sz="4" w:space="0"/>
            </w:tcBorders>
            <w:noWrap w:val="0"/>
            <w:vAlign w:val="center"/>
          </w:tcPr>
          <w:p w14:paraId="7B745275">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val="en-US" w:eastAsia="zh-CN"/>
              </w:rPr>
              <w:t>勘察、</w:t>
            </w:r>
            <w:r>
              <w:rPr>
                <w:rFonts w:hint="eastAsia" w:ascii="宋体" w:hAnsi="宋体" w:eastAsia="宋体" w:cs="宋体"/>
                <w:color w:val="auto"/>
                <w:kern w:val="0"/>
                <w:sz w:val="16"/>
                <w:szCs w:val="16"/>
                <w:highlight w:val="none"/>
              </w:rPr>
              <w:t>设计进度</w:t>
            </w:r>
          </w:p>
        </w:tc>
        <w:tc>
          <w:tcPr>
            <w:tcW w:w="982" w:type="dxa"/>
            <w:tcBorders>
              <w:top w:val="single" w:color="auto" w:sz="4" w:space="0"/>
              <w:left w:val="nil"/>
              <w:bottom w:val="single" w:color="auto" w:sz="4" w:space="0"/>
              <w:right w:val="single" w:color="auto" w:sz="4" w:space="0"/>
            </w:tcBorders>
            <w:noWrap w:val="0"/>
            <w:vAlign w:val="center"/>
          </w:tcPr>
          <w:p w14:paraId="59B4D9C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15</w:t>
            </w:r>
          </w:p>
        </w:tc>
        <w:tc>
          <w:tcPr>
            <w:tcW w:w="4121" w:type="dxa"/>
            <w:tcBorders>
              <w:top w:val="single" w:color="auto" w:sz="4" w:space="0"/>
              <w:left w:val="nil"/>
              <w:bottom w:val="single" w:color="auto" w:sz="4" w:space="0"/>
              <w:right w:val="single" w:color="auto" w:sz="4" w:space="0"/>
            </w:tcBorders>
            <w:noWrap w:val="0"/>
            <w:vAlign w:val="center"/>
          </w:tcPr>
          <w:p w14:paraId="306BED3B">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w:t>
            </w:r>
            <w:r>
              <w:rPr>
                <w:rFonts w:hint="eastAsia" w:ascii="宋体" w:hAnsi="宋体" w:eastAsia="宋体" w:cs="宋体"/>
                <w:color w:val="auto"/>
                <w:kern w:val="0"/>
                <w:sz w:val="16"/>
                <w:szCs w:val="16"/>
                <w:highlight w:val="none"/>
                <w:lang w:val="en-US" w:eastAsia="zh-CN"/>
              </w:rPr>
              <w:t>勘察进度、</w:t>
            </w:r>
            <w:r>
              <w:rPr>
                <w:rFonts w:hint="eastAsia" w:ascii="宋体" w:hAnsi="宋体" w:eastAsia="宋体" w:cs="宋体"/>
                <w:color w:val="auto"/>
                <w:kern w:val="0"/>
                <w:sz w:val="16"/>
                <w:szCs w:val="16"/>
                <w:highlight w:val="none"/>
              </w:rPr>
              <w:t>各专业设计进度不满足合同约定，影响项目招标或开工的，扣5分；2.设计变更不及时，影响现场工程施工的，每次扣2分。</w:t>
            </w:r>
          </w:p>
        </w:tc>
        <w:tc>
          <w:tcPr>
            <w:tcW w:w="708" w:type="dxa"/>
            <w:tcBorders>
              <w:top w:val="single" w:color="auto" w:sz="4" w:space="0"/>
              <w:left w:val="nil"/>
              <w:bottom w:val="single" w:color="auto" w:sz="4" w:space="0"/>
              <w:right w:val="single" w:color="auto" w:sz="4" w:space="0"/>
            </w:tcBorders>
            <w:noWrap w:val="0"/>
            <w:vAlign w:val="center"/>
          </w:tcPr>
          <w:p w14:paraId="78833A63">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54D61EC5">
        <w:tblPrEx>
          <w:tblCellMar>
            <w:top w:w="0" w:type="dxa"/>
            <w:left w:w="108" w:type="dxa"/>
            <w:bottom w:w="0" w:type="dxa"/>
            <w:right w:w="108" w:type="dxa"/>
          </w:tblCellMar>
        </w:tblPrEx>
        <w:trPr>
          <w:trHeight w:val="100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26265B20">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9</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1E20D53A">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设计服务（30分）</w:t>
            </w:r>
          </w:p>
        </w:tc>
        <w:tc>
          <w:tcPr>
            <w:tcW w:w="1618" w:type="dxa"/>
            <w:tcBorders>
              <w:top w:val="single" w:color="auto" w:sz="4" w:space="0"/>
              <w:left w:val="nil"/>
              <w:bottom w:val="single" w:color="auto" w:sz="4" w:space="0"/>
              <w:right w:val="single" w:color="auto" w:sz="4" w:space="0"/>
            </w:tcBorders>
            <w:noWrap w:val="0"/>
            <w:vAlign w:val="center"/>
          </w:tcPr>
          <w:p w14:paraId="29F65680">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招标配合及设计交底</w:t>
            </w:r>
          </w:p>
        </w:tc>
        <w:tc>
          <w:tcPr>
            <w:tcW w:w="982" w:type="dxa"/>
            <w:tcBorders>
              <w:top w:val="single" w:color="auto" w:sz="4" w:space="0"/>
              <w:left w:val="nil"/>
              <w:bottom w:val="single" w:color="auto" w:sz="4" w:space="0"/>
              <w:right w:val="single" w:color="auto" w:sz="4" w:space="0"/>
            </w:tcBorders>
            <w:noWrap w:val="0"/>
            <w:vAlign w:val="center"/>
          </w:tcPr>
          <w:p w14:paraId="667BAF87">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16980BF1">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1.未按项目进度要求及时进行设计交底的；扣2分；2.未及时配合业主开展施工、采购招标的，每次扣2分。</w:t>
            </w:r>
          </w:p>
        </w:tc>
        <w:tc>
          <w:tcPr>
            <w:tcW w:w="708" w:type="dxa"/>
            <w:tcBorders>
              <w:top w:val="single" w:color="auto" w:sz="4" w:space="0"/>
              <w:left w:val="nil"/>
              <w:bottom w:val="single" w:color="auto" w:sz="4" w:space="0"/>
              <w:right w:val="single" w:color="auto" w:sz="4" w:space="0"/>
            </w:tcBorders>
            <w:noWrap w:val="0"/>
            <w:vAlign w:val="center"/>
          </w:tcPr>
          <w:p w14:paraId="23EA7F9E">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54178F2E">
        <w:tblPrEx>
          <w:tblCellMar>
            <w:top w:w="0" w:type="dxa"/>
            <w:left w:w="108" w:type="dxa"/>
            <w:bottom w:w="0" w:type="dxa"/>
            <w:right w:w="108" w:type="dxa"/>
          </w:tblCellMar>
        </w:tblPrEx>
        <w:trPr>
          <w:trHeight w:val="766"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7EF90E5A">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10</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7802286A">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02535BB6">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施工过程中设计问题的处理及配合</w:t>
            </w:r>
          </w:p>
        </w:tc>
        <w:tc>
          <w:tcPr>
            <w:tcW w:w="982" w:type="dxa"/>
            <w:tcBorders>
              <w:top w:val="single" w:color="auto" w:sz="4" w:space="0"/>
              <w:left w:val="nil"/>
              <w:bottom w:val="single" w:color="auto" w:sz="4" w:space="0"/>
              <w:right w:val="single" w:color="auto" w:sz="4" w:space="0"/>
            </w:tcBorders>
            <w:noWrap w:val="0"/>
            <w:vAlign w:val="center"/>
          </w:tcPr>
          <w:p w14:paraId="512CEDB1">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3F7518CB">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未及时处理施工过程中有关设计技术问题影响施工的，每次扣2分。</w:t>
            </w:r>
          </w:p>
        </w:tc>
        <w:tc>
          <w:tcPr>
            <w:tcW w:w="708" w:type="dxa"/>
            <w:tcBorders>
              <w:top w:val="single" w:color="auto" w:sz="4" w:space="0"/>
              <w:left w:val="nil"/>
              <w:bottom w:val="single" w:color="auto" w:sz="4" w:space="0"/>
              <w:right w:val="single" w:color="auto" w:sz="4" w:space="0"/>
            </w:tcBorders>
            <w:noWrap w:val="0"/>
            <w:vAlign w:val="center"/>
          </w:tcPr>
          <w:p w14:paraId="25A2C93F">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31D2593A">
        <w:tblPrEx>
          <w:tblCellMar>
            <w:top w:w="0" w:type="dxa"/>
            <w:left w:w="108" w:type="dxa"/>
            <w:bottom w:w="0" w:type="dxa"/>
            <w:right w:w="108" w:type="dxa"/>
          </w:tblCellMar>
        </w:tblPrEx>
        <w:trPr>
          <w:trHeight w:val="659"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11E08894">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11</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66BE78DB">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4109685E">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设计变更处理</w:t>
            </w:r>
          </w:p>
        </w:tc>
        <w:tc>
          <w:tcPr>
            <w:tcW w:w="982" w:type="dxa"/>
            <w:tcBorders>
              <w:top w:val="single" w:color="auto" w:sz="4" w:space="0"/>
              <w:left w:val="nil"/>
              <w:bottom w:val="single" w:color="auto" w:sz="4" w:space="0"/>
              <w:right w:val="single" w:color="auto" w:sz="4" w:space="0"/>
            </w:tcBorders>
            <w:noWrap w:val="0"/>
            <w:vAlign w:val="center"/>
          </w:tcPr>
          <w:p w14:paraId="18131AC2">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773CE6F1">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未按工程需要，参与重大设计变更的技术经济比较，并及时提供设计变更文件的，每次扣2分。</w:t>
            </w:r>
          </w:p>
        </w:tc>
        <w:tc>
          <w:tcPr>
            <w:tcW w:w="708" w:type="dxa"/>
            <w:tcBorders>
              <w:top w:val="single" w:color="auto" w:sz="4" w:space="0"/>
              <w:left w:val="nil"/>
              <w:bottom w:val="single" w:color="auto" w:sz="4" w:space="0"/>
              <w:right w:val="single" w:color="auto" w:sz="4" w:space="0"/>
            </w:tcBorders>
            <w:noWrap w:val="0"/>
            <w:vAlign w:val="center"/>
          </w:tcPr>
          <w:p w14:paraId="66C0A662">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72E01A00">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4C91D492">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12</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097C8F9F">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5CFB112B">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设计驻点工作</w:t>
            </w:r>
          </w:p>
        </w:tc>
        <w:tc>
          <w:tcPr>
            <w:tcW w:w="982" w:type="dxa"/>
            <w:tcBorders>
              <w:top w:val="single" w:color="auto" w:sz="4" w:space="0"/>
              <w:left w:val="nil"/>
              <w:bottom w:val="single" w:color="auto" w:sz="4" w:space="0"/>
              <w:right w:val="single" w:color="auto" w:sz="4" w:space="0"/>
            </w:tcBorders>
            <w:noWrap w:val="0"/>
            <w:vAlign w:val="center"/>
          </w:tcPr>
          <w:p w14:paraId="0E6521CA">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0009A924">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未根据现场工程需要，及时解决施工设计配合问题，水平能力及服务态度不良的，每次扣2分。</w:t>
            </w:r>
          </w:p>
        </w:tc>
        <w:tc>
          <w:tcPr>
            <w:tcW w:w="708" w:type="dxa"/>
            <w:tcBorders>
              <w:top w:val="single" w:color="auto" w:sz="4" w:space="0"/>
              <w:left w:val="nil"/>
              <w:bottom w:val="single" w:color="auto" w:sz="4" w:space="0"/>
              <w:right w:val="single" w:color="auto" w:sz="4" w:space="0"/>
            </w:tcBorders>
            <w:noWrap w:val="0"/>
            <w:vAlign w:val="center"/>
          </w:tcPr>
          <w:p w14:paraId="44F4EBAE">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320AFDA2">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4BC47AE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13</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0691290C">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3AE84BA6">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验收工作</w:t>
            </w:r>
          </w:p>
        </w:tc>
        <w:tc>
          <w:tcPr>
            <w:tcW w:w="982" w:type="dxa"/>
            <w:tcBorders>
              <w:top w:val="single" w:color="auto" w:sz="4" w:space="0"/>
              <w:left w:val="nil"/>
              <w:bottom w:val="single" w:color="auto" w:sz="4" w:space="0"/>
              <w:right w:val="single" w:color="auto" w:sz="4" w:space="0"/>
            </w:tcBorders>
            <w:noWrap w:val="0"/>
            <w:vAlign w:val="center"/>
          </w:tcPr>
          <w:p w14:paraId="529DCE08">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45EBE2FA">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未在指定时间内及时派人参加隐蔽验收、分部工程验收和竣工验收工作，并签署意见的，每次扣2分。</w:t>
            </w:r>
          </w:p>
        </w:tc>
        <w:tc>
          <w:tcPr>
            <w:tcW w:w="708" w:type="dxa"/>
            <w:tcBorders>
              <w:top w:val="single" w:color="auto" w:sz="4" w:space="0"/>
              <w:left w:val="nil"/>
              <w:bottom w:val="single" w:color="auto" w:sz="4" w:space="0"/>
              <w:right w:val="single" w:color="auto" w:sz="4" w:space="0"/>
            </w:tcBorders>
            <w:noWrap w:val="0"/>
            <w:vAlign w:val="center"/>
          </w:tcPr>
          <w:p w14:paraId="7F8682F6">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3752A8B6">
        <w:tblPrEx>
          <w:tblCellMar>
            <w:top w:w="0" w:type="dxa"/>
            <w:left w:w="108" w:type="dxa"/>
            <w:bottom w:w="0" w:type="dxa"/>
            <w:right w:w="108" w:type="dxa"/>
          </w:tblCellMar>
        </w:tblPrEx>
        <w:trPr>
          <w:trHeight w:val="48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2E823547">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14</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2CBB2441">
            <w:pPr>
              <w:widowControl/>
              <w:spacing w:line="240" w:lineRule="exact"/>
              <w:jc w:val="left"/>
              <w:rPr>
                <w:rFonts w:hint="eastAsia" w:ascii="宋体" w:hAnsi="宋体" w:eastAsia="宋体" w:cs="宋体"/>
                <w:color w:val="auto"/>
                <w:kern w:val="0"/>
                <w:sz w:val="16"/>
                <w:szCs w:val="16"/>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7BBD4BD5">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保密工作</w:t>
            </w:r>
          </w:p>
        </w:tc>
        <w:tc>
          <w:tcPr>
            <w:tcW w:w="982" w:type="dxa"/>
            <w:tcBorders>
              <w:top w:val="single" w:color="auto" w:sz="4" w:space="0"/>
              <w:left w:val="nil"/>
              <w:bottom w:val="single" w:color="auto" w:sz="4" w:space="0"/>
              <w:right w:val="single" w:color="auto" w:sz="4" w:space="0"/>
            </w:tcBorders>
            <w:noWrap w:val="0"/>
            <w:vAlign w:val="center"/>
          </w:tcPr>
          <w:p w14:paraId="7B37EA26">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459DA3B2">
            <w:pPr>
              <w:widowControl/>
              <w:spacing w:line="240" w:lineRule="exact"/>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未按设计合同约定做好设计保密工作的，扣5分。</w:t>
            </w:r>
          </w:p>
        </w:tc>
        <w:tc>
          <w:tcPr>
            <w:tcW w:w="708" w:type="dxa"/>
            <w:tcBorders>
              <w:top w:val="single" w:color="auto" w:sz="4" w:space="0"/>
              <w:left w:val="nil"/>
              <w:bottom w:val="single" w:color="auto" w:sz="4" w:space="0"/>
              <w:right w:val="single" w:color="auto" w:sz="4" w:space="0"/>
            </w:tcBorders>
            <w:noWrap w:val="0"/>
            <w:vAlign w:val="center"/>
          </w:tcPr>
          <w:p w14:paraId="23C3AAA9">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r>
      <w:tr w14:paraId="75AFE827">
        <w:tblPrEx>
          <w:tblCellMar>
            <w:top w:w="0" w:type="dxa"/>
            <w:left w:w="108" w:type="dxa"/>
            <w:bottom w:w="0" w:type="dxa"/>
            <w:right w:w="108" w:type="dxa"/>
          </w:tblCellMar>
        </w:tblPrEx>
        <w:trPr>
          <w:trHeight w:val="525" w:hRule="atLeast"/>
        </w:trPr>
        <w:tc>
          <w:tcPr>
            <w:tcW w:w="3369" w:type="dxa"/>
            <w:gridSpan w:val="3"/>
            <w:tcBorders>
              <w:top w:val="single" w:color="auto" w:sz="4" w:space="0"/>
              <w:left w:val="single" w:color="auto" w:sz="4" w:space="0"/>
              <w:bottom w:val="single" w:color="auto" w:sz="4" w:space="0"/>
              <w:right w:val="single" w:color="auto" w:sz="4" w:space="0"/>
            </w:tcBorders>
            <w:noWrap w:val="0"/>
            <w:vAlign w:val="center"/>
          </w:tcPr>
          <w:p w14:paraId="3EB5FDFD">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得分合计</w:t>
            </w:r>
          </w:p>
        </w:tc>
        <w:tc>
          <w:tcPr>
            <w:tcW w:w="982" w:type="dxa"/>
            <w:tcBorders>
              <w:top w:val="single" w:color="auto" w:sz="4" w:space="0"/>
              <w:left w:val="nil"/>
              <w:bottom w:val="single" w:color="auto" w:sz="4" w:space="0"/>
              <w:right w:val="single" w:color="auto" w:sz="4" w:space="0"/>
            </w:tcBorders>
            <w:noWrap w:val="0"/>
            <w:vAlign w:val="center"/>
          </w:tcPr>
          <w:p w14:paraId="12587141">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100</w:t>
            </w:r>
          </w:p>
        </w:tc>
        <w:tc>
          <w:tcPr>
            <w:tcW w:w="4121" w:type="dxa"/>
            <w:tcBorders>
              <w:top w:val="single" w:color="auto" w:sz="4" w:space="0"/>
              <w:left w:val="nil"/>
              <w:bottom w:val="single" w:color="auto" w:sz="4" w:space="0"/>
              <w:right w:val="single" w:color="auto" w:sz="4" w:space="0"/>
            </w:tcBorders>
            <w:noWrap w:val="0"/>
            <w:vAlign w:val="center"/>
          </w:tcPr>
          <w:p w14:paraId="0EE088EE">
            <w:pPr>
              <w:widowControl/>
              <w:spacing w:line="240" w:lineRule="exact"/>
              <w:jc w:val="center"/>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rPr>
              <w:t>　</w:t>
            </w:r>
          </w:p>
        </w:tc>
        <w:tc>
          <w:tcPr>
            <w:tcW w:w="708" w:type="dxa"/>
            <w:tcBorders>
              <w:top w:val="single" w:color="auto" w:sz="4" w:space="0"/>
              <w:left w:val="nil"/>
              <w:bottom w:val="single" w:color="000000" w:sz="4" w:space="0"/>
              <w:right w:val="single" w:color="auto" w:sz="4" w:space="0"/>
            </w:tcBorders>
            <w:noWrap w:val="0"/>
            <w:vAlign w:val="center"/>
          </w:tcPr>
          <w:p w14:paraId="5CC29735">
            <w:pPr>
              <w:widowControl/>
              <w:spacing w:line="240" w:lineRule="exact"/>
              <w:jc w:val="center"/>
              <w:rPr>
                <w:rFonts w:hint="eastAsia" w:ascii="宋体" w:hAnsi="宋体" w:eastAsia="宋体" w:cs="宋体"/>
                <w:bCs/>
                <w:color w:val="auto"/>
                <w:kern w:val="0"/>
                <w:sz w:val="16"/>
                <w:szCs w:val="16"/>
                <w:highlight w:val="none"/>
              </w:rPr>
            </w:pPr>
            <w:r>
              <w:rPr>
                <w:rFonts w:hint="eastAsia" w:ascii="宋体" w:hAnsi="宋体" w:eastAsia="宋体" w:cs="宋体"/>
                <w:bCs/>
                <w:color w:val="auto"/>
                <w:kern w:val="0"/>
                <w:sz w:val="16"/>
                <w:szCs w:val="16"/>
                <w:highlight w:val="none"/>
              </w:rPr>
              <w:t>　</w:t>
            </w:r>
          </w:p>
        </w:tc>
      </w:tr>
    </w:tbl>
    <w:p w14:paraId="4A123872">
      <w:pPr>
        <w:pStyle w:val="3"/>
        <w:ind w:firstLine="0"/>
        <w:rPr>
          <w:color w:val="0000FF"/>
          <w:sz w:val="18"/>
          <w:szCs w:val="18"/>
          <w:u w:val="single"/>
        </w:rPr>
      </w:pPr>
      <w:r>
        <w:rPr>
          <w:rFonts w:hint="eastAsia" w:ascii="宋体" w:hAnsi="宋体" w:cs="宋体"/>
          <w:b/>
          <w:bCs/>
          <w:color w:val="auto"/>
          <w:sz w:val="36"/>
          <w:szCs w:val="36"/>
          <w:highlight w:val="none"/>
          <w:lang w:val="en-US" w:eastAsia="zh-CN"/>
        </w:rPr>
        <w:t xml:space="preserve">                      </w:t>
      </w:r>
      <w:r>
        <w:rPr>
          <w:rFonts w:hint="eastAsia" w:ascii="宋体" w:hAnsi="宋体" w:eastAsia="宋体" w:cs="宋体"/>
          <w:color w:val="auto"/>
          <w:kern w:val="0"/>
          <w:sz w:val="16"/>
          <w:szCs w:val="16"/>
          <w:highlight w:val="none"/>
          <w:lang w:val="zh-CN"/>
        </w:rPr>
        <w:t>考核时间：    年  月  日</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
    <w:altName w:val="仿宋"/>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xNWU5MTM1NDJhMzM3NzZlNjAyMmRiMjcyMmY4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71938B9"/>
    <w:rsid w:val="08597014"/>
    <w:rsid w:val="0C0E75ED"/>
    <w:rsid w:val="0D002EE5"/>
    <w:rsid w:val="0EBB3568"/>
    <w:rsid w:val="0EC60B07"/>
    <w:rsid w:val="10CF4970"/>
    <w:rsid w:val="11013906"/>
    <w:rsid w:val="12AF761D"/>
    <w:rsid w:val="172B4FA4"/>
    <w:rsid w:val="176F3141"/>
    <w:rsid w:val="1820443C"/>
    <w:rsid w:val="198577DD"/>
    <w:rsid w:val="199D42ED"/>
    <w:rsid w:val="1B027245"/>
    <w:rsid w:val="1B3470AD"/>
    <w:rsid w:val="1D6E70FD"/>
    <w:rsid w:val="21F42BC1"/>
    <w:rsid w:val="23027DEE"/>
    <w:rsid w:val="242B6642"/>
    <w:rsid w:val="244871F4"/>
    <w:rsid w:val="274E2D73"/>
    <w:rsid w:val="27EF733B"/>
    <w:rsid w:val="29BB6BC2"/>
    <w:rsid w:val="2F1025C8"/>
    <w:rsid w:val="30104537"/>
    <w:rsid w:val="313868D1"/>
    <w:rsid w:val="319B6BB5"/>
    <w:rsid w:val="325B49C3"/>
    <w:rsid w:val="326A7D77"/>
    <w:rsid w:val="33EF3E56"/>
    <w:rsid w:val="384168B8"/>
    <w:rsid w:val="3CCE5611"/>
    <w:rsid w:val="3CE71A85"/>
    <w:rsid w:val="412A6A1E"/>
    <w:rsid w:val="414032D5"/>
    <w:rsid w:val="43684B0A"/>
    <w:rsid w:val="45622915"/>
    <w:rsid w:val="48BE3FE8"/>
    <w:rsid w:val="4EC118A7"/>
    <w:rsid w:val="4FDA2485"/>
    <w:rsid w:val="52C75604"/>
    <w:rsid w:val="54F63A8A"/>
    <w:rsid w:val="553676BB"/>
    <w:rsid w:val="57DA7B88"/>
    <w:rsid w:val="5C7E1FD1"/>
    <w:rsid w:val="5D3B49BA"/>
    <w:rsid w:val="5D7F0889"/>
    <w:rsid w:val="60E414E6"/>
    <w:rsid w:val="61E5759F"/>
    <w:rsid w:val="62487DE4"/>
    <w:rsid w:val="64E57B6C"/>
    <w:rsid w:val="657A4758"/>
    <w:rsid w:val="696F3399"/>
    <w:rsid w:val="6C9012A0"/>
    <w:rsid w:val="6FA06B69"/>
    <w:rsid w:val="71213920"/>
    <w:rsid w:val="734E36BE"/>
    <w:rsid w:val="74343D24"/>
    <w:rsid w:val="764F97C9"/>
    <w:rsid w:val="773D2656"/>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9"/>
    <w:pPr>
      <w:keepNext/>
      <w:keepLines/>
      <w:widowControl w:val="0"/>
      <w:kinsoku/>
      <w:autoSpaceDE/>
      <w:autoSpaceDN/>
      <w:adjustRightInd/>
      <w:snapToGrid/>
      <w:spacing w:before="260" w:after="260" w:line="416" w:lineRule="auto"/>
      <w:jc w:val="both"/>
      <w:textAlignment w:val="auto"/>
      <w:outlineLvl w:val="1"/>
    </w:pPr>
    <w:rPr>
      <w:rFonts w:ascii="等线 Light" w:hAnsi="等线 Light" w:eastAsia="等线 Light" w:cs="Times New Roman"/>
      <w:b/>
      <w:bCs/>
      <w:snapToGrid/>
      <w:color w:val="auto"/>
      <w:kern w:val="2"/>
      <w:sz w:val="32"/>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1"/>
    </w:rPr>
  </w:style>
  <w:style w:type="paragraph" w:styleId="4">
    <w:name w:val="annotation text"/>
    <w:basedOn w:val="1"/>
    <w:autoRedefine/>
    <w:qFormat/>
    <w:uiPriority w:val="0"/>
    <w:pPr>
      <w:jc w:val="left"/>
    </w:pPr>
  </w:style>
  <w:style w:type="paragraph" w:styleId="5">
    <w:name w:val="Body Text"/>
    <w:basedOn w:val="1"/>
    <w:next w:val="1"/>
    <w:autoRedefine/>
    <w:qFormat/>
    <w:uiPriority w:val="99"/>
    <w:pPr>
      <w:jc w:val="left"/>
    </w:pPr>
    <w:rPr>
      <w:kern w:val="0"/>
    </w:rPr>
  </w:style>
  <w:style w:type="paragraph" w:styleId="6">
    <w:name w:val="Plain Text"/>
    <w:basedOn w:val="1"/>
    <w:autoRedefine/>
    <w:qFormat/>
    <w:uiPriority w:val="0"/>
    <w:rPr>
      <w:rFonts w:ascii="宋体" w:hAnsi="Courier New"/>
      <w:kern w:val="0"/>
      <w:sz w:val="20"/>
    </w:rPr>
  </w:style>
  <w:style w:type="paragraph" w:styleId="7">
    <w:name w:val="Balloon Text"/>
    <w:basedOn w:val="1"/>
    <w:link w:val="17"/>
    <w:autoRedefine/>
    <w:qFormat/>
    <w:uiPriority w:val="0"/>
    <w:rPr>
      <w:sz w:val="18"/>
      <w:szCs w:val="18"/>
    </w:rPr>
  </w:style>
  <w:style w:type="paragraph" w:styleId="8">
    <w:name w:val="footer"/>
    <w:basedOn w:val="1"/>
    <w:next w:val="5"/>
    <w:autoRedefine/>
    <w:qFormat/>
    <w:uiPriority w:val="0"/>
    <w:pPr>
      <w:tabs>
        <w:tab w:val="center" w:pos="4140"/>
        <w:tab w:val="right" w:pos="8300"/>
      </w:tabs>
      <w:snapToGrid w:val="0"/>
      <w:jc w:val="left"/>
    </w:pPr>
    <w:rPr>
      <w:sz w:val="18"/>
      <w:szCs w:val="18"/>
    </w:rPr>
  </w:style>
  <w:style w:type="paragraph" w:styleId="9">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99"/>
    <w:pPr>
      <w:spacing w:before="240" w:after="60"/>
      <w:jc w:val="center"/>
      <w:outlineLvl w:val="0"/>
    </w:pPr>
    <w:rPr>
      <w:rFonts w:asciiTheme="majorHAnsi" w:hAnsiTheme="majorHAnsi" w:eastAsiaTheme="majorEastAsia"/>
      <w:b/>
      <w:bCs/>
      <w:kern w:val="28"/>
      <w:sz w:val="32"/>
      <w:szCs w:val="32"/>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autoRedefine/>
    <w:qFormat/>
    <w:uiPriority w:val="0"/>
    <w:rPr>
      <w:sz w:val="21"/>
      <w:szCs w:val="21"/>
    </w:rPr>
  </w:style>
  <w:style w:type="character" w:customStyle="1" w:styleId="16">
    <w:name w:val="页眉 Char"/>
    <w:basedOn w:val="14"/>
    <w:link w:val="9"/>
    <w:autoRedefine/>
    <w:qFormat/>
    <w:uiPriority w:val="0"/>
    <w:rPr>
      <w:kern w:val="2"/>
      <w:sz w:val="18"/>
      <w:szCs w:val="18"/>
    </w:rPr>
  </w:style>
  <w:style w:type="character" w:customStyle="1" w:styleId="17">
    <w:name w:val="批注框文本 Char"/>
    <w:basedOn w:val="14"/>
    <w:link w:val="7"/>
    <w:autoRedefine/>
    <w:qFormat/>
    <w:uiPriority w:val="0"/>
    <w:rPr>
      <w:kern w:val="2"/>
      <w:sz w:val="18"/>
      <w:szCs w:val="18"/>
    </w:rPr>
  </w:style>
  <w:style w:type="paragraph" w:styleId="18">
    <w:name w:val="List Paragraph"/>
    <w:basedOn w:val="1"/>
    <w:autoRedefine/>
    <w:qFormat/>
    <w:uiPriority w:val="34"/>
    <w:pPr>
      <w:ind w:firstLine="420" w:firstLineChars="200"/>
    </w:pPr>
    <w:rPr>
      <w:rFonts w:ascii="Calibri" w:hAnsi="Calibri"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4747</Words>
  <Characters>5026</Characters>
  <Lines>23</Lines>
  <Paragraphs>6</Paragraphs>
  <TotalTime>1</TotalTime>
  <ScaleCrop>false</ScaleCrop>
  <LinksUpToDate>false</LinksUpToDate>
  <CharactersWithSpaces>5660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M…木！</cp:lastModifiedBy>
  <cp:lastPrinted>2022-09-28T14:56:00Z</cp:lastPrinted>
  <dcterms:modified xsi:type="dcterms:W3CDTF">2025-03-17T07:17:46Z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E79E879024B94D3FB100E7468F0D228F</vt:lpwstr>
  </property>
  <property fmtid="{D5CDD505-2E9C-101B-9397-08002B2CF9AE}" pid="4" name="KSOTemplateDocerSaveRecord">
    <vt:lpwstr>eyJoZGlkIjoiOGI4NjI5OTBmMDM1ODFlMDkzNDFlZTFiMWNhZWU5ZTMiLCJ1c2VySWQiOiIzNTk3MTIyMDAifQ==</vt:lpwstr>
  </property>
</Properties>
</file>