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版本号：SXJTZB-ZC-CS2025031020250317001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2024年粮食作物重大病虫害应急防治项目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SXJTZB-ZC-CS20250310</w:t>
      </w:r>
      <w:r>
        <w:br/>
      </w:r>
      <w:r>
        <w:br/>
      </w:r>
      <w:r>
        <w:br/>
      </w:r>
    </w:p>
    <w:p>
      <w:pPr>
        <w:pStyle w:val="null3"/>
        <w:jc w:val="center"/>
        <w:outlineLvl w:val="2"/>
      </w:pPr>
      <w:r>
        <w:rPr>
          <w:rFonts w:ascii="仿宋_GB2312" w:hAnsi="仿宋_GB2312" w:cs="仿宋_GB2312" w:eastAsia="仿宋_GB2312"/>
          <w:sz w:val="28"/>
          <w:b/>
        </w:rPr>
        <w:t>西安市高陵区农业技术推广中心</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西安市高陵区农业技术推广中心</w:t>
      </w:r>
      <w:r>
        <w:rPr>
          <w:rFonts w:ascii="仿宋_GB2312" w:hAnsi="仿宋_GB2312" w:cs="仿宋_GB2312" w:eastAsia="仿宋_GB2312"/>
        </w:rPr>
        <w:t>委托，拟对</w:t>
      </w:r>
      <w:r>
        <w:rPr>
          <w:rFonts w:ascii="仿宋_GB2312" w:hAnsi="仿宋_GB2312" w:cs="仿宋_GB2312" w:eastAsia="仿宋_GB2312"/>
        </w:rPr>
        <w:t>2024年粮食作物重大病虫害应急防治项目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SXJTZB-ZC-CS20250310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2024年粮食作物重大病虫害应急防治项目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粮食重大病虫害应急防治项目,计划在种植面积相对集中连片的行政村（兼顾粮食生产规模种植经营主体、农村集体经济组织、种植大户等），建立粮食作物重大病虫应急防控示范区，大力推进统防统治与绿色防控有机融合，达到有效防控，减灾保粮。本次采购小麦重大病虫害专业化统防统治，包含防治药剂和防治作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采购包1（2024年粮食作物重大病虫害应急防治项目）：属于专门面向中小企业采购。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2、基本资格条件承诺函：供应商出具参加本次政府采购活动的基本资格条件承诺函（格式见附件）；</w:t>
      </w:r>
    </w:p>
    <w:p>
      <w:pPr>
        <w:pStyle w:val="null3"/>
      </w:pPr>
      <w:r>
        <w:rPr>
          <w:rFonts w:ascii="仿宋_GB2312" w:hAnsi="仿宋_GB2312" w:cs="仿宋_GB2312" w:eastAsia="仿宋_GB2312"/>
        </w:rPr>
        <w:t>3、法定代表人授权委托书：法定代表人授权委托书（附法定代表人、被授权人身份证复印件）及被授权人身份证（法定代表人直接参加磋商，须提供法定代表人身份证明及身份证复印件）；</w:t>
      </w:r>
    </w:p>
    <w:p>
      <w:pPr>
        <w:pStyle w:val="null3"/>
      </w:pPr>
      <w:r>
        <w:rPr>
          <w:rFonts w:ascii="仿宋_GB2312" w:hAnsi="仿宋_GB2312" w:cs="仿宋_GB2312" w:eastAsia="仿宋_GB2312"/>
        </w:rPr>
        <w:t>4、供应商资质：具有民用无人驾驶航空器经营许可证或民用无人驾驶航空器运营合格证；</w:t>
      </w:r>
    </w:p>
    <w:p>
      <w:pPr>
        <w:pStyle w:val="null3"/>
      </w:pPr>
      <w:r>
        <w:rPr>
          <w:rFonts w:ascii="仿宋_GB2312" w:hAnsi="仿宋_GB2312" w:cs="仿宋_GB2312" w:eastAsia="仿宋_GB2312"/>
        </w:rPr>
        <w:t>5、本项目不接受联合体磋商：本项目不接受联合体磋商（提供书面声明材料）。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西安市高陵区环城北路中段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029-86913198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代理服务费收费标准：（一）成交供应商在领取成交通知书前，须向采购代理机构支付成交服务费； （二）招标代理服务费的计算方法：参照国家计委印发的《招标代理服务收费管理暂行办法》（计价格〔2002〕1980号）、国家发展和改革委员会办公厅印发的《关于招标代理服务收费有关问题的通知》（发改办价格〔2003〕857号）的有关规定不足壹万元按壹万元收取。 （三）成交服务费可以采取现金、支票、银行汇票、电汇、网银等方式缴纳。 （四）成交供应商服务费交纳信息：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西安市高陵区农业技术推广中心</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防治面积不少于1.9万亩，总体防效85%以上，病虫危害损失率控制在5%以内。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粮食重大病虫害应急防治项目,计划在种植面积相对集中连片的行政村（兼顾粮食生产规模种植经营主体、农村集体经济组织、种植大户等），建立粮食作物重大病虫应急防控示范区，大力推进统防统治与绿色防控有机融合，达到有效防控，减灾保粮。本次采购小麦重大病虫害专业化统防统治，包含防治药剂和防治作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农作物病虫害防治服务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标的名称：农作物病虫害防治服务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2024年粮食作物重大病虫害应急防治项目</w:t>
            </w:r>
          </w:p>
        </w:tc>
        <w:tc>
          <w:tcPr>
            <w:tcW w:type="dxa" w:w="2076"/>
          </w:tcPr>
          <w:p>
            <w:pPr>
              <w:pStyle w:val="null3"/>
              <w:jc w:val="both"/>
            </w:pPr>
            <w:r>
              <w:rPr>
                <w:rFonts w:ascii="仿宋_GB2312" w:hAnsi="仿宋_GB2312" w:cs="仿宋_GB2312" w:eastAsia="仿宋_GB2312"/>
                <w:sz w:val="20"/>
              </w:rPr>
              <w:t>一、服务内容</w:t>
            </w:r>
          </w:p>
          <w:p>
            <w:pPr>
              <w:pStyle w:val="null3"/>
              <w:jc w:val="both"/>
            </w:pPr>
            <w:r>
              <w:rPr>
                <w:rFonts w:ascii="仿宋_GB2312" w:hAnsi="仿宋_GB2312" w:cs="仿宋_GB2312" w:eastAsia="仿宋_GB2312"/>
                <w:sz w:val="20"/>
              </w:rPr>
              <w:t>小麦重大病虫害防治药剂及飞防服务，以防治小麦赤霉病、蚜虫为主，兼防白粉病、红蜘蛛，防治作业面积不低于</w:t>
            </w:r>
            <w:r>
              <w:rPr>
                <w:rFonts w:ascii="仿宋_GB2312" w:hAnsi="仿宋_GB2312" w:cs="仿宋_GB2312" w:eastAsia="仿宋_GB2312"/>
                <w:sz w:val="20"/>
              </w:rPr>
              <w:t>1.9万亩。</w:t>
            </w:r>
          </w:p>
          <w:p>
            <w:pPr>
              <w:pStyle w:val="null3"/>
              <w:jc w:val="both"/>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杀虫剂：吡虫啉、吡蚜酮、噻虫嗪、高效氯氟氢菊酯等及其复配制剂，杀菌剂：氰烯菌酯、丙硫菌唑等及其复配置剂（其中，氰烯菌酯</w:t>
            </w:r>
            <w:r>
              <w:rPr>
                <w:rFonts w:ascii="仿宋_GB2312" w:hAnsi="仿宋_GB2312" w:cs="仿宋_GB2312" w:eastAsia="仿宋_GB2312"/>
                <w:sz w:val="20"/>
              </w:rPr>
              <w:t>单剂含量不低于</w:t>
            </w:r>
            <w:r>
              <w:rPr>
                <w:rFonts w:ascii="仿宋_GB2312" w:hAnsi="仿宋_GB2312" w:cs="仿宋_GB2312" w:eastAsia="仿宋_GB2312"/>
                <w:sz w:val="20"/>
              </w:rPr>
              <w:t>25%，复配制剂含量不低于15%</w:t>
            </w:r>
            <w:r>
              <w:rPr>
                <w:rFonts w:ascii="仿宋_GB2312" w:hAnsi="仿宋_GB2312" w:cs="仿宋_GB2312" w:eastAsia="仿宋_GB2312"/>
                <w:sz w:val="20"/>
              </w:rPr>
              <w:t>；丙硫菌唑单剂含量不低于</w:t>
            </w:r>
            <w:r>
              <w:rPr>
                <w:rFonts w:ascii="仿宋_GB2312" w:hAnsi="仿宋_GB2312" w:cs="仿宋_GB2312" w:eastAsia="仿宋_GB2312"/>
                <w:sz w:val="20"/>
              </w:rPr>
              <w:t>30%，复配制剂含量不低于20%），叶面肥：磷酸二氢钾、氨基酸水溶肥等；防治所用农药应在农业部相关部门登记，并适用于小麦，农药产品需提供“四证”（分别是农药登记证、农药生产许可证和农药标准证、生产合格证，叶面肥需达到合格，符合国家相关质量标准。</w:t>
            </w:r>
          </w:p>
          <w:p>
            <w:pPr>
              <w:pStyle w:val="null3"/>
              <w:jc w:val="both"/>
            </w:pPr>
            <w:r>
              <w:rPr>
                <w:rFonts w:ascii="仿宋_GB2312" w:hAnsi="仿宋_GB2312" w:cs="仿宋_GB2312" w:eastAsia="仿宋_GB2312"/>
                <w:sz w:val="20"/>
              </w:rPr>
              <w:t>飞行参数：飞行速度</w:t>
            </w:r>
            <w:r>
              <w:rPr>
                <w:rFonts w:ascii="仿宋_GB2312" w:hAnsi="仿宋_GB2312" w:cs="仿宋_GB2312" w:eastAsia="仿宋_GB2312"/>
                <w:sz w:val="20"/>
              </w:rPr>
              <w:t>3-4米/秒，飞行高度1.5-2米，亩喷液量≥2000ml。</w:t>
            </w:r>
          </w:p>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用药必须规范，保证作业人员按配方科学配药、机手按作业要求实施作业。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自合同签订后接采购人通知，在指定地点3日内完成飞防服务任务。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防治面积不少于1.9万亩，供应商项目完成后组织相关专家进行项目验收，总体防效85%以上，病虫危害损失率控制在5%以内。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作业完成后，经相关专家开展防效评估后，由乙方出具相关票据给甲方，甲方在完成报账程序后一次性支付服务费用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（一）进度要求 在甲方指定时间内完成防治任务，防治后两周组织相关专家开展防效评估。 （二）成果交付要求 需要达到项目的具体要求，按期保质保量完成。 （三）采购标的对应的中小企业划分标准所属行业为：农、林、牧、渔业 农、林、牧、渔业的划型标准为：营业收入20000万元以下的为中小微型企业。其中，营业收入500万元及以上的为中型企业，营业收入50万元及以上的为小型企业，营业收入50万元以下的为微型企业。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供应商出具参加本次政府采购活动的基本资格条件承诺函（格式见附件）。供应商需在项目电子化交易系统中按要求上传相应证明文件并进行电子签章。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供应商出具参加本次政府采购活动的基本资格条件承诺函（格式见附件）；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法定代表人授权委托书（附法定代表人、被授权人身份证复印件）及被授权人身份证（法定代表人直接参加磋商，须提供法定代表人身份证明及身份证复印件）；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 法定代表人证明书与法定代表人授权委托书.docx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具有民用无人驾驶航空器经营许可证或民用无人驾驶航空器运营合格证；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按照磋商文件格式编写，无缺漏项。</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未超出采购预算或磋商文件规定的最高限价；（3）磋商报价是否低于成本价，涉嫌不正当竞争（如果磋商小组认为某磋商报价明显不合理或者低于成本，有可能影响服务质量或者不能诚信履约的，应当要求其在规定期限内提供书面文件予以解释说明，并提交相关证明材料）。</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完整响应磋商文件合同条款。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评审内容：供应商对本项目进行解读和分析，以满足采购人使用需求及磋商文件要求，内容包括①项目背景解读与分析；②项目现状和问题分析。 评审标准：按响应程度进行赋分，各部分内容全面详细、阐述条理清晰详尽、符合本项目采购需求，能保障本项目实施得5分；评审内容每缺一项扣2.5分，评审内容有缺陷未完全响应评审标准的扣0.5-2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供应商针对服务内容提供具体详细可行的实施服务方案，内容包括①工作实施目标；②项目整体实际计划方案；③病虫害监测与预警措施；④病虫害防治方法及技术措施；⑤对本项目实施面临的重点、难点进行分析；⑥对本项目重点、难点的应对措施；⑦作业进度安排及保证措施；⑧对本项目效益评估方案；⑨风险控制措施。 评审标准：方案各部分内容全面详细、阐述条理清晰详尽、符合本项目采购需求，能保障本项目实施得34分；评审内容第①②③④⑤⑥⑦项每缺一项扣4分，评审内容有缺陷未完全响应评审标准的扣0.5-3.5分； 评审内容第⑧⑨项每缺一项扣3分，评审内容有缺陷未完全响应评审标准的扣0.5-2.5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自身情况及对项目的理解自行撰写质量管理措施，内容包括①质量管理体系；②质量保障措施。以上内容全面、详细得8分，其中每有一项内容存在缺项或漏项的扣4分，每有一项内容存在缺陷或不足的扣0.5-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根据自身情况及对项目的理解自行撰写服务安全保障方案，内容包括①安全目标②安全管理体系③安全防范及安全保障措施 ④安全保证承诺等。以上内容全面、详细得10分，其中每有一项内容存在缺项或漏项的扣2.5分，每有一项内容存在缺陷或不足的扣0.5-2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服务保障团队</w:t>
            </w:r>
          </w:p>
        </w:tc>
        <w:tc>
          <w:tcPr>
            <w:tcW w:type="dxa" w:w="2492"/>
          </w:tcPr>
          <w:p>
            <w:pPr>
              <w:pStyle w:val="null3"/>
            </w:pPr>
            <w:r>
              <w:rPr>
                <w:rFonts w:ascii="仿宋_GB2312" w:hAnsi="仿宋_GB2312" w:cs="仿宋_GB2312" w:eastAsia="仿宋_GB2312"/>
              </w:rPr>
              <w:t>评审内容：供应商针对本项目的实际情况，提供拟投入的人员，主要内容包含①完整的人员配置清单（清单内容至少包含：姓名、年龄、学历、从业经验等）；②岗位职责及分工；③具备植保无人机系统操作手合格证的飞手不少于5名（以合格证为准）。 评审标准：各部分内容全面详细、阐述条理清晰详尽、符合本项目采购需求，能保障本项目实施得10分；评审内容第①②项每缺一项扣2.5分，评审内容有缺陷未完全响应评审标准的扣0.5-2分；评审内容缺第③项扣5分，每少一名人员扣 1分，共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评审内容：根据项目服务内容和可能发生的紧急事件，提出对突发事件的应急保障方案。内容包含 ①应急组织机构②应急响应流程③作业过程中突发状况的应急处理方案 ④应急保障措施等。以上内容全面、详细得10分，其中每有一项内容存在缺项或漏项的扣2.5分，每有一项内容存在缺陷或不足的扣0.5-2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售后及服务承诺</w:t>
            </w:r>
          </w:p>
        </w:tc>
        <w:tc>
          <w:tcPr>
            <w:tcW w:type="dxa" w:w="2492"/>
          </w:tcPr>
          <w:p>
            <w:pPr>
              <w:pStyle w:val="null3"/>
            </w:pPr>
            <w:r>
              <w:rPr>
                <w:rFonts w:ascii="仿宋_GB2312" w:hAnsi="仿宋_GB2312" w:cs="仿宋_GB2312" w:eastAsia="仿宋_GB2312"/>
              </w:rPr>
              <w:t>评审内容：①服务承诺（至少包括：响应速度、解决时间、服务质量等关键因素）；②其他有利于本项目实施的合理化建议及承诺。 以上内容全面、详细得8分，其中每有一项内容存在缺项或漏项的扣4分，每有一项内容存在缺陷或不足的扣0.5-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评审内容：供应商提供2022年3月至今（以合同签订日期为准）类似项目业绩。 响应文件中附加盖公章的完整的合同或协议复印件，否则不作为评审依据，每提供一份有效业绩得2.5分，最多得5分。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