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版本号：HRDL-CG[2025]-026-01020250306001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西安市高陵区政府机关廉政灶服务采购项目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HRDL-CG[2025]-026-010</w:t>
      </w:r>
      <w:r>
        <w:br/>
      </w:r>
      <w:r>
        <w:br/>
      </w:r>
      <w:r>
        <w:br/>
      </w:r>
    </w:p>
    <w:p>
      <w:pPr>
        <w:pStyle w:val="null3"/>
        <w:jc w:val="center"/>
        <w:outlineLvl w:val="2"/>
      </w:pPr>
      <w:r>
        <w:rPr>
          <w:rFonts w:ascii="仿宋_GB2312" w:hAnsi="仿宋_GB2312" w:cs="仿宋_GB2312" w:eastAsia="仿宋_GB2312"/>
          <w:sz w:val="28"/>
          <w:b/>
        </w:rPr>
        <w:t>西安市高陵区机关事务服务中心</w:t>
      </w:r>
    </w:p>
    <w:p>
      <w:pPr>
        <w:pStyle w:val="null3"/>
        <w:jc w:val="center"/>
        <w:outlineLvl w:val="2"/>
      </w:pPr>
      <w:r>
        <w:rPr>
          <w:rFonts w:ascii="仿宋_GB2312" w:hAnsi="仿宋_GB2312" w:cs="仿宋_GB2312" w:eastAsia="仿宋_GB2312"/>
          <w:sz w:val="28"/>
          <w:b/>
        </w:rPr>
        <w:t>陕西恒瑞项目管理有限公司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西安市高陵区机关事务服务中心</w:t>
      </w:r>
      <w:r>
        <w:rPr>
          <w:rFonts w:ascii="仿宋_GB2312" w:hAnsi="仿宋_GB2312" w:cs="仿宋_GB2312" w:eastAsia="仿宋_GB2312"/>
        </w:rPr>
        <w:t>委托，拟对</w:t>
      </w:r>
      <w:r>
        <w:rPr>
          <w:rFonts w:ascii="仿宋_GB2312" w:hAnsi="仿宋_GB2312" w:cs="仿宋_GB2312" w:eastAsia="仿宋_GB2312"/>
        </w:rPr>
        <w:t>西安市高陵区政府机关廉政灶服务采购项目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HRDL-CG[2025]-026-010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西安市高陵区政府机关廉政灶服务采购项目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按照中省市关于政府向社会力量购买服务的指导意见和实施意见，为加大公共服务领域社会化服务工作，我中心将区政府大院廉政灶工作纳入购买社会化服务。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采购包1（西安市高陵区政府机关廉政灶服务采购项目）：属于专门面向中小企业采购。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5、无重大违法记录的书面声明：提供参加政府采购活动前三年内，在经营活动中没有重大违法记录的书面声明（提供书面声明）；供应商需在项目电子化交易系统中按要求上传相应证明文件并进行电子签章；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书或法定代表人身份证明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9、供应商关联关系声明：单位负责人为同一人或者存在直接控股、管理关系的不同供应商，不得参加同一合同项下的政府采购活动；供应商需在项目电子化交易系统中按要求上传相应证明文件并进行电子签章；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10、非联合体声明：本项目不接受联合体磋商（提供非联合体声明）；供应商需在项目电子化交易系统中按要求上传相应证明文件并进行电子签章；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高陵区县门街29号政府院内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029-86917055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西安市高陵区机关事务服务中心</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联系人：刘志强</w:t>
      </w:r>
    </w:p>
    <w:p>
      <w:pPr>
        <w:pStyle w:val="null3"/>
      </w:pPr>
      <w:r>
        <w:rPr>
          <w:rFonts w:ascii="仿宋_GB2312" w:hAnsi="仿宋_GB2312" w:cs="仿宋_GB2312" w:eastAsia="仿宋_GB2312"/>
        </w:rPr>
        <w:t>联系电话：029-85223595</w:t>
      </w:r>
    </w:p>
    <w:p>
      <w:pPr>
        <w:pStyle w:val="null3"/>
      </w:pPr>
      <w:r>
        <w:rPr>
          <w:rFonts w:ascii="仿宋_GB2312" w:hAnsi="仿宋_GB2312" w:cs="仿宋_GB2312" w:eastAsia="仿宋_GB2312"/>
        </w:rPr>
        <w:t>地址：陕西省西安市雁塔区凯森盛世1号A座25层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按照中省市关于政府向社会力量购买服务的指导意见和实施意见，为加大公共服务领域社会化服务工作，我中心将区政府大院廉政灶工作纳入购买社会化服务。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西安市高陵区政府机关廉政灶服务采购项目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标的名称：西安市高陵区政府机关廉政灶服务采购项目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240"/>
              <w:jc w:val="left"/>
            </w:pPr>
            <w:r>
              <w:rPr>
                <w:rFonts w:ascii="仿宋_GB2312" w:hAnsi="仿宋_GB2312" w:cs="仿宋_GB2312" w:eastAsia="仿宋_GB2312"/>
                <w:sz w:val="24"/>
              </w:rPr>
              <w:t>工作区域：高陵区政府机关食堂</w:t>
            </w:r>
          </w:p>
          <w:p>
            <w:pPr>
              <w:pStyle w:val="null3"/>
              <w:spacing w:before="240" w:after="60"/>
              <w:ind w:firstLine="240"/>
              <w:jc w:val="both"/>
            </w:pPr>
            <w:r>
              <w:rPr>
                <w:rFonts w:ascii="仿宋_GB2312" w:hAnsi="仿宋_GB2312" w:cs="仿宋_GB2312" w:eastAsia="仿宋_GB2312"/>
                <w:sz w:val="24"/>
                <w:b/>
              </w:rPr>
              <w:t>工作内容：本项目服务保障干部职工按时就餐，就餐环境良好，具体工作包括：</w:t>
            </w:r>
          </w:p>
          <w:p>
            <w:pPr>
              <w:pStyle w:val="null3"/>
              <w:numPr>
                <w:ilvl w:val="0"/>
                <w:numId w:val="1"/>
              </w:numPr>
              <w:spacing w:before="240" w:after="60"/>
              <w:jc w:val="both"/>
            </w:pPr>
            <w:r>
              <w:rPr>
                <w:rFonts w:ascii="仿宋_GB2312" w:hAnsi="仿宋_GB2312" w:cs="仿宋_GB2312" w:eastAsia="仿宋_GB2312"/>
                <w:sz w:val="24"/>
                <w:b/>
              </w:rPr>
              <w:t>工作日开早、中、晚三餐，用餐人数约早餐</w:t>
            </w:r>
            <w:r>
              <w:rPr>
                <w:rFonts w:ascii="仿宋_GB2312" w:hAnsi="仿宋_GB2312" w:cs="仿宋_GB2312" w:eastAsia="仿宋_GB2312"/>
                <w:sz w:val="24"/>
                <w:b/>
              </w:rPr>
              <w:t>60—80人、午餐90-110人、晚餐30-50人,以半自助打餐为主；</w:t>
            </w:r>
          </w:p>
          <w:p>
            <w:pPr>
              <w:pStyle w:val="null3"/>
              <w:spacing w:before="240" w:after="60"/>
              <w:ind w:firstLine="480"/>
              <w:jc w:val="both"/>
            </w:pPr>
            <w:r>
              <w:rPr>
                <w:rFonts w:ascii="仿宋_GB2312" w:hAnsi="仿宋_GB2312" w:cs="仿宋_GB2312" w:eastAsia="仿宋_GB2312"/>
                <w:sz w:val="24"/>
                <w:b/>
              </w:rPr>
              <w:t>早餐：</w:t>
            </w:r>
            <w:r>
              <w:rPr>
                <w:rFonts w:ascii="仿宋_GB2312" w:hAnsi="仿宋_GB2312" w:cs="仿宋_GB2312" w:eastAsia="仿宋_GB2312"/>
                <w:sz w:val="24"/>
                <w:b/>
              </w:rPr>
              <w:t>菜品</w:t>
            </w:r>
            <w:r>
              <w:rPr>
                <w:rFonts w:ascii="仿宋_GB2312" w:hAnsi="仿宋_GB2312" w:cs="仿宋_GB2312" w:eastAsia="仿宋_GB2312"/>
                <w:sz w:val="24"/>
                <w:b/>
              </w:rPr>
              <w:t>2种（1凉1热），2种小菜，1道主食（葱花饼、馒头、花卷、酱香饼），2种汤粉粥类（豆浆、各类稀饭），鸡蛋1种；</w:t>
            </w:r>
          </w:p>
          <w:p>
            <w:pPr>
              <w:pStyle w:val="null3"/>
              <w:spacing w:before="240" w:after="60"/>
              <w:ind w:firstLine="480"/>
              <w:jc w:val="both"/>
            </w:pPr>
            <w:r>
              <w:rPr>
                <w:rFonts w:ascii="仿宋_GB2312" w:hAnsi="仿宋_GB2312" w:cs="仿宋_GB2312" w:eastAsia="仿宋_GB2312"/>
                <w:sz w:val="24"/>
                <w:b/>
              </w:rPr>
              <w:t>午餐：菜品</w:t>
            </w:r>
            <w:r>
              <w:rPr>
                <w:rFonts w:ascii="仿宋_GB2312" w:hAnsi="仿宋_GB2312" w:cs="仿宋_GB2312" w:eastAsia="仿宋_GB2312"/>
                <w:sz w:val="24"/>
                <w:b/>
              </w:rPr>
              <w:t>4种（2荤2素，包括1道主荤菜），两道主食，1种酸奶或水果，小吃杂粮1种、汤羹1种等可自行调剂。</w:t>
            </w:r>
          </w:p>
          <w:p>
            <w:pPr>
              <w:pStyle w:val="null3"/>
              <w:spacing w:before="240" w:after="60"/>
              <w:ind w:firstLine="480"/>
              <w:jc w:val="both"/>
            </w:pPr>
            <w:r>
              <w:rPr>
                <w:rFonts w:ascii="仿宋_GB2312" w:hAnsi="仿宋_GB2312" w:cs="仿宋_GB2312" w:eastAsia="仿宋_GB2312"/>
                <w:sz w:val="24"/>
                <w:b/>
              </w:rPr>
              <w:t>晚餐：</w:t>
            </w:r>
            <w:r>
              <w:rPr>
                <w:rFonts w:ascii="仿宋_GB2312" w:hAnsi="仿宋_GB2312" w:cs="仿宋_GB2312" w:eastAsia="仿宋_GB2312"/>
                <w:sz w:val="24"/>
                <w:b/>
              </w:rPr>
              <w:t>菜品</w:t>
            </w:r>
            <w:r>
              <w:rPr>
                <w:rFonts w:ascii="仿宋_GB2312" w:hAnsi="仿宋_GB2312" w:cs="仿宋_GB2312" w:eastAsia="仿宋_GB2312"/>
                <w:sz w:val="24"/>
                <w:b/>
              </w:rPr>
              <w:t>2种（1凉1热），1道主食（葱花饼、馒头、花卷、酱香饼），1种汤粉粥类</w:t>
            </w:r>
            <w:r>
              <w:rPr>
                <w:rFonts w:ascii="仿宋_GB2312" w:hAnsi="仿宋_GB2312" w:cs="仿宋_GB2312" w:eastAsia="仿宋_GB2312"/>
                <w:sz w:val="24"/>
                <w:b/>
              </w:rPr>
              <w:t>。</w:t>
            </w:r>
          </w:p>
          <w:p>
            <w:pPr>
              <w:pStyle w:val="null3"/>
              <w:spacing w:before="240" w:after="60"/>
              <w:ind w:firstLine="561"/>
              <w:jc w:val="both"/>
            </w:pPr>
            <w:r>
              <w:rPr>
                <w:rFonts w:ascii="仿宋_GB2312" w:hAnsi="仿宋_GB2312" w:cs="仿宋_GB2312" w:eastAsia="仿宋_GB2312"/>
                <w:sz w:val="24"/>
                <w:b/>
              </w:rPr>
              <w:t>2.供应商必须根据采购人作息时间要求，保质保量保障职工用餐</w:t>
            </w:r>
            <w:r>
              <w:rPr>
                <w:rFonts w:ascii="仿宋_GB2312" w:hAnsi="仿宋_GB2312" w:cs="仿宋_GB2312" w:eastAsia="仿宋_GB2312"/>
                <w:sz w:val="24"/>
                <w:b/>
              </w:rPr>
              <w:t>，如有特殊情况，乙方服务时间与甲方保持一致。</w:t>
            </w:r>
          </w:p>
          <w:p>
            <w:pPr>
              <w:pStyle w:val="null3"/>
              <w:spacing w:before="240" w:after="60"/>
              <w:ind w:firstLine="561"/>
              <w:jc w:val="both"/>
            </w:pPr>
            <w:r>
              <w:rPr>
                <w:rFonts w:ascii="仿宋_GB2312" w:hAnsi="仿宋_GB2312" w:cs="仿宋_GB2312" w:eastAsia="仿宋_GB2312"/>
                <w:sz w:val="24"/>
                <w:b/>
              </w:rPr>
              <w:t>3.食堂卫生每天必须保持干净整洁，甲方提供水、电、设备及维修等费用，乙方负责燃料、原材料、保洁用品及人员费用。</w:t>
            </w:r>
          </w:p>
          <w:p>
            <w:pPr>
              <w:pStyle w:val="null3"/>
              <w:spacing w:before="240" w:after="60"/>
              <w:ind w:firstLine="561"/>
              <w:jc w:val="both"/>
            </w:pPr>
            <w:r>
              <w:rPr>
                <w:rFonts w:ascii="仿宋_GB2312" w:hAnsi="仿宋_GB2312" w:cs="仿宋_GB2312" w:eastAsia="仿宋_GB2312"/>
                <w:sz w:val="24"/>
                <w:b/>
              </w:rPr>
              <w:t>4.定期收集干部职工反馈意见，并进行有效整改。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2"/>
              <w:jc w:val="both"/>
            </w:pPr>
            <w:r>
              <w:rPr>
                <w:rFonts w:ascii="仿宋_GB2312" w:hAnsi="仿宋_GB2312" w:cs="仿宋_GB2312" w:eastAsia="仿宋_GB2312"/>
                <w:sz w:val="24"/>
                <w:b/>
              </w:rPr>
              <w:t>（一）人员配备</w:t>
            </w:r>
          </w:p>
          <w:p>
            <w:pPr>
              <w:pStyle w:val="null3"/>
              <w:ind w:firstLine="480"/>
              <w:jc w:val="both"/>
            </w:pPr>
            <w:r>
              <w:rPr>
                <w:rFonts w:ascii="仿宋_GB2312" w:hAnsi="仿宋_GB2312" w:cs="仿宋_GB2312" w:eastAsia="仿宋_GB2312"/>
                <w:sz w:val="24"/>
              </w:rPr>
              <w:t>1.配备保障服务总人数不少于9人（含9人），包含厨师长</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3</w:t>
            </w:r>
            <w:r>
              <w:rPr>
                <w:rFonts w:ascii="仿宋_GB2312" w:hAnsi="仿宋_GB2312" w:cs="仿宋_GB2312" w:eastAsia="仿宋_GB2312"/>
                <w:sz w:val="24"/>
              </w:rPr>
              <w:t>人，面点</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1  </w:t>
            </w:r>
            <w:r>
              <w:rPr>
                <w:rFonts w:ascii="仿宋_GB2312" w:hAnsi="仿宋_GB2312" w:cs="仿宋_GB2312" w:eastAsia="仿宋_GB2312"/>
                <w:sz w:val="24"/>
              </w:rPr>
              <w:t>人，洗消</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w:t>
            </w:r>
            <w:r>
              <w:rPr>
                <w:rFonts w:ascii="仿宋_GB2312" w:hAnsi="仿宋_GB2312" w:cs="仿宋_GB2312" w:eastAsia="仿宋_GB2312"/>
                <w:sz w:val="24"/>
              </w:rPr>
              <w:t>人，服务员</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2  </w:t>
            </w:r>
            <w:r>
              <w:rPr>
                <w:rFonts w:ascii="仿宋_GB2312" w:hAnsi="仿宋_GB2312" w:cs="仿宋_GB2312" w:eastAsia="仿宋_GB2312"/>
                <w:sz w:val="24"/>
              </w:rPr>
              <w:t>人，保洁员</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1 人</w:t>
            </w:r>
            <w:r>
              <w:rPr>
                <w:rFonts w:ascii="仿宋_GB2312" w:hAnsi="仿宋_GB2312" w:cs="仿宋_GB2312" w:eastAsia="仿宋_GB2312"/>
                <w:sz w:val="24"/>
              </w:rPr>
              <w:t>。</w:t>
            </w:r>
          </w:p>
          <w:p>
            <w:pPr>
              <w:pStyle w:val="null3"/>
              <w:spacing w:before="240" w:after="60"/>
              <w:ind w:firstLine="480"/>
              <w:jc w:val="both"/>
            </w:pPr>
            <w:r>
              <w:rPr>
                <w:rFonts w:ascii="仿宋_GB2312" w:hAnsi="仿宋_GB2312" w:cs="仿宋_GB2312" w:eastAsia="仿宋_GB2312"/>
                <w:sz w:val="24"/>
                <w:b/>
              </w:rPr>
              <w:t>2.服务人员年龄一般在18-55周岁，身体健康（提供健康证），干净整洁、形象良好具备一定的工作经验。</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3.服务人员服从采购人监督管理、遵守各项规章制度，服从工作安排和要求。</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服务标准</w:t>
            </w:r>
          </w:p>
          <w:p>
            <w:pPr>
              <w:pStyle w:val="null3"/>
              <w:spacing w:before="240" w:after="60"/>
              <w:ind w:firstLine="480"/>
              <w:jc w:val="left"/>
            </w:pPr>
            <w:r>
              <w:rPr>
                <w:rFonts w:ascii="仿宋_GB2312" w:hAnsi="仿宋_GB2312" w:cs="仿宋_GB2312" w:eastAsia="仿宋_GB2312"/>
                <w:sz w:val="24"/>
                <w:b/>
              </w:rPr>
              <w:t>1.供应商须建立健全食品安全各项管理制度，明确食品安全责任，并对执行情况进行记录。</w:t>
            </w:r>
          </w:p>
          <w:p>
            <w:pPr>
              <w:pStyle w:val="null3"/>
              <w:spacing w:before="240" w:after="60"/>
              <w:ind w:firstLine="480"/>
              <w:jc w:val="left"/>
            </w:pPr>
            <w:r>
              <w:rPr>
                <w:rFonts w:ascii="仿宋_GB2312" w:hAnsi="仿宋_GB2312" w:cs="仿宋_GB2312" w:eastAsia="仿宋_GB2312"/>
                <w:sz w:val="24"/>
                <w:b/>
              </w:rPr>
              <w:t>2.供应商须制定从业人员食品安全知识培训计划，组织实施并做好记录。</w:t>
            </w:r>
          </w:p>
          <w:p>
            <w:pPr>
              <w:pStyle w:val="null3"/>
              <w:spacing w:before="240" w:after="60"/>
              <w:ind w:firstLine="480"/>
              <w:jc w:val="left"/>
            </w:pPr>
            <w:r>
              <w:rPr>
                <w:rFonts w:ascii="仿宋_GB2312" w:hAnsi="仿宋_GB2312" w:cs="仿宋_GB2312" w:eastAsia="仿宋_GB2312"/>
                <w:sz w:val="24"/>
                <w:b/>
              </w:rPr>
              <w:t>3.供应商须建立餐厨废弃物处置管理制度，将餐厨废弃物分类放置，废弃物应在每次供餐结束后及时清除，清除后的容器应及时清洗，必要时进行消毒。餐厨废弃物应由经相关部门许可或者备案的餐厨废弃物收运、处置单位或个人处理。</w:t>
            </w:r>
          </w:p>
          <w:p>
            <w:pPr>
              <w:pStyle w:val="null3"/>
              <w:spacing w:before="240" w:after="60"/>
              <w:ind w:firstLine="480"/>
              <w:jc w:val="left"/>
            </w:pPr>
            <w:r>
              <w:rPr>
                <w:rFonts w:ascii="仿宋_GB2312" w:hAnsi="仿宋_GB2312" w:cs="仿宋_GB2312" w:eastAsia="仿宋_GB2312"/>
                <w:sz w:val="24"/>
                <w:b/>
              </w:rPr>
              <w:t>4.供应商须制定食品安全检查计划，明确检查项目及考核标准，并做好检查记录。</w:t>
            </w:r>
          </w:p>
          <w:p>
            <w:pPr>
              <w:pStyle w:val="null3"/>
              <w:spacing w:before="240" w:after="60"/>
              <w:ind w:firstLine="480"/>
              <w:jc w:val="left"/>
            </w:pPr>
            <w:r>
              <w:rPr>
                <w:rFonts w:ascii="仿宋_GB2312" w:hAnsi="仿宋_GB2312" w:cs="仿宋_GB2312" w:eastAsia="仿宋_GB2312"/>
                <w:sz w:val="24"/>
                <w:b/>
              </w:rPr>
              <w:t>5.供应商须组织制定食品安全事故预防、应急处置方案，定期检查各项食品安全防范措施的落实情况，及时消除食品安全事 故隐患。</w:t>
            </w:r>
          </w:p>
          <w:p>
            <w:pPr>
              <w:pStyle w:val="null3"/>
              <w:spacing w:before="240" w:after="60"/>
              <w:ind w:firstLine="480"/>
              <w:jc w:val="left"/>
            </w:pPr>
            <w:r>
              <w:rPr>
                <w:rFonts w:ascii="仿宋_GB2312" w:hAnsi="仿宋_GB2312" w:cs="仿宋_GB2312" w:eastAsia="仿宋_GB2312"/>
                <w:sz w:val="24"/>
                <w:b/>
              </w:rPr>
              <w:t>6.供应商须建立食品安全检查及从业人员健康、培训等档案管理，人员信息档案报备采购人处，且当人员变动时要及时进行 变更报备。</w:t>
            </w:r>
          </w:p>
          <w:p>
            <w:pPr>
              <w:pStyle w:val="null3"/>
              <w:spacing w:before="240" w:after="60"/>
              <w:ind w:firstLine="480"/>
              <w:jc w:val="left"/>
            </w:pPr>
            <w:r>
              <w:rPr>
                <w:rFonts w:ascii="仿宋_GB2312" w:hAnsi="仿宋_GB2312" w:cs="仿宋_GB2312" w:eastAsia="仿宋_GB2312"/>
                <w:sz w:val="24"/>
                <w:b/>
              </w:rPr>
              <w:t>7.供应商进行前述各项文件记录和人员管理。</w:t>
            </w:r>
          </w:p>
          <w:p>
            <w:pPr>
              <w:pStyle w:val="null3"/>
              <w:spacing w:before="240" w:after="60"/>
              <w:ind w:firstLine="480"/>
              <w:jc w:val="left"/>
            </w:pPr>
            <w:r>
              <w:rPr>
                <w:rFonts w:ascii="仿宋_GB2312" w:hAnsi="仿宋_GB2312" w:cs="仿宋_GB2312" w:eastAsia="仿宋_GB2312"/>
                <w:sz w:val="24"/>
                <w:b/>
              </w:rPr>
              <w:t>8.供应商须根据卫生部《病媒生物预防控制管理规定》和《国家级卫生城市标准》的要求，建立病媒生物预防控制制度，按时定期开展病媒生物防治工作，并做好台账记录和管理工作。</w:t>
            </w:r>
          </w:p>
          <w:p>
            <w:pPr>
              <w:pStyle w:val="null3"/>
              <w:spacing w:before="240" w:after="60"/>
              <w:ind w:firstLine="480"/>
              <w:jc w:val="left"/>
            </w:pPr>
            <w:r>
              <w:rPr>
                <w:rFonts w:ascii="仿宋_GB2312" w:hAnsi="仿宋_GB2312" w:cs="仿宋_GB2312" w:eastAsia="仿宋_GB2312"/>
                <w:sz w:val="24"/>
                <w:b/>
              </w:rPr>
              <w:t>9.供应商按《食品卫生法》及采购人要求为员工提供卫生、可口、周到的就餐服务，做到不加工过期及“三无”食材，并妥善存储、清洗彻底食材；加工制作过程卫生无毒、生熟分开、配餐合理；成品饭食口味适宜、无夹生、无异物；餐后餐具按规 定程序清洗消毒彻底；后厨及就餐环境干净整洁、无积垢、无灰尘、无死角、无病媒生物；就餐服务周到细致。防止食物中毒，由于管理不善或供应商人员操作等因素引发的食品卫生安全事件，由供应商负全部责任，赔偿因此给采购人造成的行政 事业罚款等相关费用，并无条件配合采购人开展善后处理。</w:t>
            </w:r>
          </w:p>
          <w:p>
            <w:pPr>
              <w:pStyle w:val="null3"/>
              <w:spacing w:before="240" w:after="60"/>
              <w:ind w:firstLine="480"/>
              <w:jc w:val="left"/>
            </w:pPr>
            <w:r>
              <w:rPr>
                <w:rFonts w:ascii="仿宋_GB2312" w:hAnsi="仿宋_GB2312" w:cs="仿宋_GB2312" w:eastAsia="仿宋_GB2312"/>
                <w:sz w:val="24"/>
                <w:b/>
              </w:rPr>
              <w:t>10</w:t>
            </w:r>
            <w:r>
              <w:rPr>
                <w:rFonts w:ascii="仿宋_GB2312" w:hAnsi="仿宋_GB2312" w:cs="仿宋_GB2312" w:eastAsia="仿宋_GB2312"/>
                <w:sz w:val="24"/>
                <w:b/>
              </w:rPr>
              <w:t>.供应商从业人员有统一制服，工作期间标准着装，服务细致周到。</w:t>
            </w:r>
          </w:p>
          <w:p>
            <w:pPr>
              <w:pStyle w:val="null3"/>
              <w:jc w:val="both"/>
            </w:pPr>
            <w:r>
              <w:rPr>
                <w:rFonts w:ascii="仿宋_GB2312" w:hAnsi="仿宋_GB2312" w:cs="仿宋_GB2312" w:eastAsia="仿宋_GB2312"/>
                <w:sz w:val="24"/>
                <w:b/>
              </w:rPr>
              <w:t>（三）服务要求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供应商工作人员负责将每天食品留样</w:t>
            </w:r>
            <w:r>
              <w:rPr>
                <w:rFonts w:ascii="仿宋_GB2312" w:hAnsi="仿宋_GB2312" w:cs="仿宋_GB2312" w:eastAsia="仿宋_GB2312"/>
                <w:sz w:val="24"/>
              </w:rPr>
              <w:t>48</w:t>
            </w:r>
            <w:r>
              <w:rPr>
                <w:rFonts w:ascii="仿宋_GB2312" w:hAnsi="仿宋_GB2312" w:cs="仿宋_GB2312" w:eastAsia="仿宋_GB2312"/>
                <w:sz w:val="24"/>
              </w:rPr>
              <w:t>小时，以备查验；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供应商工作人员需持有效</w:t>
            </w:r>
            <w:r>
              <w:rPr>
                <w:rFonts w:ascii="仿宋_GB2312" w:hAnsi="仿宋_GB2312" w:cs="仿宋_GB2312" w:eastAsia="仿宋_GB2312"/>
                <w:sz w:val="24"/>
              </w:rPr>
              <w:t>“</w:t>
            </w:r>
            <w:r>
              <w:rPr>
                <w:rFonts w:ascii="仿宋_GB2312" w:hAnsi="仿宋_GB2312" w:cs="仿宋_GB2312" w:eastAsia="仿宋_GB2312"/>
                <w:sz w:val="24"/>
              </w:rPr>
              <w:t>健康证</w:t>
            </w:r>
            <w:r>
              <w:rPr>
                <w:rFonts w:ascii="仿宋_GB2312" w:hAnsi="仿宋_GB2312" w:cs="仿宋_GB2312" w:eastAsia="仿宋_GB2312"/>
                <w:sz w:val="24"/>
              </w:rPr>
              <w:t>”</w:t>
            </w:r>
            <w:r>
              <w:rPr>
                <w:rFonts w:ascii="仿宋_GB2312" w:hAnsi="仿宋_GB2312" w:cs="仿宋_GB2312" w:eastAsia="仿宋_GB2312"/>
                <w:sz w:val="24"/>
              </w:rPr>
              <w:t>上岗；</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供应商每周四编制下周菜单，报采购人审核，并按审核后的菜单拟定原材料采购计划；</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供应商合理安排膳食供应，在保证采购人职工就餐的前提下，做好节约，避免浪费；</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厨房每日的残渣剩饭和垃圾运由供应商送至采购人指定地点；</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供应商未经采购人同意，不得擅自对餐厅设施做任何改动；</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供应商未经采购人同意，不得收取就餐人员任何费用，不得擅自转让承包或变相转让他人经营，不得对外经营；</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供应商接受采购人的监督和指导，认真履行合同；工作人员必须遵守采购人的各项安全、治安、消防等规章制度；工作期间杜绝长明灯、长流水，做好水、电、气等节约使用；</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供应商负责经营期间服务人员的自主选聘、薪酬决定，聘用人员与采购人无劳动关系；</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供应商负责服务期产生的人工费、低值易耗品费用、用工自身的安全、人身伤害以及对其他第三人的伤害等，若给采购人造成不良后果的应承担相应赔偿责任。</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ind w:firstLine="480"/>
              <w:jc w:val="both"/>
            </w:pPr>
            <w:r>
              <w:rPr>
                <w:rFonts w:ascii="仿宋_GB2312" w:hAnsi="仿宋_GB2312" w:cs="仿宋_GB2312" w:eastAsia="仿宋_GB2312"/>
                <w:sz w:val="24"/>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1.配备保障服务总人数不少于9人（含9人），包含厨师长3人，面点1人，洗消2人，服务员2人，保洁员1人。 2.服务人员年龄一般在18-55周岁，身体健康（提供健康证），干净整洁、形象良好具备一定的工作经验。 3.服务人员服从采购人监督管理、遵守各项规章制度，服从工作安排和要求。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二年沿用，实行一年一考核一验收一签合同（所提供服务质量经甲方绩效考评满意后，在采购内容不变、采购预算有保障、服务价格不变或降低的情况下，则双方可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达到国家、省、市相关行业规范要求的“合格”标准，符合采购人的要求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合同签订后由采购人负责结算，采用月付方式，第1个月至第11个月，每月15日前向乙方一次性支付上月度服务费为合同金额的8.33%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91.63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合同期满后，支付剩余合同金额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按照竞争性磋商文件和合同执行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服务内容及服务邀请应答表 10-供应商类似项目业绩一览表.docx 中小企业声明函 商务应答表 报价表 供应商承诺书.docx 响应文件封面 12-服务方案.docx 残疾人福利性单位声明函 11-相关资格证明材料.docx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 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商务应答表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服务内容及服务邀请应答表 商务应答表 标的清单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项目整体服务设想</w:t>
            </w:r>
          </w:p>
        </w:tc>
        <w:tc>
          <w:tcPr>
            <w:tcW w:type="dxa" w:w="2492"/>
          </w:tcPr>
          <w:p>
            <w:pPr>
              <w:pStyle w:val="null3"/>
            </w:pPr>
            <w:r>
              <w:rPr>
                <w:rFonts w:ascii="仿宋_GB2312" w:hAnsi="仿宋_GB2312" w:cs="仿宋_GB2312" w:eastAsia="仿宋_GB2312"/>
              </w:rPr>
              <w:t>一、评审内容 针对本项目提供服务需求分析、整体设想、服务理念、经营方针定位。 二、评审标准 1、完整性：方案须全面，对评审内容中的各项要求有详细描述； 2、可实施性：切合本项目实际情况，实施步骤清晰、合理； 3、针对性：方案能够紧扣项目实际情况，内容科学合理。 三、赋分标准（满分12分） ①服务需求分析：每完全满足一个评审标准得1分，满分3分； ②整体设想：每完全满足一个评审标准得1分，满分3分； ③服务理念：每完全满足一个评审标准得1分，满分3分； ④经营方针定位：每完全满足一个评审标准得1分，满分3分； 如未响应或不满足评审内容，根据赋分标准该小项得0分。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服务管理</w:t>
            </w:r>
          </w:p>
        </w:tc>
        <w:tc>
          <w:tcPr>
            <w:tcW w:type="dxa" w:w="2492"/>
          </w:tcPr>
          <w:p>
            <w:pPr>
              <w:pStyle w:val="null3"/>
            </w:pPr>
            <w:r>
              <w:rPr>
                <w:rFonts w:ascii="仿宋_GB2312" w:hAnsi="仿宋_GB2312" w:cs="仿宋_GB2312" w:eastAsia="仿宋_GB2312"/>
              </w:rPr>
              <w:t>一、评审内容 针对本项目提出精细规范的管理标准、科学规范的管理流程、服务管理措施。 二、评审标准 1、完整性：方案须全面，对评审内容中的各项要求有详细描述； 2、可实施性：切合本项目实际情况，实施步骤清晰、合理； 3、针对性：方案能够紧扣项目实际情况，内容科学合理。 三、赋分标准（满分18分） ①精细规范的管理标准：每完全满足一个评审标准得2分，满分6分； ②科学规范的管理流程：每完全满足一个评审标准得2分，满分6分； ③服务管理措施：每完全满足一个评审标准得2分，满分6分； 如未响应或不满足评审内容，根据赋分标准该小项得0分。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食品加工、供配餐方案</w:t>
            </w:r>
          </w:p>
        </w:tc>
        <w:tc>
          <w:tcPr>
            <w:tcW w:type="dxa" w:w="2492"/>
          </w:tcPr>
          <w:p>
            <w:pPr>
              <w:pStyle w:val="null3"/>
            </w:pPr>
            <w:r>
              <w:rPr>
                <w:rFonts w:ascii="仿宋_GB2312" w:hAnsi="仿宋_GB2312" w:cs="仿宋_GB2312" w:eastAsia="仿宋_GB2312"/>
              </w:rPr>
              <w:t>一、评审内容 针对本项目提出原材料加工卫生制度、安全管理、食品加工流程及具体操作、食品菜谱制定、留样制度、餐具清洗保管及消毒、备餐收餐制度。 二、评审标准 1、完整性：方案须全面，对评审内容中的各项要求有详细描述； 2、可实施性：切合本项目实际情况，实施步骤清晰、合理； 3、针对性：方案能够紧扣项目实际情况，内容科学合理。 三、赋分标准（满分21分） ①原材料加工卫生制度：每完全满足一个评审标准得1分，满分3分； ②安全管理：每完全满足一个评审标准得1分，满分3分； ③食品加工流程及具体操作：每完全满足一个评审标准得1分，满分3分； ④食品菜谱制定：每完全满足一个评审标准得1分，满分3分； ⑤留样制度：每完全满足一个评审标准得1分，满分3分； ⑥餐具清洗保管及消毒：每完全满足一个评审标准得1分，满分3分； ⑦备餐收餐制度每完全满足一个评审标准得1分，满分3分； 如未响应或不满足评审内容，根据赋分标准该小项得0分。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卫生方案</w:t>
            </w:r>
          </w:p>
        </w:tc>
        <w:tc>
          <w:tcPr>
            <w:tcW w:type="dxa" w:w="2492"/>
          </w:tcPr>
          <w:p>
            <w:pPr>
              <w:pStyle w:val="null3"/>
            </w:pPr>
            <w:r>
              <w:rPr>
                <w:rFonts w:ascii="仿宋_GB2312" w:hAnsi="仿宋_GB2312" w:cs="仿宋_GB2312" w:eastAsia="仿宋_GB2312"/>
              </w:rPr>
              <w:t>一、评审内容 针对本项目提出食品区域卫生方案、餐厅卫生管理制度、人员及食品安全卫生培训管理制度。 二、评审标准 1、完整性：方案须全面，对评审内容中的各项要求有详细描述； 2、可实施性：切合本项目实际情况，实施步骤清晰、合理； 3、针对性：方案能够紧扣项目实际情况，内容科学合理。 三、赋分标准（满分9分） ①食品区域卫生方案：每完全满足一个评审标准得1分，满分3分； ②餐厅卫生管理制度：每完全满足一个评审标准得1分，满分3分； ③人员及食品安全卫生培训管理制度：每完全满足一个评审标准得1分，满分3分； 如未响应或不满足评审内容，根据赋分标准该小项得0分。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设施管理</w:t>
            </w:r>
          </w:p>
        </w:tc>
        <w:tc>
          <w:tcPr>
            <w:tcW w:type="dxa" w:w="2492"/>
          </w:tcPr>
          <w:p>
            <w:pPr>
              <w:pStyle w:val="null3"/>
            </w:pPr>
            <w:r>
              <w:rPr>
                <w:rFonts w:ascii="仿宋_GB2312" w:hAnsi="仿宋_GB2312" w:cs="仿宋_GB2312" w:eastAsia="仿宋_GB2312"/>
              </w:rPr>
              <w:t>一、评审内容 针对本项目提出餐厅设施设备的安全管理、维护保养、故障应急、后续可持续运行等服务方案，对水、电、天然气节能降耗、消防安全提供实施方案。 二、评审标准 1、完整性：方案须全面，对评审内容中的各项要求有详细描述； 2、可实施性：切合本项目实际情况，实施步骤清晰、合理； 3、针对性：方案能够紧扣项目实际情况，内容科学合理。 三、赋分标准（满分9分） ①安全管理：每完全满足一个评审标准得0.5分，满分1.5分； ②维护保养：每完全满足一个评审标准得0.5分，满分1.5分； ③故障应急：每完全满足一个评审标准得0.5分，满分1.5分； ④后续可持续运行：每完全满足一个评审标准得0.5分，满分1.5分； ⑤节能降耗：每完全满足一个评审标准得0.5分，满分1.5分； ⑥消防安全：每完全满足一个评审标准得0.5分，满分1.5分； 如未响应或不满足评审内容，根据赋分标准该小项得0分。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原材料成本控制</w:t>
            </w:r>
          </w:p>
        </w:tc>
        <w:tc>
          <w:tcPr>
            <w:tcW w:type="dxa" w:w="2492"/>
          </w:tcPr>
          <w:p>
            <w:pPr>
              <w:pStyle w:val="null3"/>
            </w:pPr>
            <w:r>
              <w:rPr>
                <w:rFonts w:ascii="仿宋_GB2312" w:hAnsi="仿宋_GB2312" w:cs="仿宋_GB2312" w:eastAsia="仿宋_GB2312"/>
              </w:rPr>
              <w:t>一、评审内容 针对本项目提出原材料储存、出入库、易耗品使用有管理制度、台账明确，贴合项目实际需求。 二、评审标准 1、完整性：方案须全面，对评审内容中的各项要求有详细描述； 2、可实施性：切合本项目实际情况，实施步骤清晰、合理； 3、针对性：方案能够紧扣项目实际情况，内容科学合理。 二、赋分标准（满分3分） 每完全满足一个评审标准得1分，满分3分； 如未响应或不满足评审内容，根据赋分标准该小项得0分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各供应商针对本项目提供的人员配备情况进行打分：人员配备设置合理，管理及专业人员配备齐全、分工明确、职责清晰的得7分；人员配备设置较合理，管理及专业人员配备齐全、分工及岗位职责较清晰的得5分；人员配备设置较合理，管理及专业人员配备较齐全、分工及岗位职责一般的得3分；人员配备设置基本合理，管理及专业人员分工及岗位职责不清晰的得1分；其他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一、评审内容 针对本项目提出服务评审满意度考核标准、服务质量控制方案。 二、评审标准 1、完整性：方案须全面，对评审内容中的各项要求有详细描述； 2、可实施性：切合本项目实际情况，实施步骤清晰、合理； 3、针对性：方案能够紧扣项目实际情况，内容科学合理。 三、赋分标准（满分6分） ①满意度考核标准：每完全满足一个评审标准得1分，满分3分； ②服务质量控制方案：每完全满足一个评审标准得1分，满分3分； 如未响应或不满足评审内容，根据赋分标准该小项得0分。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提供近3年（2022年1月1日以来）类似项目业绩，提供合同复印件，每提供1份合同计1分，最高得5分。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详见附件：10-供应商类似项目业绩一览表.docx</w:t>
      </w:r>
    </w:p>
    <w:p>
      <w:pPr>
        <w:pStyle w:val="null3"/>
        <w:ind w:firstLine="960"/>
      </w:pPr>
      <w:r>
        <w:rPr>
          <w:rFonts w:ascii="仿宋_GB2312" w:hAnsi="仿宋_GB2312" w:cs="仿宋_GB2312" w:eastAsia="仿宋_GB2312"/>
        </w:rPr>
        <w:t>详见附件：11-相关资格证明材料.docx</w:t>
      </w:r>
    </w:p>
    <w:p>
      <w:pPr>
        <w:pStyle w:val="null3"/>
        <w:ind w:firstLine="960"/>
      </w:pPr>
      <w:r>
        <w:rPr>
          <w:rFonts w:ascii="仿宋_GB2312" w:hAnsi="仿宋_GB2312" w:cs="仿宋_GB2312" w:eastAsia="仿宋_GB2312"/>
        </w:rPr>
        <w:t>详见附件：12-服务方案.docx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