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版本号：慧科ZX-CF01037BF20250410001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2025年高陵区残疾人联合会关于政府购买托养服务项目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慧科ZX-CF01037BF</w:t>
      </w:r>
      <w:r>
        <w:br/>
      </w:r>
      <w:r>
        <w:br/>
      </w:r>
      <w:r>
        <w:br/>
      </w:r>
    </w:p>
    <w:p>
      <w:pPr>
        <w:pStyle w:val="null3"/>
        <w:jc w:val="center"/>
        <w:outlineLvl w:val="2"/>
      </w:pPr>
      <w:r>
        <w:rPr>
          <w:rFonts w:ascii="仿宋_GB2312" w:hAnsi="仿宋_GB2312" w:cs="仿宋_GB2312" w:eastAsia="仿宋_GB2312"/>
          <w:sz w:val="28"/>
          <w:b/>
        </w:rPr>
        <w:t>西安市高陵区残疾人联合会</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西安市高陵区残疾人联合会</w:t>
      </w:r>
      <w:r>
        <w:rPr>
          <w:rFonts w:ascii="仿宋_GB2312" w:hAnsi="仿宋_GB2312" w:cs="仿宋_GB2312" w:eastAsia="仿宋_GB2312"/>
        </w:rPr>
        <w:t>委托，拟对</w:t>
      </w:r>
      <w:r>
        <w:rPr>
          <w:rFonts w:ascii="仿宋_GB2312" w:hAnsi="仿宋_GB2312" w:cs="仿宋_GB2312" w:eastAsia="仿宋_GB2312"/>
        </w:rPr>
        <w:t>2025年高陵区残疾人联合会关于政府购买托养服务项目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慧科ZX-CF01037BF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2025年高陵区残疾人联合会关于政府购买托养服务项目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为贯彻落实《西安市残疾人联合会 西安市财政局 关于印发西安市残疾人托养服务 工作实施方案的通知》（市残联发〔2024〕98号）文件精神，进一步完善残疾人社会保障制度和关爱服务体系，切实解决高陵区智力、精神、重度肢体及多重残疾人托养问题，满足残疾人多层次、多元化的托养服务需求，本次服务内容为集中托养及日间照料两种形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报告（任选其一）：供应商2023年度或2024年度经审计的财务报告或磋商截止时间前三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5、专业技术能力的声明：提供具有履行本合同所必需的设备和专业技术能力的声明或承诺。</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8、控股管理关系：提供直接控股和管理关系说明。若与其他投标人存在单位负责人为同一人或者存在直接控股、管理关系的，则投标无效。</w:t>
      </w:r>
    </w:p>
    <w:p>
      <w:pPr>
        <w:pStyle w:val="null3"/>
      </w:pPr>
      <w:r>
        <w:rPr>
          <w:rFonts w:ascii="仿宋_GB2312" w:hAnsi="仿宋_GB2312" w:cs="仿宋_GB2312" w:eastAsia="仿宋_GB2312"/>
        </w:rPr>
        <w:t>9、法定代表人授权书：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029-86916925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郑宏卫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代理服务费收费标准：1、定额收取5000元。 2、成交单位在领取成交通知书时向代理机构支付代理服务费。 3、缴纳账户如下： 开户名称：陕西慧科工程管理咨询有限公司 银行账号：3700021619200147184 开户银行：中国工商银行西安小寨支行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西安市高陵区残疾人联合会</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为贯彻落实《西安市残疾人联合会 西安市财政局 关于印发西安市残疾人托养服务 工作实施方案的通知》（市残联发〔2024〕98号）文件精神，进一步完善残疾人社会保障制度和关爱服务体系，切实解决高陵区智力、精神、重度肢体及多重残疾人托养问题，满足残疾人多层次、多元化的托养服务需求，本次服务内容为集中托养及日间照料两种形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numPr>
                <w:ilvl w:val="0"/>
                <w:numId w:val="1"/>
              </w:numPr>
              <w:jc w:val="both"/>
            </w:pPr>
            <w:r>
              <w:rPr>
                <w:rFonts w:ascii="仿宋_GB2312" w:hAnsi="仿宋_GB2312" w:cs="仿宋_GB2312" w:eastAsia="仿宋_GB2312"/>
                <w:sz w:val="21"/>
                <w:b/>
              </w:rPr>
              <w:t>项目概况</w:t>
            </w:r>
          </w:p>
          <w:p>
            <w:pPr>
              <w:pStyle w:val="null3"/>
              <w:ind w:firstLine="400"/>
            </w:pPr>
            <w:r>
              <w:rPr>
                <w:rFonts w:ascii="仿宋_GB2312" w:hAnsi="仿宋_GB2312" w:cs="仿宋_GB2312" w:eastAsia="仿宋_GB2312"/>
              </w:rPr>
              <w:t>（一）项目背景：为</w:t>
            </w:r>
            <w:r>
              <w:rPr>
                <w:rFonts w:ascii="仿宋_GB2312" w:hAnsi="仿宋_GB2312" w:cs="仿宋_GB2312" w:eastAsia="仿宋_GB2312"/>
              </w:rPr>
              <w:t>贯彻落实《</w:t>
            </w:r>
            <w:r>
              <w:rPr>
                <w:rFonts w:ascii="仿宋_GB2312" w:hAnsi="仿宋_GB2312" w:cs="仿宋_GB2312" w:eastAsia="仿宋_GB2312"/>
              </w:rPr>
              <w:t>西安市残疾人联合会</w:t>
            </w:r>
            <w:r>
              <w:rPr>
                <w:rFonts w:ascii="仿宋_GB2312" w:hAnsi="仿宋_GB2312" w:cs="仿宋_GB2312" w:eastAsia="仿宋_GB2312"/>
              </w:rPr>
              <w:t>西安市财政局</w:t>
            </w:r>
            <w:r>
              <w:rPr>
                <w:rFonts w:ascii="仿宋_GB2312" w:hAnsi="仿宋_GB2312" w:cs="仿宋_GB2312" w:eastAsia="仿宋_GB2312"/>
              </w:rPr>
              <w:t>关于印发西安市残疾人托养服务工作实施方案的通知</w:t>
            </w:r>
            <w:r>
              <w:rPr>
                <w:rFonts w:ascii="仿宋_GB2312" w:hAnsi="仿宋_GB2312" w:cs="仿宋_GB2312" w:eastAsia="仿宋_GB2312"/>
              </w:rPr>
              <w:t>》（市残联发〔</w:t>
            </w:r>
            <w:r>
              <w:rPr>
                <w:rFonts w:ascii="仿宋_GB2312" w:hAnsi="仿宋_GB2312" w:cs="仿宋_GB2312" w:eastAsia="仿宋_GB2312"/>
              </w:rPr>
              <w:t>20</w:t>
            </w:r>
            <w:r>
              <w:rPr>
                <w:rFonts w:ascii="仿宋_GB2312" w:hAnsi="仿宋_GB2312" w:cs="仿宋_GB2312" w:eastAsia="仿宋_GB2312"/>
              </w:rPr>
              <w:t>2</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98</w:t>
            </w:r>
            <w:r>
              <w:rPr>
                <w:rFonts w:ascii="仿宋_GB2312" w:hAnsi="仿宋_GB2312" w:cs="仿宋_GB2312" w:eastAsia="仿宋_GB2312"/>
              </w:rPr>
              <w:t>号）文件精神，</w:t>
            </w:r>
            <w:r>
              <w:rPr>
                <w:rFonts w:ascii="仿宋_GB2312" w:hAnsi="仿宋_GB2312" w:cs="仿宋_GB2312" w:eastAsia="仿宋_GB2312"/>
              </w:rPr>
              <w:t>进一步完善残疾人社会保障制度和关爱服务体</w:t>
            </w:r>
            <w:r>
              <w:rPr>
                <w:rFonts w:ascii="仿宋_GB2312" w:hAnsi="仿宋_GB2312" w:cs="仿宋_GB2312" w:eastAsia="仿宋_GB2312"/>
              </w:rPr>
              <w:t>系，切实解决高陵区智力、精神、重度肢体及多重残疾人托养问题，满足残疾人多层次、多元化的托养服务需求，</w:t>
            </w:r>
          </w:p>
          <w:p>
            <w:pPr>
              <w:pStyle w:val="null3"/>
              <w:ind w:firstLine="400"/>
            </w:pPr>
            <w:r>
              <w:rPr>
                <w:rFonts w:ascii="仿宋_GB2312" w:hAnsi="仿宋_GB2312" w:cs="仿宋_GB2312" w:eastAsia="仿宋_GB2312"/>
              </w:rPr>
              <w:t>（二）主要目标：针对残疾人特殊性、多样性、类别化的服务需求，本次采取寄宿制集中托养、日间照料两种形式，持续推进残疾人托养服务标准化建设，不断提升服务规范化和专业性，扩大残疾人托养服务覆盖面。积极探索</w:t>
            </w:r>
            <w:r>
              <w:rPr>
                <w:rFonts w:ascii="仿宋_GB2312" w:hAnsi="仿宋_GB2312" w:cs="仿宋_GB2312" w:eastAsia="仿宋_GB2312"/>
              </w:rPr>
              <w:t>“托养</w:t>
            </w:r>
            <w:r>
              <w:rPr>
                <w:rFonts w:ascii="仿宋_GB2312" w:hAnsi="仿宋_GB2312" w:cs="仿宋_GB2312" w:eastAsia="仿宋_GB2312"/>
              </w:rPr>
              <w:t>+</w:t>
            </w:r>
            <w:r>
              <w:rPr>
                <w:rFonts w:ascii="仿宋_GB2312" w:hAnsi="仿宋_GB2312" w:cs="仿宋_GB2312" w:eastAsia="仿宋_GB2312"/>
              </w:rPr>
              <w:t>培训</w:t>
            </w:r>
            <w:r>
              <w:rPr>
                <w:rFonts w:ascii="仿宋_GB2312" w:hAnsi="仿宋_GB2312" w:cs="仿宋_GB2312" w:eastAsia="仿宋_GB2312"/>
              </w:rPr>
              <w:t>+</w:t>
            </w:r>
            <w:r>
              <w:rPr>
                <w:rFonts w:ascii="仿宋_GB2312" w:hAnsi="仿宋_GB2312" w:cs="仿宋_GB2312" w:eastAsia="仿宋_GB2312"/>
              </w:rPr>
              <w:t>就业”融合型服务模式；推广“邻里互助”“轻残助重残”等社会化服务方式；依托农村互助幸福院和卫生院为残疾人提供“喘息式”服务，打造残疾人托养服务新模式。</w:t>
            </w:r>
          </w:p>
          <w:p>
            <w:pPr>
              <w:pStyle w:val="null3"/>
              <w:ind w:firstLine="400"/>
            </w:pPr>
            <w:r>
              <w:rPr>
                <w:rFonts w:ascii="仿宋_GB2312" w:hAnsi="仿宋_GB2312" w:cs="仿宋_GB2312" w:eastAsia="仿宋_GB2312"/>
              </w:rPr>
              <w:t>（三）基本原则：坚持政府主导，加强对残疾人托养服务工作的规划、引导和管理，在政策、资金等方面给予倾斜，体现公益性；坚持社会参与和市场推动，充分调动社会组织和其他服务主体的积极性；坚持因地制宜，从实际出发，积极探索，创新残疾人托养服务手段和模式；坚持分类指导，以不断增强残疾人在共建共享发展中的获得感、幸福感和安全感为原则。</w:t>
            </w:r>
          </w:p>
          <w:p>
            <w:pPr>
              <w:pStyle w:val="null3"/>
              <w:numPr>
                <w:ilvl w:val="0"/>
                <w:numId w:val="1"/>
              </w:numPr>
            </w:pPr>
            <w:r>
              <w:rPr>
                <w:rFonts w:ascii="仿宋_GB2312" w:hAnsi="仿宋_GB2312" w:cs="仿宋_GB2312" w:eastAsia="仿宋_GB2312"/>
                <w:b/>
              </w:rPr>
              <w:t>服务对象（高陵区区域内）</w:t>
            </w:r>
          </w:p>
          <w:p>
            <w:pPr>
              <w:pStyle w:val="null3"/>
              <w:ind w:firstLine="400"/>
            </w:pPr>
            <w:r>
              <w:rPr>
                <w:rFonts w:ascii="仿宋_GB2312" w:hAnsi="仿宋_GB2312" w:cs="仿宋_GB2312" w:eastAsia="仿宋_GB2312"/>
              </w:rPr>
              <w:t>（一）</w:t>
            </w:r>
            <w:r>
              <w:rPr>
                <w:rFonts w:ascii="仿宋_GB2312" w:hAnsi="仿宋_GB2312" w:cs="仿宋_GB2312" w:eastAsia="仿宋_GB2312"/>
              </w:rPr>
              <w:t>16-59(</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周岁的智力残疾人、病情稳定的精神残疾人</w:t>
            </w:r>
            <w:r>
              <w:rPr>
                <w:rFonts w:ascii="仿宋_GB2312" w:hAnsi="仿宋_GB2312" w:cs="仿宋_GB2312" w:eastAsia="仿宋_GB2312"/>
              </w:rPr>
              <w:t>（指精神障碍已经在精神专科确诊并得到治疗，急性期症状已被控制，目前处于较稳定的状态，并经精神科医师风险评估可以转介托养的精神残疾人）</w:t>
            </w:r>
            <w:r>
              <w:rPr>
                <w:rFonts w:ascii="仿宋_GB2312" w:hAnsi="仿宋_GB2312" w:cs="仿宋_GB2312" w:eastAsia="仿宋_GB2312"/>
              </w:rPr>
              <w:t>和重度肢体残疾人以及同时存在智力或精神残疾的多重残疾人；</w:t>
            </w:r>
          </w:p>
          <w:p>
            <w:pPr>
              <w:pStyle w:val="null3"/>
              <w:numPr>
                <w:ilvl w:val="0"/>
                <w:numId w:val="1"/>
              </w:numPr>
            </w:pPr>
            <w:r>
              <w:rPr>
                <w:rFonts w:ascii="仿宋_GB2312" w:hAnsi="仿宋_GB2312" w:cs="仿宋_GB2312" w:eastAsia="仿宋_GB2312"/>
              </w:rPr>
              <w:t>本人和家庭有托养服务需求，自愿接受托养服务。纳入特困人员救助供养条件的残疾人不再作为托养服务对象。</w:t>
            </w:r>
          </w:p>
          <w:p>
            <w:pPr>
              <w:pStyle w:val="null3"/>
              <w:numPr>
                <w:ilvl w:val="0"/>
                <w:numId w:val="1"/>
              </w:numPr>
            </w:pPr>
            <w:r>
              <w:rPr>
                <w:rFonts w:ascii="仿宋_GB2312" w:hAnsi="仿宋_GB2312" w:cs="仿宋_GB2312" w:eastAsia="仿宋_GB2312"/>
                <w:b/>
              </w:rPr>
              <w:t>服务内容</w:t>
            </w:r>
          </w:p>
          <w:p>
            <w:pPr>
              <w:pStyle w:val="null3"/>
              <w:ind w:firstLine="400"/>
            </w:pPr>
            <w:r>
              <w:rPr>
                <w:rFonts w:ascii="仿宋_GB2312" w:hAnsi="仿宋_GB2312" w:cs="仿宋_GB2312" w:eastAsia="仿宋_GB2312"/>
              </w:rPr>
              <w:t>（一）集中托养。依据《就业年龄段智力、精神及重度肢体残疾人托养服务规范》（</w:t>
            </w:r>
            <w:r>
              <w:rPr>
                <w:rFonts w:ascii="仿宋_GB2312" w:hAnsi="仿宋_GB2312" w:cs="仿宋_GB2312" w:eastAsia="仿宋_GB2312"/>
              </w:rPr>
              <w:t>GB/T37516</w:t>
            </w:r>
            <w:r>
              <w:rPr>
                <w:rFonts w:ascii="仿宋_GB2312" w:hAnsi="仿宋_GB2312" w:cs="仿宋_GB2312" w:eastAsia="仿宋_GB2312"/>
              </w:rPr>
              <w:t>—</w:t>
            </w:r>
            <w:r>
              <w:rPr>
                <w:rFonts w:ascii="仿宋_GB2312" w:hAnsi="仿宋_GB2312" w:cs="仿宋_GB2312" w:eastAsia="仿宋_GB2312"/>
              </w:rPr>
              <w:t>2019</w:t>
            </w:r>
            <w:r>
              <w:rPr>
                <w:rFonts w:ascii="仿宋_GB2312" w:hAnsi="仿宋_GB2312" w:cs="仿宋_GB2312" w:eastAsia="仿宋_GB2312"/>
              </w:rPr>
              <w:t xml:space="preserve">）要求，采用 </w:t>
            </w:r>
            <w:r>
              <w:rPr>
                <w:rFonts w:ascii="仿宋_GB2312" w:hAnsi="仿宋_GB2312" w:cs="仿宋_GB2312" w:eastAsia="仿宋_GB2312"/>
              </w:rPr>
              <w:t xml:space="preserve">24 </w:t>
            </w:r>
            <w:r>
              <w:rPr>
                <w:rFonts w:ascii="仿宋_GB2312" w:hAnsi="仿宋_GB2312" w:cs="仿宋_GB2312" w:eastAsia="仿宋_GB2312"/>
              </w:rPr>
              <w:t>小时寄宿制集中居住和照料模式，为日常饮食起居需要专人护理而家庭护理有困难的智力、精神和重度肢体及多重残疾人提供基本生活照料和护理、生活自理能力训练、社会适应能力辅导、职业康复和劳动技能训练、运动功能训练等方面的社会服务。</w:t>
            </w:r>
          </w:p>
          <w:p>
            <w:pPr>
              <w:pStyle w:val="null3"/>
              <w:ind w:firstLine="400"/>
            </w:pPr>
            <w:r>
              <w:rPr>
                <w:rFonts w:ascii="仿宋_GB2312" w:hAnsi="仿宋_GB2312" w:cs="仿宋_GB2312" w:eastAsia="仿宋_GB2312"/>
              </w:rPr>
              <w:t>!</w:t>
            </w:r>
            <w:r>
              <w:rPr>
                <w:rFonts w:ascii="仿宋_GB2312" w:hAnsi="仿宋_GB2312" w:cs="仿宋_GB2312" w:eastAsia="仿宋_GB2312"/>
              </w:rPr>
              <w:t>、卫生，膳食服务：按时提供符合食品卫生要求、适合托养人员特点和身心健康的膳食；托养人员的饮食应按照食品一生要求操作，做到整洁、卫生；每周有食谱，荤素干稀搭配合理，注意腊食营养；一日三餐适时开饭，保让开水供应；根据托养人员特殊需求或不同饮食习惯，可制作软食，尊重少数民族的饮食习俗。</w:t>
            </w:r>
          </w:p>
          <w:p>
            <w:pPr>
              <w:pStyle w:val="null3"/>
              <w:ind w:firstLine="400"/>
            </w:pPr>
            <w:r>
              <w:rPr>
                <w:rFonts w:ascii="仿宋_GB2312" w:hAnsi="仿宋_GB2312" w:cs="仿宋_GB2312" w:eastAsia="仿宋_GB2312"/>
              </w:rPr>
              <w:t>2</w:t>
            </w:r>
            <w:r>
              <w:rPr>
                <w:rFonts w:ascii="仿宋_GB2312" w:hAnsi="仿宋_GB2312" w:cs="仿宋_GB2312" w:eastAsia="仿宋_GB2312"/>
              </w:rPr>
              <w:t>、护理服务：提供服装、被褥等用品，按季节添置、更换衣被等生活用品，及时提供保洁服务，对托养人员，实行分级护理制度，对能自理的托实行常规护理提倡和促进托养人员自我服务，相互扶助，为行走不便的托养人员配备拐杖、轮椅等辅助器具，对生活不能自理的托养人员提供特殊护理，对重病号实行昼夜值班服务；还应注意托养人员的心理护理，消除其心理障碍，保持其良好心态。</w:t>
            </w:r>
          </w:p>
          <w:p>
            <w:pPr>
              <w:pStyle w:val="null3"/>
              <w:ind w:firstLine="400"/>
            </w:pPr>
            <w:r>
              <w:rPr>
                <w:rFonts w:ascii="仿宋_GB2312" w:hAnsi="仿宋_GB2312" w:cs="仿宋_GB2312" w:eastAsia="仿宋_GB2312"/>
              </w:rPr>
              <w:t>3</w:t>
            </w:r>
            <w:r>
              <w:rPr>
                <w:rFonts w:ascii="仿宋_GB2312" w:hAnsi="仿宋_GB2312" w:cs="仿宋_GB2312" w:eastAsia="仿宋_GB2312"/>
              </w:rPr>
              <w:t>、医疗保健服务：保障特殊困难服务对象有病及时治疗，根据身体状况按照护理规范和标准给予相应照料和护理服务，及时了解托养人员的健康状况，应定期进行健康查体，建立托养服务对象病历档案，经常组织托养人员进行健康教育和自我保健、自我护理知识的学习，开展健身锻炼和康复活动：做好修养区和院内公共场所的消毒灭菌工作，防止疫病流行，对患病者要及时检查、合理用药、妥善治疗，不明原因的疾病要及时诊治，对患有传染病的应采取特殊保护指施，进行隔离治疗，患大病、重病的要及时送医院治疗。</w:t>
            </w:r>
          </w:p>
          <w:p>
            <w:pPr>
              <w:pStyle w:val="null3"/>
              <w:ind w:firstLine="400"/>
            </w:pPr>
            <w:r>
              <w:rPr>
                <w:rFonts w:ascii="仿宋_GB2312" w:hAnsi="仿宋_GB2312" w:cs="仿宋_GB2312" w:eastAsia="仿宋_GB2312"/>
              </w:rPr>
              <w:t>4.</w:t>
            </w:r>
            <w:r>
              <w:rPr>
                <w:rFonts w:ascii="仿宋_GB2312" w:hAnsi="仿宋_GB2312" w:cs="仿宋_GB2312" w:eastAsia="仿宋_GB2312"/>
              </w:rPr>
              <w:t>供应商应当为托养人员提供精神生活保障，实行亲情服务，给子精神慰藉；组织托养人员开展健身娱乐和学习活动，活跃其精神生活，对病情垂危的托养人员应实施特殊护理和临终关怀。</w:t>
            </w:r>
          </w:p>
          <w:p>
            <w:pPr>
              <w:pStyle w:val="null3"/>
              <w:ind w:firstLine="400"/>
            </w:pPr>
            <w:r>
              <w:rPr>
                <w:rFonts w:ascii="仿宋_GB2312" w:hAnsi="仿宋_GB2312" w:cs="仿宋_GB2312" w:eastAsia="仿宋_GB2312"/>
              </w:rPr>
              <w:t>5</w:t>
            </w:r>
            <w:r>
              <w:rPr>
                <w:rFonts w:ascii="仿宋_GB2312" w:hAnsi="仿宋_GB2312" w:cs="仿宋_GB2312" w:eastAsia="仿宋_GB2312"/>
              </w:rPr>
              <w:t>、体检服务：提供每年一次健康体检服务。</w:t>
            </w:r>
          </w:p>
          <w:p>
            <w:pPr>
              <w:pStyle w:val="null3"/>
              <w:ind w:firstLine="400"/>
            </w:pPr>
            <w:r>
              <w:rPr>
                <w:rFonts w:ascii="仿宋_GB2312" w:hAnsi="仿宋_GB2312" w:cs="仿宋_GB2312" w:eastAsia="仿宋_GB2312"/>
              </w:rPr>
              <w:t>6</w:t>
            </w:r>
            <w:r>
              <w:rPr>
                <w:rFonts w:ascii="仿宋_GB2312" w:hAnsi="仿宋_GB2312" w:cs="仿宋_GB2312" w:eastAsia="仿宋_GB2312"/>
              </w:rPr>
              <w:t>、提供车辆接送、心理慰藉、送医陪护等其他服务；</w:t>
            </w:r>
          </w:p>
          <w:p>
            <w:pPr>
              <w:pStyle w:val="null3"/>
              <w:ind w:firstLine="400"/>
            </w:pPr>
            <w:r>
              <w:rPr>
                <w:rFonts w:ascii="仿宋_GB2312" w:hAnsi="仿宋_GB2312" w:cs="仿宋_GB2312" w:eastAsia="仿宋_GB2312"/>
              </w:rPr>
              <w:t>7</w:t>
            </w:r>
            <w:r>
              <w:rPr>
                <w:rFonts w:ascii="仿宋_GB2312" w:hAnsi="仿宋_GB2312" w:cs="仿宋_GB2312" w:eastAsia="仿宋_GB2312"/>
              </w:rPr>
              <w:t>、除以上服务内容外，按照符合政策的原则，经双方协商同意，可以根据托养人员和家属需求提供其他服务。如出现紧急情况或者老人有特殊需求等情况，集中托养单位无法满足需要时，购买方有权对集中托养单位进行合理调配。。</w:t>
            </w:r>
          </w:p>
          <w:p>
            <w:pPr>
              <w:pStyle w:val="null3"/>
              <w:ind w:firstLine="400"/>
            </w:pPr>
            <w:r>
              <w:rPr>
                <w:rFonts w:ascii="仿宋_GB2312" w:hAnsi="仿宋_GB2312" w:cs="仿宋_GB2312" w:eastAsia="仿宋_GB2312"/>
              </w:rPr>
              <w:t>（二）日间照料。依据《就业年龄段智力、精神及重度肢体残疾人托养服务规范》（</w:t>
            </w:r>
            <w:r>
              <w:rPr>
                <w:rFonts w:ascii="仿宋_GB2312" w:hAnsi="仿宋_GB2312" w:cs="仿宋_GB2312" w:eastAsia="仿宋_GB2312"/>
              </w:rPr>
              <w:t>GB/T37516</w:t>
            </w:r>
            <w:r>
              <w:rPr>
                <w:rFonts w:ascii="仿宋_GB2312" w:hAnsi="仿宋_GB2312" w:cs="仿宋_GB2312" w:eastAsia="仿宋_GB2312"/>
              </w:rPr>
              <w:t>—</w:t>
            </w:r>
            <w:r>
              <w:rPr>
                <w:rFonts w:ascii="仿宋_GB2312" w:hAnsi="仿宋_GB2312" w:cs="仿宋_GB2312" w:eastAsia="仿宋_GB2312"/>
              </w:rPr>
              <w:t>2019</w:t>
            </w:r>
            <w:r>
              <w:rPr>
                <w:rFonts w:ascii="仿宋_GB2312" w:hAnsi="仿宋_GB2312" w:cs="仿宋_GB2312" w:eastAsia="仿宋_GB2312"/>
              </w:rPr>
              <w:t>）要求，依托社区、社区养老院、农村互助幸福院等资源，以公办民营、民办公助等方式，采用就近就便日托照料模式，为家庭日间无法照料的残疾人提供生活照料、康复训练、特殊教育、技能训练、庇护性就业和心理辅导等服务。</w:t>
            </w:r>
          </w:p>
          <w:p>
            <w:pPr>
              <w:pStyle w:val="null3"/>
              <w:ind w:firstLine="400"/>
            </w:pPr>
            <w:r>
              <w:rPr>
                <w:rFonts w:ascii="仿宋_GB2312" w:hAnsi="仿宋_GB2312" w:cs="仿宋_GB2312" w:eastAsia="仿宋_GB2312"/>
              </w:rPr>
              <w:t>（三）服务期限：一年。</w:t>
            </w:r>
          </w:p>
          <w:p>
            <w:pPr>
              <w:pStyle w:val="null3"/>
              <w:ind w:firstLine="402"/>
            </w:pPr>
            <w:r>
              <w:rPr>
                <w:rFonts w:ascii="仿宋_GB2312" w:hAnsi="仿宋_GB2312" w:cs="仿宋_GB2312" w:eastAsia="仿宋_GB2312"/>
                <w:b/>
              </w:rPr>
              <w:t>四、其他要求</w:t>
            </w:r>
          </w:p>
          <w:p>
            <w:pPr>
              <w:pStyle w:val="null3"/>
              <w:ind w:firstLine="400"/>
            </w:pPr>
            <w:r>
              <w:rPr>
                <w:rFonts w:ascii="仿宋_GB2312" w:hAnsi="仿宋_GB2312" w:cs="仿宋_GB2312" w:eastAsia="仿宋_GB2312"/>
              </w:rPr>
              <w:t>（一）各供应商</w:t>
            </w:r>
            <w:r>
              <w:rPr>
                <w:rFonts w:ascii="仿宋_GB2312" w:hAnsi="仿宋_GB2312" w:cs="仿宋_GB2312" w:eastAsia="仿宋_GB2312"/>
              </w:rPr>
              <w:t>应有稳定的运营资金保障，有完整的管理运行制度；应遵守有关国家法律法规，执行残疾人托养相关规定，并自觉接受社会监督和业务主管部门的管理；应保护服务对象的隐私，妥善保管其个人信息及资料。可以依托符合条件的养老机构开展残疾人托养服务。</w:t>
            </w:r>
          </w:p>
          <w:p>
            <w:pPr>
              <w:pStyle w:val="null3"/>
              <w:ind w:firstLine="400"/>
            </w:pPr>
            <w:r>
              <w:rPr>
                <w:rFonts w:ascii="仿宋_GB2312" w:hAnsi="仿宋_GB2312" w:cs="仿宋_GB2312" w:eastAsia="仿宋_GB2312"/>
              </w:rPr>
              <w:t>（二）</w:t>
            </w:r>
            <w:r>
              <w:rPr>
                <w:rFonts w:ascii="仿宋_GB2312" w:hAnsi="仿宋_GB2312" w:cs="仿宋_GB2312" w:eastAsia="仿宋_GB2312"/>
              </w:rPr>
              <w:t>人员配备。机构应当配备专业管理人员、专职或兼职专业技术人员和能满足服务需求的工勤人员</w:t>
            </w:r>
            <w:r>
              <w:rPr>
                <w:rFonts w:ascii="仿宋_GB2312" w:hAnsi="仿宋_GB2312" w:cs="仿宋_GB2312" w:eastAsia="仿宋_GB2312"/>
              </w:rPr>
              <w:t>;</w:t>
            </w:r>
            <w:r>
              <w:rPr>
                <w:rFonts w:ascii="仿宋_GB2312" w:hAnsi="仿宋_GB2312" w:cs="仿宋_GB2312" w:eastAsia="仿宋_GB2312"/>
              </w:rPr>
              <w:t xml:space="preserve">从业人员应持有身份证明、健康证明、对需持证上岗的岗位，应按照有关法律法规规定持有有效的从业资格和职业资格证书；每年参加 </w:t>
            </w:r>
            <w:r>
              <w:rPr>
                <w:rFonts w:ascii="仿宋_GB2312" w:hAnsi="仿宋_GB2312" w:cs="仿宋_GB2312" w:eastAsia="仿宋_GB2312"/>
              </w:rPr>
              <w:t xml:space="preserve">1 </w:t>
            </w:r>
            <w:r>
              <w:rPr>
                <w:rFonts w:ascii="仿宋_GB2312" w:hAnsi="仿宋_GB2312" w:cs="仿宋_GB2312" w:eastAsia="仿宋_GB2312"/>
              </w:rPr>
              <w:t xml:space="preserve">次以上相关专业培训。日间照料和集中托养机构服务人员与服务对象比例不低于 </w:t>
            </w:r>
            <w:r>
              <w:rPr>
                <w:rFonts w:ascii="仿宋_GB2312" w:hAnsi="仿宋_GB2312" w:cs="仿宋_GB2312" w:eastAsia="仿宋_GB2312"/>
              </w:rPr>
              <w:t>1:7</w:t>
            </w:r>
            <w:r>
              <w:rPr>
                <w:rFonts w:ascii="仿宋_GB2312" w:hAnsi="仿宋_GB2312" w:cs="仿宋_GB2312" w:eastAsia="仿宋_GB2312"/>
              </w:rPr>
              <w:t>，同时配备</w:t>
            </w:r>
            <w:r>
              <w:rPr>
                <w:rFonts w:ascii="仿宋_GB2312" w:hAnsi="仿宋_GB2312" w:cs="仿宋_GB2312" w:eastAsia="仿宋_GB2312"/>
              </w:rPr>
              <w:t>1-2</w:t>
            </w:r>
            <w:r>
              <w:rPr>
                <w:rFonts w:ascii="仿宋_GB2312" w:hAnsi="仿宋_GB2312" w:cs="仿宋_GB2312" w:eastAsia="仿宋_GB2312"/>
              </w:rPr>
              <w:t>名心理咨询师</w:t>
            </w:r>
            <w:r>
              <w:rPr>
                <w:rFonts w:ascii="仿宋_GB2312" w:hAnsi="仿宋_GB2312" w:cs="仿宋_GB2312" w:eastAsia="仿宋_GB2312"/>
              </w:rPr>
              <w:t>。</w:t>
            </w:r>
          </w:p>
          <w:p>
            <w:pPr>
              <w:pStyle w:val="null3"/>
              <w:ind w:firstLine="400"/>
            </w:pPr>
            <w:r>
              <w:rPr>
                <w:rFonts w:ascii="仿宋_GB2312" w:hAnsi="仿宋_GB2312" w:cs="仿宋_GB2312" w:eastAsia="仿宋_GB2312"/>
              </w:rPr>
              <w:t>（三）</w:t>
            </w:r>
            <w:r>
              <w:rPr>
                <w:rFonts w:ascii="仿宋_GB2312" w:hAnsi="仿宋_GB2312" w:cs="仿宋_GB2312" w:eastAsia="仿宋_GB2312"/>
              </w:rPr>
              <w:t>场地要求。日间照料机构场所房屋建筑质量安全、消防设施、无障碍环境应符合国家相关规定的要求，接受有关部门的日常消防检查、培训、演练；集中托养服务机构房屋建筑质量安全、消防设施、无障碍环境应符合国家相关规定的要求。单人间使用面积不少于</w:t>
            </w:r>
            <w:r>
              <w:rPr>
                <w:rFonts w:ascii="仿宋_GB2312" w:hAnsi="仿宋_GB2312" w:cs="仿宋_GB2312" w:eastAsia="仿宋_GB2312"/>
              </w:rPr>
              <w:t>10</w:t>
            </w:r>
            <w:r>
              <w:rPr>
                <w:rFonts w:ascii="仿宋_GB2312" w:hAnsi="仿宋_GB2312" w:cs="仿宋_GB2312" w:eastAsia="仿宋_GB2312"/>
              </w:rPr>
              <w:t>㎡；合居型室人均可使用面积不小于</w:t>
            </w:r>
            <w:r>
              <w:rPr>
                <w:rFonts w:ascii="仿宋_GB2312" w:hAnsi="仿宋_GB2312" w:cs="仿宋_GB2312" w:eastAsia="仿宋_GB2312"/>
              </w:rPr>
              <w:t>6</w:t>
            </w:r>
            <w:r>
              <w:rPr>
                <w:rFonts w:ascii="仿宋_GB2312" w:hAnsi="仿宋_GB2312" w:cs="仿宋_GB2312" w:eastAsia="仿宋_GB2312"/>
              </w:rPr>
              <w:t>㎡。</w:t>
            </w:r>
          </w:p>
          <w:p>
            <w:pPr>
              <w:pStyle w:val="null3"/>
              <w:ind w:firstLine="400"/>
            </w:pPr>
            <w:r>
              <w:rPr>
                <w:rFonts w:ascii="仿宋_GB2312" w:hAnsi="仿宋_GB2312" w:cs="仿宋_GB2312" w:eastAsia="仿宋_GB2312"/>
              </w:rPr>
              <w:t>（四）</w:t>
            </w:r>
            <w:r>
              <w:rPr>
                <w:rFonts w:ascii="仿宋_GB2312" w:hAnsi="仿宋_GB2312" w:cs="仿宋_GB2312" w:eastAsia="仿宋_GB2312"/>
              </w:rPr>
              <w:t>环境卫生。环境整洁、卫生，空气流通，采光充足</w:t>
            </w:r>
            <w:r>
              <w:rPr>
                <w:rFonts w:ascii="仿宋_GB2312" w:hAnsi="仿宋_GB2312" w:cs="仿宋_GB2312" w:eastAsia="仿宋_GB2312"/>
              </w:rPr>
              <w:t>;</w:t>
            </w:r>
            <w:r>
              <w:rPr>
                <w:rFonts w:ascii="仿宋_GB2312" w:hAnsi="仿宋_GB2312" w:cs="仿宋_GB2312" w:eastAsia="仿宋_GB2312"/>
              </w:rPr>
              <w:t>公共标识设置与无障碍设施符合相关规定。</w:t>
            </w:r>
          </w:p>
          <w:p>
            <w:pPr>
              <w:pStyle w:val="null3"/>
              <w:ind w:firstLine="400"/>
            </w:pPr>
            <w:r>
              <w:rPr>
                <w:rFonts w:ascii="仿宋_GB2312" w:hAnsi="仿宋_GB2312" w:cs="仿宋_GB2312" w:eastAsia="仿宋_GB2312"/>
              </w:rPr>
              <w:t>（五）</w:t>
            </w:r>
            <w:r>
              <w:rPr>
                <w:rFonts w:ascii="仿宋_GB2312" w:hAnsi="仿宋_GB2312" w:cs="仿宋_GB2312" w:eastAsia="仿宋_GB2312"/>
              </w:rPr>
              <w:t>设施设备。集中托养机构服务场所应装有空调或其他适用的取暖、降温设备，提供全天候热水供应</w:t>
            </w:r>
            <w:r>
              <w:rPr>
                <w:rFonts w:ascii="仿宋_GB2312" w:hAnsi="仿宋_GB2312" w:cs="仿宋_GB2312" w:eastAsia="仿宋_GB2312"/>
              </w:rPr>
              <w:t>;</w:t>
            </w:r>
            <w:r>
              <w:rPr>
                <w:rFonts w:ascii="仿宋_GB2312" w:hAnsi="仿宋_GB2312" w:cs="仿宋_GB2312" w:eastAsia="仿宋_GB2312"/>
              </w:rPr>
              <w:t>配备照明设备，公共区域设置应急照明灯；配备养护起居、护理保健和文体活动等 基本设施，设备完好；配备远程监控安全管理和互联网云考勤管理设备。日间照料托养服务场所应配备基本设备和用具，有电视、棋牌、图书报刊等基本娱乐设施和用品</w:t>
            </w:r>
            <w:r>
              <w:rPr>
                <w:rFonts w:ascii="仿宋_GB2312" w:hAnsi="仿宋_GB2312" w:cs="仿宋_GB2312" w:eastAsia="仿宋_GB2312"/>
              </w:rPr>
              <w:t>;</w:t>
            </w:r>
            <w:r>
              <w:rPr>
                <w:rFonts w:ascii="仿宋_GB2312" w:hAnsi="仿宋_GB2312" w:cs="仿宋_GB2312" w:eastAsia="仿宋_GB2312"/>
              </w:rPr>
              <w:t>配置空调或其他合适的室内取暖、降温设备；配置服务成果展示区</w:t>
            </w:r>
            <w:r>
              <w:rPr>
                <w:rFonts w:ascii="仿宋_GB2312" w:hAnsi="仿宋_GB2312" w:cs="仿宋_GB2312" w:eastAsia="仿宋_GB2312"/>
              </w:rPr>
              <w:t>(</w:t>
            </w:r>
            <w:r>
              <w:rPr>
                <w:rFonts w:ascii="仿宋_GB2312" w:hAnsi="仿宋_GB2312" w:cs="仿宋_GB2312" w:eastAsia="仿宋_GB2312"/>
              </w:rPr>
              <w:t>柜</w:t>
            </w:r>
            <w:r>
              <w:rPr>
                <w:rFonts w:ascii="仿宋_GB2312" w:hAnsi="仿宋_GB2312" w:cs="仿宋_GB2312" w:eastAsia="仿宋_GB2312"/>
              </w:rPr>
              <w:t>)</w:t>
            </w:r>
            <w:r>
              <w:rPr>
                <w:rFonts w:ascii="仿宋_GB2312" w:hAnsi="仿宋_GB2312" w:cs="仿宋_GB2312" w:eastAsia="仿宋_GB2312"/>
              </w:rPr>
              <w:t>；配备急救药箱、轮椅，配置适合存放精神残疾服务对象药品的专柜；配备远程监控安全管理和互联网云考勤管理设备。居家安养服务机构办公场所应通讯设备齐全，通讯畅通，满足移动服务信息化系统的运行需求。</w:t>
            </w:r>
          </w:p>
          <w:p>
            <w:pPr>
              <w:pStyle w:val="null3"/>
              <w:ind w:firstLine="400"/>
            </w:pPr>
            <w:r>
              <w:rPr>
                <w:rFonts w:ascii="仿宋_GB2312" w:hAnsi="仿宋_GB2312" w:cs="仿宋_GB2312" w:eastAsia="仿宋_GB2312"/>
              </w:rPr>
              <w:t>（六）</w:t>
            </w:r>
            <w:r>
              <w:rPr>
                <w:rFonts w:ascii="仿宋_GB2312" w:hAnsi="仿宋_GB2312" w:cs="仿宋_GB2312" w:eastAsia="仿宋_GB2312"/>
              </w:rPr>
              <w:t>制度管理。机构应当财务制度健全，凭证、账簿符合财务规定；有项目独立台账</w:t>
            </w:r>
            <w:r>
              <w:rPr>
                <w:rFonts w:ascii="仿宋_GB2312" w:hAnsi="仿宋_GB2312" w:cs="仿宋_GB2312" w:eastAsia="仿宋_GB2312"/>
              </w:rPr>
              <w:t>,</w:t>
            </w:r>
            <w:r>
              <w:rPr>
                <w:rFonts w:ascii="仿宋_GB2312" w:hAnsi="仿宋_GB2312" w:cs="仿宋_GB2312" w:eastAsia="仿宋_GB2312"/>
              </w:rPr>
              <w:t>专款专用，有项目经费收支明细清单；有健全的接待、服务、投诉处理机制和服务回访等制度；有档案管理和固定资产管理等制度；有日常安全管理、突发事件处理预案制度；建立服务对象个人档案，包括个人基本情况、托养服务协议书、健康情况、医疗记录、综合评估报告、个别化托养服务方案</w:t>
            </w:r>
            <w:r>
              <w:rPr>
                <w:rFonts w:ascii="仿宋_GB2312" w:hAnsi="仿宋_GB2312" w:cs="仿宋_GB2312" w:eastAsia="仿宋_GB2312"/>
              </w:rPr>
              <w:t>、</w:t>
            </w:r>
            <w:r>
              <w:rPr>
                <w:rFonts w:ascii="仿宋_GB2312" w:hAnsi="仿宋_GB2312" w:cs="仿宋_GB2312" w:eastAsia="仿宋_GB2312"/>
              </w:rPr>
              <w:t>服务项目实施情况等基本内容；采取动态管理，建立服务质量跟踪随访登记、服务满意率等档案；应当配合相关部门对资金使用情况进行监督检查与绩效评价；机构应当按照合同约定提供服务，涉及收费的项目，应当向服务对象</w:t>
            </w:r>
            <w:r>
              <w:rPr>
                <w:rFonts w:ascii="仿宋_GB2312" w:hAnsi="仿宋_GB2312" w:cs="仿宋_GB2312" w:eastAsia="仿宋_GB2312"/>
              </w:rPr>
              <w:t>(</w:t>
            </w:r>
            <w:r>
              <w:rPr>
                <w:rFonts w:ascii="仿宋_GB2312" w:hAnsi="仿宋_GB2312" w:cs="仿宋_GB2312" w:eastAsia="仿宋_GB2312"/>
              </w:rPr>
              <w:t>或监护人</w:t>
            </w:r>
            <w:r>
              <w:rPr>
                <w:rFonts w:ascii="仿宋_GB2312" w:hAnsi="仿宋_GB2312" w:cs="仿宋_GB2312" w:eastAsia="仿宋_GB2312"/>
              </w:rPr>
              <w:t>)</w:t>
            </w:r>
            <w:r>
              <w:rPr>
                <w:rFonts w:ascii="仿宋_GB2312" w:hAnsi="仿宋_GB2312" w:cs="仿宋_GB2312" w:eastAsia="仿宋_GB2312"/>
              </w:rPr>
              <w:t>告知收费标准以及费用支付方式，并将相关收费项目、依据和标准等内容予以公示，不得将服务项目转包给其他主体。</w:t>
            </w:r>
          </w:p>
          <w:p>
            <w:pPr>
              <w:pStyle w:val="null3"/>
              <w:ind w:firstLine="400"/>
            </w:pPr>
            <w:r>
              <w:rPr>
                <w:rFonts w:ascii="仿宋_GB2312" w:hAnsi="仿宋_GB2312" w:cs="仿宋_GB2312" w:eastAsia="仿宋_GB2312"/>
              </w:rPr>
              <w:t>（七）承接机构应该依据《就业年龄段智力、</w:t>
            </w:r>
            <w:r>
              <w:rPr>
                <w:rFonts w:ascii="仿宋_GB2312" w:hAnsi="仿宋_GB2312" w:cs="仿宋_GB2312" w:eastAsia="仿宋_GB2312"/>
              </w:rPr>
              <w:t>精神及重度肢体残疾人托养服务规范》中的服务规范、服务标准和质量评价标准，提供相应服务。</w:t>
            </w:r>
          </w:p>
          <w:p>
            <w:pPr>
              <w:pStyle w:val="null3"/>
              <w:ind w:firstLine="400"/>
            </w:pPr>
            <w:r>
              <w:rPr>
                <w:rFonts w:ascii="仿宋_GB2312" w:hAnsi="仿宋_GB2312" w:cs="仿宋_GB2312" w:eastAsia="仿宋_GB2312"/>
              </w:rPr>
              <w:t>（八）托养服务承接机构应建立完善如下制度：</w:t>
            </w:r>
          </w:p>
          <w:p>
            <w:pPr>
              <w:pStyle w:val="null3"/>
              <w:ind w:firstLine="400"/>
            </w:pPr>
            <w:r>
              <w:rPr>
                <w:rFonts w:ascii="仿宋_GB2312" w:hAnsi="仿宋_GB2312" w:cs="仿宋_GB2312" w:eastAsia="仿宋_GB2312"/>
              </w:rPr>
              <w:t>1</w:t>
            </w:r>
            <w:r>
              <w:rPr>
                <w:rFonts w:ascii="仿宋_GB2312" w:hAnsi="仿宋_GB2312" w:cs="仿宋_GB2312" w:eastAsia="仿宋_GB2312"/>
              </w:rPr>
              <w:t>、建立托养服务评估制度。</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）托养服务适宜性评估。申请人初次接受服务前</w:t>
            </w:r>
            <w:r>
              <w:rPr>
                <w:rFonts w:ascii="仿宋_GB2312" w:hAnsi="仿宋_GB2312" w:cs="仿宋_GB2312" w:eastAsia="仿宋_GB2312"/>
              </w:rPr>
              <w:t>,</w:t>
            </w:r>
            <w:r>
              <w:rPr>
                <w:rFonts w:ascii="仿宋_GB2312" w:hAnsi="仿宋_GB2312" w:cs="仿宋_GB2312" w:eastAsia="仿宋_GB2312"/>
              </w:rPr>
              <w:t>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）精神残疾人医治与托养转介评估。申请集中托养、日间照料服务的精神残疾人，必须先由专业医疗机构精神科医师进行风险评估</w:t>
            </w:r>
            <w:r>
              <w:rPr>
                <w:rFonts w:ascii="仿宋_GB2312" w:hAnsi="仿宋_GB2312" w:cs="仿宋_GB2312" w:eastAsia="仿宋_GB2312"/>
              </w:rPr>
              <w:t>,</w:t>
            </w:r>
            <w:r>
              <w:rPr>
                <w:rFonts w:ascii="仿宋_GB2312" w:hAnsi="仿宋_GB2312" w:cs="仿宋_GB2312" w:eastAsia="仿宋_GB2312"/>
              </w:rPr>
              <w:t>并出具托养适宜性评估报告。精神残疾人在接受托养服务期间，因病情复发需转介进入医疗机构住院治疗，在治疗期间停止托养服务。医疗治疗结束后，需重新进行托养服务适宜性评估。</w:t>
            </w:r>
          </w:p>
          <w:p>
            <w:pPr>
              <w:pStyle w:val="null3"/>
              <w:ind w:firstLine="400"/>
            </w:pPr>
            <w:r>
              <w:rPr>
                <w:rFonts w:ascii="仿宋_GB2312" w:hAnsi="仿宋_GB2312" w:cs="仿宋_GB2312" w:eastAsia="仿宋_GB2312"/>
              </w:rPr>
              <w:t>2</w:t>
            </w:r>
            <w:r>
              <w:rPr>
                <w:rFonts w:ascii="仿宋_GB2312" w:hAnsi="仿宋_GB2312" w:cs="仿宋_GB2312" w:eastAsia="仿宋_GB2312"/>
              </w:rPr>
              <w:t>、建立完善服务协议管理制度。机构应与服务对象或其监护人签订具有法律效力、权责明晰的托养服务协议，提供相应服务并进行自查。协议应载明：残疾人服务机构的名称、住所、法定代表人或者主要负责、联系方式；残疾人或者其监护人指定的经常联系人的姓名、地址、身份证明、联系方式；服务内容和服务方式；收费标准以及费用支付方式；服务期限和地点；当事人 的权利和义务；协议变更、解除与终止的条件；违约责任；争议解决方式；当事人协商一致的其他内容；应包括风险告知书、显著提示服务对象或其监护人相关风险</w:t>
            </w:r>
            <w:r>
              <w:rPr>
                <w:rFonts w:ascii="仿宋_GB2312" w:hAnsi="仿宋_GB2312" w:cs="仿宋_GB2312" w:eastAsia="仿宋_GB2312"/>
              </w:rPr>
              <w:t>,</w:t>
            </w:r>
            <w:r>
              <w:rPr>
                <w:rFonts w:ascii="仿宋_GB2312" w:hAnsi="仿宋_GB2312" w:cs="仿宋_GB2312" w:eastAsia="仿宋_GB2312"/>
              </w:rPr>
              <w:t>并就保险事项进行约定。</w:t>
            </w:r>
          </w:p>
          <w:p>
            <w:pPr>
              <w:pStyle w:val="null3"/>
              <w:ind w:firstLine="402"/>
            </w:pPr>
            <w:r>
              <w:rPr>
                <w:rFonts w:ascii="仿宋_GB2312" w:hAnsi="仿宋_GB2312" w:cs="仿宋_GB2312" w:eastAsia="仿宋_GB2312"/>
                <w:b/>
              </w:rPr>
              <w:t>五、费用明细及报价方式</w:t>
            </w:r>
          </w:p>
          <w:p>
            <w:pPr>
              <w:pStyle w:val="null3"/>
              <w:ind w:firstLine="400"/>
            </w:pPr>
            <w:r>
              <w:rPr>
                <w:rFonts w:ascii="仿宋_GB2312" w:hAnsi="仿宋_GB2312" w:cs="仿宋_GB2312" w:eastAsia="仿宋_GB2312"/>
              </w:rPr>
              <w:t>（一）集中托养。对符合寄宿制集中托养服务条件并接受服务的残疾人采取政府购买服务的形式，每服务</w:t>
            </w:r>
            <w:r>
              <w:rPr>
                <w:rFonts w:ascii="仿宋_GB2312" w:hAnsi="仿宋_GB2312" w:cs="仿宋_GB2312" w:eastAsia="仿宋_GB2312"/>
              </w:rPr>
              <w:t>3</w:t>
            </w:r>
            <w:r>
              <w:rPr>
                <w:rFonts w:ascii="仿宋_GB2312" w:hAnsi="仿宋_GB2312" w:cs="仿宋_GB2312" w:eastAsia="仿宋_GB2312"/>
              </w:rPr>
              <w:t>个月为</w:t>
            </w:r>
            <w:r>
              <w:rPr>
                <w:rFonts w:ascii="仿宋_GB2312" w:hAnsi="仿宋_GB2312" w:cs="仿宋_GB2312" w:eastAsia="仿宋_GB2312"/>
              </w:rPr>
              <w:t>1</w:t>
            </w:r>
            <w:r>
              <w:rPr>
                <w:rFonts w:ascii="仿宋_GB2312" w:hAnsi="仿宋_GB2312" w:cs="仿宋_GB2312" w:eastAsia="仿宋_GB2312"/>
              </w:rPr>
              <w:t xml:space="preserve">人次，每人次购买标准 </w:t>
            </w:r>
            <w:r>
              <w:rPr>
                <w:rFonts w:ascii="仿宋_GB2312" w:hAnsi="仿宋_GB2312" w:cs="仿宋_GB2312" w:eastAsia="仿宋_GB2312"/>
              </w:rPr>
              <w:t>6000</w:t>
            </w:r>
            <w:r>
              <w:rPr>
                <w:rFonts w:ascii="仿宋_GB2312" w:hAnsi="仿宋_GB2312" w:cs="仿宋_GB2312" w:eastAsia="仿宋_GB2312"/>
              </w:rPr>
              <w:t>元。个别服务对象确需长期服务的，按具体服务的时间确定人次。</w:t>
            </w:r>
          </w:p>
          <w:p>
            <w:pPr>
              <w:pStyle w:val="null3"/>
              <w:ind w:firstLine="400"/>
            </w:pPr>
            <w:r>
              <w:rPr>
                <w:rFonts w:ascii="仿宋_GB2312" w:hAnsi="仿宋_GB2312" w:cs="仿宋_GB2312" w:eastAsia="仿宋_GB2312"/>
              </w:rPr>
              <w:t>（二）日间照料。对符合日间照料服务条件并接受服务的残疾人采取政府购买服务的形式，每服务</w:t>
            </w:r>
            <w:r>
              <w:rPr>
                <w:rFonts w:ascii="仿宋_GB2312" w:hAnsi="仿宋_GB2312" w:cs="仿宋_GB2312" w:eastAsia="仿宋_GB2312"/>
              </w:rPr>
              <w:t>3</w:t>
            </w:r>
            <w:r>
              <w:rPr>
                <w:rFonts w:ascii="仿宋_GB2312" w:hAnsi="仿宋_GB2312" w:cs="仿宋_GB2312" w:eastAsia="仿宋_GB2312"/>
              </w:rPr>
              <w:t>个月为</w:t>
            </w:r>
            <w:r>
              <w:rPr>
                <w:rFonts w:ascii="仿宋_GB2312" w:hAnsi="仿宋_GB2312" w:cs="仿宋_GB2312" w:eastAsia="仿宋_GB2312"/>
              </w:rPr>
              <w:t>1</w:t>
            </w:r>
            <w:r>
              <w:rPr>
                <w:rFonts w:ascii="仿宋_GB2312" w:hAnsi="仿宋_GB2312" w:cs="仿宋_GB2312" w:eastAsia="仿宋_GB2312"/>
              </w:rPr>
              <w:t>人次，每人次购买标准</w:t>
            </w:r>
            <w:r>
              <w:rPr>
                <w:rFonts w:ascii="仿宋_GB2312" w:hAnsi="仿宋_GB2312" w:cs="仿宋_GB2312" w:eastAsia="仿宋_GB2312"/>
              </w:rPr>
              <w:t>4000</w:t>
            </w:r>
            <w:r>
              <w:rPr>
                <w:rFonts w:ascii="仿宋_GB2312" w:hAnsi="仿宋_GB2312" w:cs="仿宋_GB2312" w:eastAsia="仿宋_GB2312"/>
              </w:rPr>
              <w:t>元。个别服务对象确需长期服务的，按具体服务的时间确定人次。计算残疾人集中托养和日间照料服务补助资金时，每月托养</w:t>
            </w:r>
            <w:r>
              <w:rPr>
                <w:rFonts w:ascii="仿宋_GB2312" w:hAnsi="仿宋_GB2312" w:cs="仿宋_GB2312" w:eastAsia="仿宋_GB2312"/>
              </w:rPr>
              <w:t>20</w:t>
            </w:r>
            <w:r>
              <w:rPr>
                <w:rFonts w:ascii="仿宋_GB2312" w:hAnsi="仿宋_GB2312" w:cs="仿宋_GB2312" w:eastAsia="仿宋_GB2312"/>
              </w:rPr>
              <w:t>天（含</w:t>
            </w:r>
            <w:r>
              <w:rPr>
                <w:rFonts w:ascii="仿宋_GB2312" w:hAnsi="仿宋_GB2312" w:cs="仿宋_GB2312" w:eastAsia="仿宋_GB2312"/>
              </w:rPr>
              <w:t>20</w:t>
            </w:r>
            <w:r>
              <w:rPr>
                <w:rFonts w:ascii="仿宋_GB2312" w:hAnsi="仿宋_GB2312" w:cs="仿宋_GB2312" w:eastAsia="仿宋_GB2312"/>
              </w:rPr>
              <w:t>天）以上的按</w:t>
            </w:r>
            <w:r>
              <w:rPr>
                <w:rFonts w:ascii="仿宋_GB2312" w:hAnsi="仿宋_GB2312" w:cs="仿宋_GB2312" w:eastAsia="仿宋_GB2312"/>
              </w:rPr>
              <w:t>1</w:t>
            </w:r>
            <w:r>
              <w:rPr>
                <w:rFonts w:ascii="仿宋_GB2312" w:hAnsi="仿宋_GB2312" w:cs="仿宋_GB2312" w:eastAsia="仿宋_GB2312"/>
              </w:rPr>
              <w:t>个月补助，</w:t>
            </w:r>
            <w:r>
              <w:rPr>
                <w:rFonts w:ascii="仿宋_GB2312" w:hAnsi="仿宋_GB2312" w:cs="仿宋_GB2312" w:eastAsia="仿宋_GB2312"/>
              </w:rPr>
              <w:t>10</w:t>
            </w:r>
            <w:r>
              <w:rPr>
                <w:rFonts w:ascii="仿宋_GB2312" w:hAnsi="仿宋_GB2312" w:cs="仿宋_GB2312" w:eastAsia="仿宋_GB2312"/>
              </w:rPr>
              <w:t>天（含</w:t>
            </w:r>
            <w:r>
              <w:rPr>
                <w:rFonts w:ascii="仿宋_GB2312" w:hAnsi="仿宋_GB2312" w:cs="仿宋_GB2312" w:eastAsia="仿宋_GB2312"/>
              </w:rPr>
              <w:t>10</w:t>
            </w:r>
            <w:r>
              <w:rPr>
                <w:rFonts w:ascii="仿宋_GB2312" w:hAnsi="仿宋_GB2312" w:cs="仿宋_GB2312" w:eastAsia="仿宋_GB2312"/>
              </w:rPr>
              <w:t>天）以上按</w:t>
            </w:r>
            <w:r>
              <w:rPr>
                <w:rFonts w:ascii="仿宋_GB2312" w:hAnsi="仿宋_GB2312" w:cs="仿宋_GB2312" w:eastAsia="仿宋_GB2312"/>
              </w:rPr>
              <w:t>80%</w:t>
            </w:r>
            <w:r>
              <w:rPr>
                <w:rFonts w:ascii="仿宋_GB2312" w:hAnsi="仿宋_GB2312" w:cs="仿宋_GB2312" w:eastAsia="仿宋_GB2312"/>
              </w:rPr>
              <w:t>补助，</w:t>
            </w:r>
            <w:r>
              <w:rPr>
                <w:rFonts w:ascii="仿宋_GB2312" w:hAnsi="仿宋_GB2312" w:cs="仿宋_GB2312" w:eastAsia="仿宋_GB2312"/>
              </w:rPr>
              <w:t>10</w:t>
            </w:r>
            <w:r>
              <w:rPr>
                <w:rFonts w:ascii="仿宋_GB2312" w:hAnsi="仿宋_GB2312" w:cs="仿宋_GB2312" w:eastAsia="仿宋_GB2312"/>
              </w:rPr>
              <w:t>天以下不予补助。</w:t>
            </w:r>
          </w:p>
          <w:p>
            <w:pPr>
              <w:pStyle w:val="null3"/>
              <w:numPr>
                <w:ilvl w:val="0"/>
                <w:numId w:val="1"/>
              </w:numPr>
            </w:pPr>
            <w:r>
              <w:rPr>
                <w:rFonts w:ascii="仿宋_GB2312" w:hAnsi="仿宋_GB2312" w:cs="仿宋_GB2312" w:eastAsia="仿宋_GB2312"/>
              </w:rPr>
              <w:t>各供应商按照以下方式进行报价。</w:t>
            </w:r>
          </w:p>
          <w:tbl>
            <w:tblPr>
              <w:tblInd w:type="dxa" w:w="120"/>
              <w:tblBorders>
                <w:top w:val="none" w:color="000000" w:sz="4"/>
                <w:left w:val="none" w:color="000000" w:sz="4"/>
                <w:bottom w:val="none" w:color="000000" w:sz="4"/>
                <w:right w:val="none" w:color="000000" w:sz="4"/>
                <w:insideH w:val="none"/>
                <w:insideV w:val="none"/>
              </w:tblBorders>
            </w:tblPr>
            <w:tblGrid>
              <w:gridCol w:w="181"/>
              <w:gridCol w:w="300"/>
              <w:gridCol w:w="349"/>
              <w:gridCol w:w="421"/>
              <w:gridCol w:w="609"/>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w:t>
                  </w:r>
                </w:p>
                <w:p>
                  <w:pPr>
                    <w:pStyle w:val="null3"/>
                    <w:jc w:val="center"/>
                  </w:pPr>
                  <w:r>
                    <w:rPr>
                      <w:rFonts w:ascii="仿宋_GB2312" w:hAnsi="仿宋_GB2312" w:cs="仿宋_GB2312" w:eastAsia="仿宋_GB2312"/>
                      <w:sz w:val="19"/>
                    </w:rPr>
                    <w:t>类别</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报价（元）</w:t>
                  </w:r>
                  <w:r>
                    <w:rPr>
                      <w:rFonts w:ascii="仿宋_GB2312" w:hAnsi="仿宋_GB2312" w:cs="仿宋_GB2312" w:eastAsia="仿宋_GB2312"/>
                      <w:sz w:val="19"/>
                    </w:rPr>
                    <w:t>/</w:t>
                  </w:r>
                  <w:r>
                    <w:rPr>
                      <w:rFonts w:ascii="仿宋_GB2312" w:hAnsi="仿宋_GB2312" w:cs="仿宋_GB2312" w:eastAsia="仿宋_GB2312"/>
                      <w:sz w:val="19"/>
                    </w:rPr>
                    <w:t>人次</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单价限价（元）</w:t>
                  </w:r>
                  <w:r>
                    <w:rPr>
                      <w:rFonts w:ascii="仿宋_GB2312" w:hAnsi="仿宋_GB2312" w:cs="仿宋_GB2312" w:eastAsia="仿宋_GB2312"/>
                      <w:sz w:val="19"/>
                    </w:rPr>
                    <w:t>/</w:t>
                  </w:r>
                  <w:r>
                    <w:rPr>
                      <w:rFonts w:ascii="仿宋_GB2312" w:hAnsi="仿宋_GB2312" w:cs="仿宋_GB2312" w:eastAsia="仿宋_GB2312"/>
                      <w:sz w:val="19"/>
                    </w:rPr>
                    <w:t>人次</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9"/>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集中</w:t>
                  </w:r>
                  <w:r>
                    <w:rPr>
                      <w:rFonts w:ascii="仿宋_GB2312" w:hAnsi="仿宋_GB2312" w:cs="仿宋_GB2312" w:eastAsia="仿宋_GB2312"/>
                      <w:sz w:val="19"/>
                    </w:rPr>
                    <w:t>托养</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6000</w:t>
                  </w:r>
                </w:p>
              </w:tc>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每服务</w:t>
                  </w:r>
                  <w:r>
                    <w:rPr>
                      <w:rFonts w:ascii="仿宋_GB2312" w:hAnsi="仿宋_GB2312" w:cs="仿宋_GB2312" w:eastAsia="仿宋_GB2312"/>
                      <w:sz w:val="19"/>
                    </w:rPr>
                    <w:t>3</w:t>
                  </w:r>
                  <w:r>
                    <w:rPr>
                      <w:rFonts w:ascii="仿宋_GB2312" w:hAnsi="仿宋_GB2312" w:cs="仿宋_GB2312" w:eastAsia="仿宋_GB2312"/>
                      <w:sz w:val="19"/>
                    </w:rPr>
                    <w:t>个月为</w:t>
                  </w:r>
                  <w:r>
                    <w:rPr>
                      <w:rFonts w:ascii="仿宋_GB2312" w:hAnsi="仿宋_GB2312" w:cs="仿宋_GB2312" w:eastAsia="仿宋_GB2312"/>
                      <w:sz w:val="19"/>
                    </w:rPr>
                    <w:t>1</w:t>
                  </w:r>
                  <w:r>
                    <w:rPr>
                      <w:rFonts w:ascii="仿宋_GB2312" w:hAnsi="仿宋_GB2312" w:cs="仿宋_GB2312" w:eastAsia="仿宋_GB2312"/>
                      <w:sz w:val="19"/>
                    </w:rPr>
                    <w:t>人次</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、报价不得超过单价限价。</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日间</w:t>
                  </w:r>
                  <w:r>
                    <w:rPr>
                      <w:rFonts w:ascii="仿宋_GB2312" w:hAnsi="仿宋_GB2312" w:cs="仿宋_GB2312" w:eastAsia="仿宋_GB2312"/>
                      <w:sz w:val="19"/>
                    </w:rPr>
                    <w:t>照料</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4000</w:t>
                  </w:r>
                </w:p>
              </w:tc>
              <w:tc>
                <w:tcPr>
                  <w:tcW w:type="dxa" w:w="609"/>
                  <w:vMerge/>
                  <w:tcBorders>
                    <w:top w:val="none" w:color="000000" w:sz="4"/>
                    <w:left w:val="single" w:color="000000" w:sz="4"/>
                    <w:bottom w:val="single" w:color="000000" w:sz="4"/>
                    <w:right w:val="single" w:color="000000" w:sz="4"/>
                  </w:tcBorders>
                </w:tcPr>
                <w:p/>
              </w:tc>
            </w:tr>
            <w:tr>
              <w:tc>
                <w:tcPr>
                  <w:tcW w:type="dxa" w:w="4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单价合计（元）</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各供应商在系统上传文件时，开标一览表填写单价合计金额。并上传分项报价表。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每半年根据成交单价及实际服务人次据实结算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成交供应商完成全部工作，经采购人验收合格后，据实结算，最终结算金额不得超过采购预算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竞争性磋商响应文件。提交二次报价，二次报价环节须将二次报价表盖章作为附件进行上传。 2、成交通知书发出后，成交供应商须向采购人提交竞争性磋商响应文件纸质版三份（纸质版响应文件与电子版响应文件保持一致）。 3、采购文件2.6.1内容为电子化交易系统采购文件模板，无法修改。根据陕西省财政厅关于持续优化政府采购营商环境有关事项的通知--陕财办采〔2024〕9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供应商2023年度或2024年度经审计的财务报告或磋商截止时间前三个月内其基本开户银行出具的资信证明及账户开户许可证明材料或财政部门认可的政府采购专业担保机构开具的投标担保函。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单价不得超过单价限价，总价不超过采购预算</w:t>
            </w:r>
          </w:p>
        </w:tc>
        <w:tc>
          <w:tcPr>
            <w:tcW w:type="dxa" w:w="1661"/>
          </w:tcPr>
          <w:p>
            <w:pPr>
              <w:pStyle w:val="null3"/>
            </w:pPr>
            <w:r>
              <w:rPr>
                <w:rFonts w:ascii="仿宋_GB2312" w:hAnsi="仿宋_GB2312" w:cs="仿宋_GB2312" w:eastAsia="仿宋_GB2312"/>
              </w:rPr>
              <w:t>报价表明细.docx 商务应答表 服务方案 供应商应提交的相关资格证明材料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服务内容及服务邀请应答表 报价表明细.docx 中小企业声明函 残疾人福利性单位声明函 商务应答表 服务方案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①思路清晰，论述内容明确详细的计7分； ②思路清晰，论述内容有些许欠缺的计5分； ③思路基本清晰，论述内容有部分欠缺的计3分； ④理解欠缺，描述粗略的计1分。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集中托养服务 方案</w:t>
            </w:r>
          </w:p>
        </w:tc>
        <w:tc>
          <w:tcPr>
            <w:tcW w:type="dxa" w:w="2492"/>
          </w:tcPr>
          <w:p>
            <w:pPr>
              <w:pStyle w:val="null3"/>
            </w:pPr>
            <w:r>
              <w:rPr>
                <w:rFonts w:ascii="仿宋_GB2312" w:hAnsi="仿宋_GB2312" w:cs="仿宋_GB2312" w:eastAsia="仿宋_GB2312"/>
              </w:rPr>
              <w:t>根据各供应商针对本项目的集中托养服务方案进行评审； 方案全面、具体，科学合理，可行性强，得6分； 方案相对全面、具体、科学，可行性相对较强，得5分； 方案基本全面、具体，有一定的可行性，得4分； 方案不够全面、具体，可行性相对较弱，得3分； 方案不全面、具体，可行性较差，得2分； 方案笼统，可行性有待考究的，得1分；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日间照料服务 方案</w:t>
            </w:r>
          </w:p>
        </w:tc>
        <w:tc>
          <w:tcPr>
            <w:tcW w:type="dxa" w:w="2492"/>
          </w:tcPr>
          <w:p>
            <w:pPr>
              <w:pStyle w:val="null3"/>
            </w:pPr>
            <w:r>
              <w:rPr>
                <w:rFonts w:ascii="仿宋_GB2312" w:hAnsi="仿宋_GB2312" w:cs="仿宋_GB2312" w:eastAsia="仿宋_GB2312"/>
              </w:rPr>
              <w:t>根据各供应商针对本项目的日间照料服务方案进行评审； 方案全面、具体，科学合理，可行性强，得6分； 方案相对全面、具体、科学，可行性相对较强，得5分； 方案基本全面、具体，有一定的可行性，得4分； 方案不够全面、具体，可行性相对较弱，得3分； 方案不全面、具体，可行性较差，得2分； 方案笼统，可行性有待考究的，得1分；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一、评审内容：针对服务内容及要求提供关于（1）工作流程、（2）工作进度及时间安排、（3）工作时效保证措施。 二、评审标准：对以上单项内容分别进行评审赋分。 1.内容完整、思路明晰合理、科学、实用、针对性强得4分； 2.内容相对完整、思路相对明晰合理、针对性相对强得 3分； 3.内容不够完整、思路不够明晰合理、针对性相对差得 2分； 4、内容简单笼统，得1分。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场地环境</w:t>
            </w:r>
          </w:p>
        </w:tc>
        <w:tc>
          <w:tcPr>
            <w:tcW w:type="dxa" w:w="2492"/>
          </w:tcPr>
          <w:p>
            <w:pPr>
              <w:pStyle w:val="null3"/>
            </w:pPr>
            <w:r>
              <w:rPr>
                <w:rFonts w:ascii="仿宋_GB2312" w:hAnsi="仿宋_GB2312" w:cs="仿宋_GB2312" w:eastAsia="仿宋_GB2312"/>
              </w:rPr>
              <w:t>供应商所提供的服务场地环境好、设施配备齐全，完全满足采购人要求，得8分； 服务场地环境较好、设施配备齐全，较满足采购人要求，得6分； 服务场地环境较好、设施配备较齐全，基本满足采购人要求，得4分； 服务场地环境一般、设施配备一般，得2分；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根据供应商提供的企业内部管理制度进行评审。 内容全面、具体，科学合理，可行性强，得6分； 内容相对全面、具体、科学，可行性相对较强，得5分； 内容基本全面、具体，有一定的可行性，得4分； 内容不够全面、具体，可行性相对较弱，得3分； 内容不全面、具体，可行性较差，得2分； 内容笼统，可行性有待考究的，得1分；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一、评审内容：针对服务内容及要求提供关于（1）人员组织架构、（2）人员数量及配置、（3）人员管理制度。 二、评审标准：对以上单项内容分别进行评审赋分。 1.内容完整、思路明晰合理、科学、实用、针对性强、配备合理得3分； 2.内容相对完整、思路相对明晰合理、针对性相对强、配备较合理得 2分； 3.内容不够完整、思路不够明晰合理、针对性相对差、配备少得 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根据各供应商针对本项目的人员培训方案进行评审； 方案全面、具体，科学合理，可行性强，得6分； 方案相对全面、具体、科学，可行性相对较强，得5分； 方案基本全面、具体，有一定的可行性，得4分； 方案不够全面、具体，可行性相对较弱，得3分； 方案不全面、具体，可行性较差，得2分； 方案笼统，可行性有待考究的，得1分；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设施设备配备 方案</w:t>
            </w:r>
          </w:p>
        </w:tc>
        <w:tc>
          <w:tcPr>
            <w:tcW w:type="dxa" w:w="2492"/>
          </w:tcPr>
          <w:p>
            <w:pPr>
              <w:pStyle w:val="null3"/>
            </w:pPr>
            <w:r>
              <w:rPr>
                <w:rFonts w:ascii="仿宋_GB2312" w:hAnsi="仿宋_GB2312" w:cs="仿宋_GB2312" w:eastAsia="仿宋_GB2312"/>
              </w:rPr>
              <w:t>根据各供应商针对本项目的设施设备配备方案进行评审； 方案全面、具体，科学合理，可行性强，得6分； 方案相对全面、具体、科学，可行性相对较强，得5分； 方案基本全面、具体，有一定的可行性，得4分； 方案不够全面、具体，可行性相对较弱，得3分； 方案不全面、具体，可行性较差，得2分； 方案笼统，可行性有待考究的，得1分；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根据各供应商针对本项目的应急处置方案进行评审； 方案全面、具体，科学合理，可行性强，得6分； 方案相对全面、具体、科学，可行性相对较强，得5分； 方案基本全面、具体，有一定的可行性，得4分； 方案不够全面、具体，可行性相对较弱，得3分； 方案不全面、具体，可行性较差，得2分； 方案笼统，可行性有待考究的，得1分；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根据本项目的的难点、重点进行分析并提出控制措施，分析内容准确，控制措施合理得 6 分; 分析内容比较准确，控制措施比较合理得 5 分; 分析内容基本准确，控制措施基本合理得 4 分; 分析内容和控制措施较简单得 3 分; 分析内容和控制措施有轻微漏项得 2 分; 分析内容和控制措施简陋，无指导性得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针对本项目实际需求，提供实质性的合理化建议。建议内容科学可行，针对性强，得 6分; 建议内容较为可行，针对性较强，得5分; 建议内容较为可行，有一定的针对性，得 4 分; 建议内容相对可行，有针对性，得3分; 建议内容基本可行，针对性一般，得2; 建议内容基本可行，针对性较差，得 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根据各供应商针对本项目实际，有保密承诺及措施进行评审。 措施及承诺全面、合理、规范，可操作性强得6分； 措施及承诺比较合理和规范，有较强的可操作性得5分； 措施及承诺相对合理和规范，有相对较强的可操作性得4分； 措施及承诺基本合理，有一定的可操作性得3分； 措施及承诺不太合理，可操作性不强得2分； 措施及承诺有缺漏，可操作性差得1分；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详见附件：报价表明细.docx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