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版本号：HRDL-CG[2025]-073-02720250506001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泾河入渭口大桥南侧广场维修养护项目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HRDL-CG[2025]-073-027</w:t>
      </w:r>
      <w:r>
        <w:br/>
      </w:r>
      <w:r>
        <w:br/>
      </w:r>
      <w:r>
        <w:br/>
      </w:r>
    </w:p>
    <w:p>
      <w:pPr>
        <w:pStyle w:val="null3"/>
        <w:jc w:val="center"/>
        <w:outlineLvl w:val="2"/>
      </w:pPr>
      <w:r>
        <w:rPr>
          <w:rFonts w:ascii="仿宋_GB2312" w:hAnsi="仿宋_GB2312" w:cs="仿宋_GB2312" w:eastAsia="仿宋_GB2312"/>
          <w:sz w:val="28"/>
          <w:b/>
        </w:rPr>
        <w:t>西安市高陵区水务局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西安市高陵区水务局</w:t>
      </w:r>
      <w:r>
        <w:rPr>
          <w:rFonts w:ascii="仿宋_GB2312" w:hAnsi="仿宋_GB2312" w:cs="仿宋_GB2312" w:eastAsia="仿宋_GB2312"/>
        </w:rPr>
        <w:t>委托，拟对</w:t>
      </w:r>
      <w:r>
        <w:rPr>
          <w:rFonts w:ascii="仿宋_GB2312" w:hAnsi="仿宋_GB2312" w:cs="仿宋_GB2312" w:eastAsia="仿宋_GB2312"/>
        </w:rPr>
        <w:t>泾河入渭口大桥南侧广场维修养护项目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HRDL-CG[2025]-073-027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泾河入渭口大桥南侧广场维修养护项目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对泾河入渭口大桥南侧广场已建成区域进行打草、修剪绿植、清扫路面、乔木和灌木绿化养护及地被养护等。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采购包1（泾河入渭口大桥南侧广场维修养护项目）：属于专门面向中小企业采购。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保缴纳凭证：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 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10、非联合体声明：本次项目不接受联合体投标（提供非联合体声明）。供应商需在项目电子化交易系统中按要求上传相应证明文件并进行电子签章；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西安市高陵区鹿祥路1212号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029-86912163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尹耕耘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及国家发展和改革委员会办公厅颁发的《关于招标代理服务收费有关问题的通知》（发改办价格[2003]857号）的有关规定执行。 2、成交单位在领取成交通知书前，须向采购代理机构一次性支付招标代理服务费。3、代理服务费缴纳账户如下： 名 称：陕西恒瑞项目管理有限公司 账 号：26136101040001045 开户行：中国农业银行西安雁翔路支行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西安市高陵区水务局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联系人：刘志强</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地址：陕西省西安市雁塔区凯森盛世1号A座25层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泾河入渭口大桥南侧广场已建成区域内环境卫生干净整洁、绿化苗木成活率及景观效果，为群众提供一个干净、舒适、安全的环境，计划对泾河入渭口大桥南侧广场进行维修养护。具体内容是对已建成区域进行打草、修剪绿植、清扫路面、乔木和灌木绿化养护等。总治理面积约2万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1,200,300.00</w:t>
      </w:r>
    </w:p>
    <w:p>
      <w:pPr>
        <w:pStyle w:val="null3"/>
      </w:pPr>
      <w:r>
        <w:rPr>
          <w:rFonts w:ascii="仿宋_GB2312" w:hAnsi="仿宋_GB2312" w:cs="仿宋_GB2312" w:eastAsia="仿宋_GB2312"/>
        </w:rPr>
        <w:t>采购包最高限价（元）: 1,200,300.00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泾河入渭口大桥南侧广场维修养护项目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标的名称：泾河入渭口大桥南侧广场维修养护项目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为确保泾河入渭口大桥南侧广场已建成区域内环境卫生干净整洁、绿化苗木成活率及景观效果，为群众提供一个干净、舒适、安全的环境，计划对泾河入渭口大桥南侧广场进行维修养护。具体内容是对已建成区域进行打草、修剪绿植、清扫路面、乔木和灌木绿化养护等。总治理面积约</w:t>
            </w:r>
            <w:r>
              <w:rPr>
                <w:rFonts w:ascii="仿宋_GB2312" w:hAnsi="仿宋_GB2312" w:cs="仿宋_GB2312" w:eastAsia="仿宋_GB2312"/>
                <w:sz w:val="24"/>
              </w:rPr>
              <w:t>2</w:t>
            </w:r>
            <w:r>
              <w:rPr>
                <w:rFonts w:ascii="仿宋_GB2312" w:hAnsi="仿宋_GB2312" w:cs="仿宋_GB2312" w:eastAsia="仿宋_GB2312"/>
                <w:sz w:val="24"/>
              </w:rPr>
              <w:t>万平方米。</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工作区域：泾河入渭口大桥南侧广场。</w:t>
            </w:r>
          </w:p>
          <w:p>
            <w:pPr>
              <w:pStyle w:val="null3"/>
              <w:ind w:firstLine="480"/>
              <w:jc w:val="both"/>
            </w:pPr>
            <w:r>
              <w:rPr>
                <w:rFonts w:ascii="仿宋_GB2312" w:hAnsi="仿宋_GB2312" w:cs="仿宋_GB2312" w:eastAsia="仿宋_GB2312"/>
                <w:sz w:val="24"/>
              </w:rPr>
              <w:t>工作内容：对泾河入渭口大桥</w:t>
            </w:r>
            <w:r>
              <w:rPr>
                <w:rFonts w:ascii="仿宋_GB2312" w:hAnsi="仿宋_GB2312" w:cs="仿宋_GB2312" w:eastAsia="仿宋_GB2312"/>
                <w:sz w:val="24"/>
              </w:rPr>
              <w:t>南侧广场已建成区域进行打草、修剪绿植、清扫路面、乔木和灌木绿化养护及地被养护等。</w:t>
            </w:r>
          </w:p>
          <w:p>
            <w:pPr>
              <w:pStyle w:val="null3"/>
              <w:ind w:firstLine="480"/>
              <w:jc w:val="both"/>
            </w:pPr>
            <w:r>
              <w:rPr>
                <w:rFonts w:ascii="仿宋_GB2312" w:hAnsi="仿宋_GB2312" w:cs="仿宋_GB2312" w:eastAsia="仿宋_GB2312"/>
                <w:sz w:val="21"/>
                <w:b/>
              </w:rPr>
              <w:t>三、服务要求</w:t>
            </w:r>
          </w:p>
          <w:p>
            <w:pPr>
              <w:pStyle w:val="null3"/>
              <w:numPr>
                <w:ilvl w:val="0"/>
                <w:numId w:val="1"/>
              </w:numPr>
              <w:jc w:val="both"/>
            </w:pPr>
            <w:r>
              <w:rPr>
                <w:rFonts w:ascii="仿宋_GB2312" w:hAnsi="仿宋_GB2312" w:cs="仿宋_GB2312" w:eastAsia="仿宋_GB2312"/>
                <w:sz w:val="24"/>
              </w:rPr>
              <w:t>本项目日常保洁需配备不少于</w:t>
            </w:r>
            <w:r>
              <w:rPr>
                <w:rFonts w:ascii="仿宋_GB2312" w:hAnsi="仿宋_GB2312" w:cs="仿宋_GB2312" w:eastAsia="仿宋_GB2312"/>
                <w:sz w:val="24"/>
              </w:rPr>
              <w:t>5</w:t>
            </w:r>
            <w:r>
              <w:rPr>
                <w:rFonts w:ascii="仿宋_GB2312" w:hAnsi="仿宋_GB2312" w:cs="仿宋_GB2312" w:eastAsia="仿宋_GB2312"/>
                <w:sz w:val="24"/>
              </w:rPr>
              <w:t>名人员对已建成区域进行清扫，人员年龄</w:t>
            </w:r>
            <w:r>
              <w:rPr>
                <w:rFonts w:ascii="仿宋_GB2312" w:hAnsi="仿宋_GB2312" w:cs="仿宋_GB2312" w:eastAsia="仿宋_GB2312"/>
                <w:sz w:val="24"/>
              </w:rPr>
              <w:t>18-55</w:t>
            </w:r>
            <w:r>
              <w:rPr>
                <w:rFonts w:ascii="仿宋_GB2312" w:hAnsi="仿宋_GB2312" w:cs="仿宋_GB2312" w:eastAsia="仿宋_GB2312"/>
                <w:sz w:val="24"/>
              </w:rPr>
              <w:t>周岁；全年需对乔木、灌木进行绿化养护，打草</w:t>
            </w:r>
            <w:r>
              <w:rPr>
                <w:rFonts w:ascii="仿宋_GB2312" w:hAnsi="仿宋_GB2312" w:cs="仿宋_GB2312" w:eastAsia="仿宋_GB2312"/>
                <w:sz w:val="24"/>
              </w:rPr>
              <w:t>4</w:t>
            </w:r>
            <w:r>
              <w:rPr>
                <w:rFonts w:ascii="仿宋_GB2312" w:hAnsi="仿宋_GB2312" w:cs="仿宋_GB2312" w:eastAsia="仿宋_GB2312"/>
                <w:sz w:val="24"/>
              </w:rPr>
              <w:t>次。</w:t>
            </w:r>
          </w:p>
          <w:p>
            <w:pPr>
              <w:pStyle w:val="null3"/>
              <w:numPr>
                <w:ilvl w:val="0"/>
                <w:numId w:val="1"/>
              </w:numPr>
              <w:jc w:val="both"/>
            </w:pPr>
            <w:r>
              <w:rPr>
                <w:rFonts w:ascii="仿宋_GB2312" w:hAnsi="仿宋_GB2312" w:cs="仿宋_GB2312" w:eastAsia="仿宋_GB2312"/>
                <w:sz w:val="24"/>
              </w:rPr>
              <w:t>设施设备要求：大扫把、毛毛扫把、小扫帚、铁簸箕、捡拾夹、抹布、铲刀、铁锨、水桶、自喷漆、清洁剂、警示牌、清杀剂</w:t>
            </w:r>
            <w:r>
              <w:rPr>
                <w:rFonts w:ascii="仿宋_GB2312" w:hAnsi="仿宋_GB2312" w:cs="仿宋_GB2312" w:eastAsia="仿宋_GB2312"/>
                <w:sz w:val="24"/>
              </w:rPr>
              <w:t>、割草机、手锯、喷雾器、大枝剪、小枝剪、高枝剪</w:t>
            </w:r>
            <w:r>
              <w:rPr>
                <w:rFonts w:ascii="仿宋_GB2312" w:hAnsi="仿宋_GB2312" w:cs="仿宋_GB2312" w:eastAsia="仿宋_GB2312"/>
                <w:sz w:val="24"/>
              </w:rPr>
              <w:t>等所需设备。</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本项目日常保洁需配备不少于5名人员对已建成区域进行清扫，人员年龄18-55周岁；全年需对乔木、灌木进行绿化养护，打草4次。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大扫把、毛毛扫把、小扫帚、铁簸箕、捡拾夹、抹布、铲刀、铁锨、水桶、自喷漆、清洁剂、警示牌、清杀剂、割草机、手锯、喷雾器、大枝剪、小枝剪、高枝剪等所需设备。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泾河入渭口大桥南侧广场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执行竞争性磋商和合同规定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合同签订后，按月进度结算，经甲方验收合格后，乙方出具相关票据给甲方，待甲方在完成报账程序后支付每月服务费用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3.05</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执行合同规定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本项目为2024年至2026年泾河入渭口大桥南侧广场维修养护项目，供应商每个年度投标报价金额不得超过400100元。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 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绿化养护总体方案</w:t>
            </w:r>
          </w:p>
        </w:tc>
        <w:tc>
          <w:tcPr>
            <w:tcW w:type="dxa" w:w="2492"/>
          </w:tcPr>
          <w:p>
            <w:pPr>
              <w:pStyle w:val="null3"/>
            </w:pPr>
            <w:r>
              <w:rPr>
                <w:rFonts w:ascii="仿宋_GB2312" w:hAnsi="仿宋_GB2312" w:cs="仿宋_GB2312" w:eastAsia="仿宋_GB2312"/>
              </w:rPr>
              <w:t>一、评审内容 供应商针对本项目所包含的养护内容及要求提出详细的绿化养护总体方案，包括但不限于：绿化服务总体设想、服务计划、服务定位和服务目标、重难点分析等。根据方案的完整性、可实施性、针对性进行评审。 二、评审标准 1、完整性：方案须全面，对评审内容中的各项要求有详细描述及说明； 2、可实施性：切合本项目实际情况，实施步骤清晰、合理； 3、针对性：方案能够紧扣项目实际情况，内容科学合理。 三、赋分标准 ①绿化服务总体设想：每完全满足一项评审标准得1.0分，满分3分。②服务计划:每完全满足一项评审标准得1.0分，满分3分；③服务定位：每完全满足一项评审标准得1.0分，满分3分；④服务目标：每完全满足一项评审标准得1.0分，满分3分；⑤重难点分析：每完全满足一项评审标准得1.0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环卫保洁方案</w:t>
            </w:r>
          </w:p>
        </w:tc>
        <w:tc>
          <w:tcPr>
            <w:tcW w:type="dxa" w:w="2492"/>
          </w:tcPr>
          <w:p>
            <w:pPr>
              <w:pStyle w:val="null3"/>
            </w:pPr>
            <w:r>
              <w:rPr>
                <w:rFonts w:ascii="仿宋_GB2312" w:hAnsi="仿宋_GB2312" w:cs="仿宋_GB2312" w:eastAsia="仿宋_GB2312"/>
              </w:rPr>
              <w:t>一、评审内容 针对本项目提出环卫保洁方案，方案内容包含①各区域环境卫生保洁②绿化养护工作③各区域环卫保洁的监督巡查。 二、评审标准 1、完整性：方案须全面，对评审内容中的各项要求有详细描述及说明； 2、可实施性：切合本项目实际情况，实施步骤清晰、合理； 3、针对性：方案能够紧扣项目实际情况，内容科学合理。 三、赋分标准（满分13.5分） ①各区域环卫保洁保洁：每完全满足一项评审标准得1.5分，满分4.5分； ②绿化养护工作：每完全满足一项评审标准得 1.5 分，满 4.5分； ③各区域环卫保洁的监督巡查:每完全满足一项评审标准得 1.5 分， 满分 4.5 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针对本项目具有良好的管理制度，制度内容包含①岗位职责：具有岗位工作标准、服务质量标准、作业流程及作业记录②内控制度： 具有保密制度、管理组织机构、问责机制、监督机制、自查制度③ 人员管理制度：具有员工日常管理办法、保密制度、请销假制度、 奖惩措施、激励机制、仪容仪表制度。 二、评审标准 1、完整性：方案须全面，对评审内容中的各项要求有详细描述及 说明； 2、可实施性：切合本项目实际情况，步骤清晰、合理，操作性强； 3、针对性：方案能够紧扣项目实际情况，内容科学合理。 三、赋分标准（满分13.5分） ①岗位职责：每完全满足一项评审标准得1.5分，满分4.5分； ②内控制度:每完全满足一项评审标准得1.5分，满分 4.5 分； ③人员管理制度：每完全满足一项评审标准得 1.5 分，满分4.5分。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机构建设方案</w:t>
            </w:r>
          </w:p>
        </w:tc>
        <w:tc>
          <w:tcPr>
            <w:tcW w:type="dxa" w:w="2492"/>
          </w:tcPr>
          <w:p>
            <w:pPr>
              <w:pStyle w:val="null3"/>
            </w:pPr>
            <w:r>
              <w:rPr>
                <w:rFonts w:ascii="仿宋_GB2312" w:hAnsi="仿宋_GB2312" w:cs="仿宋_GB2312" w:eastAsia="仿宋_GB2312"/>
              </w:rPr>
              <w:t>一、评审内容 根据本次服务工作特点提供机构建设方案，方案内容包括：① 组织机构的运行配备②专业服务团队人员的职能分工。 二、评审标准 1、完整性：方案必须全面，对评审内容中的各项要求有详细描述； 2、可实施性：切合本项目实际情况，提出步骤清晰、合理的方案； 3、针对性：方案能够紧扣项目实际情况，内容科学合理。 三、赋分标准（满分 12 分） ①组织机构的运行配备：每完全满足一个评审标准得 2分，满 分 6 分； ②专业服务团队人员的职能分工:每完全满足一个评审标准得2 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投入 工具</w:t>
            </w:r>
          </w:p>
        </w:tc>
        <w:tc>
          <w:tcPr>
            <w:tcW w:type="dxa" w:w="2492"/>
          </w:tcPr>
          <w:p>
            <w:pPr>
              <w:pStyle w:val="null3"/>
            </w:pPr>
            <w:r>
              <w:rPr>
                <w:rFonts w:ascii="仿宋_GB2312" w:hAnsi="仿宋_GB2312" w:cs="仿宋_GB2312" w:eastAsia="仿宋_GB2312"/>
              </w:rPr>
              <w:t>一、评审内容 供应商提供本项目所需要的物料配备清单，应包含：①工作服装和清洁工具②劳保用品和消耗品。 二、 评审标准： 1、完整性：清单必须全面，对评审内容中的各项服装、设备、工 具、耗材配置合理； 2、实用性：所配备的物料能够切合本项目实际情况，提供质量有 保障、使用率高、环保性强、服装统一。 三、赋分标准（满分 8分） ①工作服装和清洁工具：每完全满足一个评审标准得 2分，满分 4分； ②劳保用品和消耗品:每完全满足一个评审标准得 2分，满分 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 预案</w:t>
            </w:r>
          </w:p>
        </w:tc>
        <w:tc>
          <w:tcPr>
            <w:tcW w:type="dxa" w:w="2492"/>
          </w:tcPr>
          <w:p>
            <w:pPr>
              <w:pStyle w:val="null3"/>
            </w:pPr>
            <w:r>
              <w:rPr>
                <w:rFonts w:ascii="仿宋_GB2312" w:hAnsi="仿宋_GB2312" w:cs="仿宋_GB2312" w:eastAsia="仿宋_GB2312"/>
              </w:rPr>
              <w:t>一、评审内容 针对本项目特点提供应急预案，预案内容包含①紧急情况的预防与 处置：恶劣天气、停水停电、电梯困人、防火防盗、火灾、水浸② 公共卫生事件预防与处置③应急保障措施演练计划。 二、评审标准 1、完整性：方案须全面，对评审内容中的各项要求有详细描述及 说明； 2、可实施性：切合本项目实际情况，步骤清晰、合理，操作性强； 3、针对性：方案能够紧扣项目实际情况，内容科学合理。 三、赋分标准（满分9） ①紧急情况的预防与处置：每完全满足一项评审标准得1分，满分3分； ②公共卫生事件预防与处置:每完全满足一项评审标准得 1分， 满分3分； ③应急保障措施演练计划：每完全满足一项评审标准得 1 分，满 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1.项目团队成员配备齐全，组织架构完整，职责划分明确，拟派人数为 5人（含）以上的，得5分；其余情况不得分。 2.具有完善的人员管理制度及服务质量监督制度。按其响应程度计 1-2 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 2分。无承诺不得分。 2.承诺：若人员因事、病不能及时上岗时，请调其他服务人员补充， 确保各项服务工作正常进行，得 1分。无承诺不得分。 3.承诺：供应商具有足够的可调度人员储备，以应对重大、突发事件的绿化、保洁等任务，得1。无承诺不得分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企业 业绩</w:t>
            </w:r>
          </w:p>
        </w:tc>
        <w:tc>
          <w:tcPr>
            <w:tcW w:type="dxa" w:w="2492"/>
          </w:tcPr>
          <w:p>
            <w:pPr>
              <w:pStyle w:val="null3"/>
            </w:pPr>
            <w:r>
              <w:rPr>
                <w:rFonts w:ascii="仿宋_GB2312" w:hAnsi="仿宋_GB2312" w:cs="仿宋_GB2312" w:eastAsia="仿宋_GB2312"/>
              </w:rPr>
              <w:t>2022年4月1日起至今承接过类似项目业绩，每有1项得2分，最多得8分。 注：1.以中标通知书或合同复印件为准，复印件应清晰可辨，并加盖公章。如模糊不清，视为无效业绩，不予得分。弄虚作假者取消其投标、成交资格。 2.时间以中标通知书或合同签订时间为准。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