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版本号：SXJJ-DL-2025-06520250521001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高陵区旅游大道(渭阳九路至高泾路)重大安全隐患整治工程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SXJJ-DL-2025-065</w:t>
      </w:r>
      <w:r>
        <w:br/>
      </w:r>
      <w:r>
        <w:br/>
      </w:r>
      <w:r>
        <w:br/>
      </w:r>
    </w:p>
    <w:p>
      <w:pPr>
        <w:pStyle w:val="null3"/>
        <w:jc w:val="center"/>
        <w:outlineLvl w:val="2"/>
      </w:pPr>
      <w:r>
        <w:rPr>
          <w:rFonts w:ascii="仿宋_GB2312" w:hAnsi="仿宋_GB2312" w:cs="仿宋_GB2312" w:eastAsia="仿宋_GB2312"/>
          <w:sz w:val="28"/>
          <w:b/>
        </w:rPr>
        <w:t>西安市高陵区农村公路管理站</w:t>
      </w:r>
    </w:p>
    <w:p>
      <w:pPr>
        <w:pStyle w:val="null3"/>
        <w:jc w:val="center"/>
        <w:outlineLvl w:val="2"/>
      </w:pPr>
      <w:r>
        <w:rPr>
          <w:rFonts w:ascii="仿宋_GB2312" w:hAnsi="仿宋_GB2312" w:cs="仿宋_GB2312" w:eastAsia="仿宋_GB2312"/>
          <w:sz w:val="28"/>
          <w:b/>
        </w:rPr>
        <w:t>陕西建基建设工程项目管理有限公司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陕西建基建设工程项目管理有限公司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西安市高陵区农村公路管理站</w:t>
      </w:r>
      <w:r>
        <w:rPr>
          <w:rFonts w:ascii="仿宋_GB2312" w:hAnsi="仿宋_GB2312" w:cs="仿宋_GB2312" w:eastAsia="仿宋_GB2312"/>
        </w:rPr>
        <w:t>委托，拟对</w:t>
      </w:r>
      <w:r>
        <w:rPr>
          <w:rFonts w:ascii="仿宋_GB2312" w:hAnsi="仿宋_GB2312" w:cs="仿宋_GB2312" w:eastAsia="仿宋_GB2312"/>
        </w:rPr>
        <w:t>高陵区旅游大道(渭阳九路至高泾路)重大安全隐患整治工程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SXJJ-DL-2025-065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高陵区旅游大道(渭阳九路至高泾路)重大安全隐患整治工程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概况：高陵区旅游大道(渭阳九路至高泾路)重大安全隐患整治工程整治工程项目，起点于高陵区旅游大道(渭阳九路至高泾路)与渭阳九路交叉十字，终点于高陵区旅游大道(渭阳九路至高泾路)与高泾路交叉十字，路线长度4.543公里。路基宽度7.5米，路面宽度7米。道路等级为三级公路。具体详见施工图纸和工程量清单。 工程内容：本次实施内容主要针对沥青路面出现的病害进行处理、部分标线施划以及安全防护的维修等工作，具体详见施工图纸和工程量清单。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采购包1（高陵区旅游大道(渭阳九路至高泾路)重大安全隐患整治工程）：属于专门面向中小企业采购。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1、企业资质要求：供应商须同时具备公路工程施工总承包三级及以上或公路养护专业二类乙级及以上资质或具备路基路面养护乙级及以上资质及交通安全设施养护资质，具有有效的安全生产许可证；</w:t>
      </w:r>
    </w:p>
    <w:p>
      <w:pPr>
        <w:pStyle w:val="null3"/>
      </w:pPr>
      <w:r>
        <w:rPr>
          <w:rFonts w:ascii="仿宋_GB2312" w:hAnsi="仿宋_GB2312" w:cs="仿宋_GB2312" w:eastAsia="仿宋_GB2312"/>
        </w:rPr>
        <w:t>2、拟派项目负责人：拟派项目负责人须具备公路工程专业二级以上注册建造师资格及交通运输主管部门颁发的《安全生产考核合格证书》(B级),且在本单位注册，无在建项目；</w:t>
      </w:r>
    </w:p>
    <w:p>
      <w:pPr>
        <w:pStyle w:val="null3"/>
      </w:pPr>
      <w:r>
        <w:rPr>
          <w:rFonts w:ascii="仿宋_GB2312" w:hAnsi="仿宋_GB2312" w:cs="仿宋_GB2312" w:eastAsia="仿宋_GB2312"/>
        </w:rPr>
        <w:t>3、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西安市高陵区农村公路管理站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西安市高陵区鹿歌路131号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王国辉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029-86913262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陕西建基建设工程项目管理有限公司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西安市经济技术开发区凤城七路北侧明丰国际905室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郭荣娟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029-83660094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采购包1：1,101,300.00元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印发的《招标代理服务收费管理暂行办法》（计价格〔2002〕1980号）和国家发展和改革委员会办公厅印发的《关于招标代理服务收费有关问题的通知》（发改办价格〔2003〕857号）的有关规定下浮20%计取。成交供应商在领取成交通知书前，须向采购代理机构一次性支付招标代理服务费。 户 名：陕西建基建设工程项目管理有限公司 开户行：中国建设银行股份有限公司西安长庆支行 账 号：61050190550000001012 注：转账需备注xxxx项目+代理服务费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西安市高陵区农村公路管理站</w:t>
      </w:r>
      <w:r>
        <w:rPr>
          <w:rFonts w:ascii="仿宋_GB2312" w:hAnsi="仿宋_GB2312" w:cs="仿宋_GB2312" w:eastAsia="仿宋_GB2312"/>
        </w:rPr>
        <w:t>和</w:t>
      </w:r>
      <w:r>
        <w:rPr>
          <w:rFonts w:ascii="仿宋_GB2312" w:hAnsi="仿宋_GB2312" w:cs="仿宋_GB2312" w:eastAsia="仿宋_GB2312"/>
        </w:rPr>
        <w:t>陕西建基建设工程项目管理有限公司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西安市高陵区农村公路管理站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陕西建基建设工程项目管理有限公司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西安市高陵区农村公路管理站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陕西建基建设工程项目管理有限公司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陕西建基建设工程项目管理有限公司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陕西建基建设工程项目管理有限公司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陕西建基建设工程项目管理有限公司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联系人：郭荣娟</w:t>
      </w:r>
    </w:p>
    <w:p>
      <w:pPr>
        <w:pStyle w:val="null3"/>
      </w:pPr>
      <w:r>
        <w:rPr>
          <w:rFonts w:ascii="仿宋_GB2312" w:hAnsi="仿宋_GB2312" w:cs="仿宋_GB2312" w:eastAsia="仿宋_GB2312"/>
        </w:rPr>
        <w:t>联系电话：029-83660094</w:t>
      </w:r>
    </w:p>
    <w:p>
      <w:pPr>
        <w:pStyle w:val="null3"/>
      </w:pPr>
      <w:r>
        <w:rPr>
          <w:rFonts w:ascii="仿宋_GB2312" w:hAnsi="仿宋_GB2312" w:cs="仿宋_GB2312" w:eastAsia="仿宋_GB2312"/>
        </w:rPr>
        <w:t>地址：西安市经济技术开发区凤城七路北侧明丰国际905室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1,101,300.00</w:t>
      </w:r>
    </w:p>
    <w:p>
      <w:pPr>
        <w:pStyle w:val="null3"/>
      </w:pPr>
      <w:r>
        <w:rPr>
          <w:rFonts w:ascii="仿宋_GB2312" w:hAnsi="仿宋_GB2312" w:cs="仿宋_GB2312" w:eastAsia="仿宋_GB2312"/>
        </w:rPr>
        <w:t>采购包最高限价（元）: 1,101,300.00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高陵区旅游大道(渭阳九路至高泾路)重大安全隐患整治工程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1,101,300.00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标的名称：高陵区旅游大道(渭阳九路至高泾路)重大安全隐患整治工程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6"/>
              </w:rPr>
              <w:t>采购需求：技术要求及工程量清单详见附件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rPr>
              <w:t>工期：自进场之日起90个日历日内竣工。</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8"/>
              </w:rPr>
              <w:t>施工地点：西安市高陵区旅游大道(渭阳九路至高泾路)</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18"/>
              </w:rPr>
              <w:t>其他要求：建筑工程一切险按照工程量清单第100章（不含工程一切险和第三者责任险的保费）至第700章合计金额的3.5‰计入，第三者责任险按照工程量清单第100章（不含工程一切险和第三者责任险的保费）至第700章合计金额的0.5‰计入；安全生产费按照按最高投标限价的1.5%计入第100章。</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磋商报价：本项目磋商由采购人提供书面工程量清单，供应商应认真填写工程量清单中所列的本合同各工程细目的单价、合价和总额价。供应商没有填入单价和合价的工程细目，业主将不予支付，并认为该细目的价款已包含在工程量清单其他细目的单价和合价中。供应商在工程量清单中多报的细目或单价、合价，业主将其视为重大偏差，其投标将被拒绝。供应商如果发现工程量清单中的数量与图纸中数量不一致时，应立即通知采购人核查，除非采购人以书面方式予以更正，否则，应以工程量清单中列出的数量为准。供应商应根据《公路水运工程安全生产监督管理办法》，在投标总价中计入安全生产费用，安全生产费用应符合《公路工程标准施工招标文件》（2018年版）合同条款第9．2．5项的规定。工程量清单l00章内列有上述安全生产费的支付子目，由供应商按磋商文件的规定填写总额价。采购人不接受调价函。若出现将视其为重大偏差，其投标将被拒绝。在合同实施期间，供应商确认的单价将不予调整。包括了实施和完成合同工程所需的劳务、材料、机械、质检（自检）、安装、缺陷修复、管理、保险、税费、利润等费用，以及合同明示或暗示的所有责任、义务和一般风险。工程一切险、第三者责任险、承包人职工的人身事故险等由承包人自行投保。以上保险费由承包人承担并支付，并包含在所报的单价或合价中，不单独报价。建设环境协调及临时用地由承包人自行解决。建设环境协调及临时用地租用费（含拆迁补偿）由承包人承担，并包含在所报的单价和合价中，不单独报价。《公路工程标准施工招标文件》（2018年版）第100章的内容包含在所报的单价或合价中不单独支付。 2、严格按国家有关规定做到文明施工，规范施工，严格把好各道施工工序的质量，确保工程质量，并按要求如期完成工程建设，编制施工组织设计方案，确保工程按时优质完成，编制总进度计划，合理安排劳动力、物力、财力，尽量做到综合平衡配套施工，确保工程顺利完成。 3、磋商小组认为投标供应商的报价明显低于其他通过符合性审查投标供应商的报价，有可能影响服务质量或者不能诚信履约的，应当要求其在评审现场合理的时间内提供书面说明，必要时提交相关书面证明材料；投标供应商不能证明其报价合理的，磋商小组应当将其作为无效响应处理。 4、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5、采购标的对应的中小企业划分标准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中小企业声明函.docx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供应商须同时具备公路工程施工总承包三级及以上或公路养护专业二类乙级及以上资质或具备路基路面养护乙级及以上资质及交通安全设施养护资质，具有有效的安全生产许可证；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拟派项目负责人须具备公路工程专业二级以上注册建造师资格及交通运输主管部门颁发的《安全生产考核合格证书》(B级),且在本单位注册，无在建项目；</w:t>
            </w:r>
          </w:p>
        </w:tc>
        <w:tc>
          <w:tcPr>
            <w:tcW w:type="dxa" w:w="1661"/>
          </w:tcPr>
          <w:p>
            <w:pPr>
              <w:pStyle w:val="null3"/>
            </w:pPr>
            <w:r>
              <w:rPr>
                <w:rFonts w:ascii="仿宋_GB2312" w:hAnsi="仿宋_GB2312" w:cs="仿宋_GB2312" w:eastAsia="仿宋_GB2312"/>
              </w:rPr>
              <w:t>供应商应提交的相关资格证明材料.docx 项目管理机构组成表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有可能影响工程质量或者不能诚信履约的，碰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报价函 标的清单 响应函 磋商报价一览表.docx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技术方案.docx 已标价工程量清单 中小企业声明函.docx 供应商类似项目业绩一览表.docx 供应商承诺书.docx 响应文件封面 供应商应提交的相关资格证明材料.docx 项目管理机构组成表 报价函 技术和商务偏离表.docx 标的清单 响应函 磋商报价一览表.docx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技术方案.docx 已标价工程量清单 中小企业声明函.docx 供应商类似项目业绩一览表.docx 供应商承诺书.docx 响应文件封面 供应商应提交的相关资格证明材料.docx 项目管理机构组成表 报价函 技术和商务偏离表.docx 标的清单 响应函 磋商报价一览表.docx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磋商报价一览表.docx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 响应函 磋商报价一览表.docx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技术和商务偏离表.docx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技术和商务偏离表.docx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提供土方清运总体方案，包括但不限于：①施工准备阶段方案；②路基、路面、安全设施及预埋管线施工工艺及方法；③重点、难点工程分析及解决措施；④施工过程管理方案；⑤影响正常施工外在因素分析及对应急预案等方案。各部分内容全面详细、阐述条理清晰详尽符合本项需求得10分；以上评审内容每缺一项扣2分；评审内容有缺陷（缺陷是指：内容粗略、逻辑混乱、描述过于简单、与项目特点不匹配、凭空编造、逻辑漏洞、出现常识性错误、存在不适用项目实际情况的情形或只有标题 没有实质性内容等）的扣0.1-1.9分。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施工部署与进度计划内容至少包括①施工总平面布置；②进度安排计划；③工期目标控制和保证措施。方案各部分内容全面详细、阐述条理清晰详尽符合本项需求得6分；以上评审内容每缺一项扣2分；评审内容有缺陷（缺陷是指：内容粗略、逻辑混乱、描述过于简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技术和商务偏离表.docx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工程质量的技术组织措施内容至少包括①质量管理工作流程；②工程质量保障方案；③工程质量控制体系。方案各部分内容全面详细、阐述条理清晰详尽符合本项需求得6分；以上评审内容每缺一项扣2分；评审内容 有缺陷（缺陷是指：内容粗略、逻辑混乱、描述过于简单、与项目特点不匹配、凭空编造、逻辑漏洞、出现常识性错误、存在不适用项目实际情况的情形或只有标题 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安全生产技术组织措施内容至少包括①安全生产管理制度；②配置安全组织机构；③安全隐患排查、整改制度；④应急救援机制；⑤人身意外伤害保障措施及安全事故善 后承诺等。方案各部分内容全面详细、阐述条理清晰详尽符合本项需求得10分； 以上评审内容每缺一项扣2分；评审内容 有缺陷（缺陷是指：内容粗略、逻辑混乱、描述过于简单、与项目特点不匹配、凭空编造、逻辑漏洞、出现常识性错误、存在不适用项目实际情况的情形或只有标题 没有实质性内容等）的扣0.1-1.9分。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施工环境保护组织措施</w:t>
            </w:r>
          </w:p>
        </w:tc>
        <w:tc>
          <w:tcPr>
            <w:tcW w:type="dxa" w:w="2492"/>
          </w:tcPr>
          <w:p>
            <w:pPr>
              <w:pStyle w:val="null3"/>
            </w:pPr>
            <w:r>
              <w:rPr>
                <w:rFonts w:ascii="仿宋_GB2312" w:hAnsi="仿宋_GB2312" w:cs="仿宋_GB2312" w:eastAsia="仿宋_GB2312"/>
              </w:rPr>
              <w:t>施工环境保护组织措施内容至少包括①环境保护管理制度；②防尘降噪措施；③减排措施；④现场施工扬尘环境治理管理措施施工监督检查机制等。方案各部分内容全面详细、阐述条理清晰详尽符合本项需求得8分；以上评审内容每缺一项扣2分；评审内容有缺陷（缺陷是指：内容粗略、逻辑混乱、描述过于简单、与项目特点不匹配、凭空编造、逻辑漏洞、出现常识性错误、存在不适用项目实际情况的情形或只有标题没有实质性内容等）的扣0.1-0.9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技术和商务偏离表.docx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和项目管理机构内容至少包括①项目管理机构图；②岗位安排及职责；③管理制度；④相应的协调措施等。方案各部分内容全面详细、阐述条理清晰详尽符合本项需求得8分；以上评审内容每缺一项扣2分；评审内容有缺陷（缺陷是指：内容粗略、逻辑混乱、描述过于简单、与项目特点不匹配、凭空编造、逻辑漏洞、出现常识性错误、存在不适用项目实际情况的情形或只有标题没有实质性内容等）的扣0.1-0.9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施工机械配置</w:t>
            </w:r>
          </w:p>
        </w:tc>
        <w:tc>
          <w:tcPr>
            <w:tcW w:type="dxa" w:w="2492"/>
          </w:tcPr>
          <w:p>
            <w:pPr>
              <w:pStyle w:val="null3"/>
            </w:pPr>
            <w:r>
              <w:rPr>
                <w:rFonts w:ascii="仿宋_GB2312" w:hAnsi="仿宋_GB2312" w:cs="仿宋_GB2312" w:eastAsia="仿宋_GB2312"/>
              </w:rPr>
              <w:t>施工机械配置内容至少包括①施工机械配置计划；②施工机械的维护保养；③施工机械贮存；④施工机械监督和检查。方案各部分内容全面详细、阐述条理清晰详尽符合本项需求得8分；以上评审内容每缺一项扣2分；评审内容 有缺陷（缺陷是指：内容粗略、逻辑混乱、描述过于简单、与项目特点不匹配、凭空编造、逻辑漏洞、出现常识性错误、存在不适用项目实际情况的情形或只有标题没有实质性内容等）的扣0.1-1.9分。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针对本项目提供应急预案，包括但不限于①突发事件处理；②恶劣天气影响；③设施设备维修等 方案各部分内容全面详细、阐述条理清晰详尽符合本项需求得6分；以上评审内容每缺一项扣2分；评审内容 有缺陷（缺陷是指：内容粗略、逻辑混乱、描述过于简单、与项目特点不匹配、凭空编造、逻辑漏洞、出现常识性错误、存在不适用项目实际情况的情形或只有标题没有实质性内容等）的扣0.1-1.9分。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承诺，包括但不限于①服务周期承诺；②服务质量承诺等方案各部分内容全面详细、阐述条理清晰详尽符合本项需求得4分；以上评审内容每缺一项扣2分；评审内容有缺陷（缺陷是指：内容粗略、逻辑混乱、描述过于简单、与项目特点不匹配、凭空编造、逻辑漏洞、出现 常识性错误、存在不适用项目实际情况的情形或只有标题没有实质性内容等）的扣0.1-0.9分。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供应商具有2021年01月01日至今（以合同签订时间为准）类似项目业绩，磋商文件中提供合同复印件加盖公章,每提供一个计2分，满分4分。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磋商报价一览表.docx</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