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DAC05">
      <w:pPr>
        <w:pStyle w:val="9"/>
        <w:jc w:val="center"/>
        <w:outlineLvl w:val="1"/>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b/>
          <w:sz w:val="36"/>
          <w:highlight w:val="none"/>
        </w:rPr>
        <w:t>第八章 拟签订采购合同文本</w:t>
      </w:r>
    </w:p>
    <w:p w14:paraId="4A75B5A2">
      <w:pPr>
        <w:pStyle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详见附件：拟签订采购合同文本.docx</w:t>
      </w:r>
    </w:p>
    <w:p w14:paraId="6E693E24">
      <w:pPr>
        <w:pStyle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 xml:space="preserve"> </w:t>
      </w:r>
      <w:r>
        <w:rPr>
          <w:rFonts w:hint="eastAsia" w:asciiTheme="majorEastAsia" w:hAnsiTheme="majorEastAsia" w:eastAsiaTheme="majorEastAsia" w:cstheme="majorEastAsia"/>
          <w:highlight w:val="none"/>
        </w:rPr>
        <w:br w:type="textWrapping"/>
      </w:r>
      <w:r>
        <w:rPr>
          <w:rFonts w:hint="eastAsia" w:asciiTheme="majorEastAsia" w:hAnsiTheme="majorEastAsia" w:eastAsiaTheme="majorEastAsia" w:cstheme="majorEastAsia"/>
          <w:highlight w:val="none"/>
        </w:rPr>
        <w:br w:type="page"/>
      </w:r>
    </w:p>
    <w:p w14:paraId="7760CB13">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27D71498">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701B47ED">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2007FAA8">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57739F96">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7FB95D23">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4053CA09">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1E5A9939">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6EC7E2C7">
      <w:pPr>
        <w:keepNext/>
        <w:keepLines/>
        <w:spacing w:before="120" w:after="120" w:line="560" w:lineRule="exact"/>
        <w:jc w:val="center"/>
        <w:outlineLvl w:val="9"/>
        <w:rPr>
          <w:rFonts w:hint="eastAsia" w:asciiTheme="majorEastAsia" w:hAnsiTheme="majorEastAsia" w:eastAsiaTheme="majorEastAsia" w:cstheme="majorEastAsia"/>
          <w:b/>
          <w:kern w:val="44"/>
          <w:sz w:val="52"/>
          <w:szCs w:val="52"/>
          <w:highlight w:val="none"/>
        </w:rPr>
      </w:pPr>
    </w:p>
    <w:p w14:paraId="6C0663F0">
      <w:pPr>
        <w:keepNext/>
        <w:keepLines/>
        <w:spacing w:before="120" w:after="120" w:line="560" w:lineRule="exact"/>
        <w:jc w:val="center"/>
        <w:outlineLvl w:val="0"/>
        <w:rPr>
          <w:rFonts w:hint="eastAsia" w:asciiTheme="majorEastAsia" w:hAnsiTheme="majorEastAsia" w:eastAsiaTheme="majorEastAsia" w:cstheme="majorEastAsia"/>
          <w:b/>
          <w:kern w:val="44"/>
          <w:sz w:val="52"/>
          <w:szCs w:val="52"/>
          <w:highlight w:val="none"/>
        </w:rPr>
      </w:pPr>
      <w:r>
        <w:rPr>
          <w:rFonts w:hint="eastAsia" w:asciiTheme="majorEastAsia" w:hAnsiTheme="majorEastAsia" w:eastAsiaTheme="majorEastAsia" w:cstheme="majorEastAsia"/>
          <w:b/>
          <w:kern w:val="44"/>
          <w:sz w:val="52"/>
          <w:szCs w:val="52"/>
          <w:highlight w:val="none"/>
        </w:rPr>
        <w:t>合同条款及格式</w:t>
      </w:r>
    </w:p>
    <w:p w14:paraId="16217A87">
      <w:pPr>
        <w:spacing w:line="560" w:lineRule="exact"/>
        <w:outlineLvl w:val="9"/>
        <w:rPr>
          <w:rFonts w:hint="eastAsia" w:asciiTheme="majorEastAsia" w:hAnsiTheme="majorEastAsia" w:eastAsiaTheme="majorEastAsia" w:cstheme="majorEastAsia"/>
          <w:szCs w:val="24"/>
          <w:highlight w:val="none"/>
        </w:rPr>
      </w:pPr>
      <w:bookmarkStart w:id="0" w:name="_Toc234382684"/>
      <w:r>
        <w:rPr>
          <w:rFonts w:hint="eastAsia" w:asciiTheme="majorEastAsia" w:hAnsiTheme="majorEastAsia" w:eastAsiaTheme="majorEastAsia" w:cstheme="majorEastAsia"/>
          <w:szCs w:val="24"/>
          <w:highlight w:val="none"/>
          <w:lang w:val="en-US" w:eastAsia="zh-CN"/>
        </w:rPr>
        <w:t xml:space="preserve">  </w:t>
      </w:r>
      <w:r>
        <w:rPr>
          <w:rFonts w:hint="eastAsia" w:asciiTheme="majorEastAsia" w:hAnsiTheme="majorEastAsia" w:eastAsiaTheme="majorEastAsia" w:cstheme="majorEastAsia"/>
          <w:szCs w:val="24"/>
          <w:highlight w:val="none"/>
        </w:rPr>
        <w:br w:type="page"/>
      </w:r>
      <w:bookmarkStart w:id="1" w:name="_Toc309285393"/>
      <w:bookmarkStart w:id="2" w:name="_Toc261157048"/>
      <w:bookmarkStart w:id="3" w:name="_Toc270597587"/>
      <w:bookmarkStart w:id="4" w:name="_Toc270598476"/>
      <w:bookmarkStart w:id="5" w:name="_Toc261855421"/>
      <w:bookmarkStart w:id="6" w:name="_Toc309282285"/>
      <w:bookmarkStart w:id="7" w:name="_Toc261855131"/>
      <w:bookmarkStart w:id="8" w:name="_Toc261166359"/>
      <w:bookmarkStart w:id="9" w:name="_Toc309285880"/>
      <w:bookmarkStart w:id="10" w:name="_Toc261164915"/>
      <w:bookmarkStart w:id="11" w:name="_Toc271621020"/>
      <w:bookmarkStart w:id="12" w:name="_Toc309285637"/>
      <w:bookmarkStart w:id="13" w:name="_Toc271613162"/>
      <w:bookmarkStart w:id="14" w:name="_Toc261595354"/>
      <w:bookmarkStart w:id="15" w:name="_Toc261854546"/>
      <w:bookmarkStart w:id="16" w:name="_Toc309282713"/>
      <w:bookmarkStart w:id="17" w:name="_Toc261853871"/>
      <w:bookmarkStart w:id="18" w:name="_Toc261792905"/>
      <w:bookmarkStart w:id="19" w:name="_Toc380494385"/>
      <w:bookmarkStart w:id="20" w:name="_Toc261854178"/>
      <w:bookmarkStart w:id="21" w:name="_Toc261599304"/>
      <w:bookmarkStart w:id="22" w:name="_Toc261165675"/>
      <w:bookmarkStart w:id="23" w:name="_Toc261594132"/>
      <w:bookmarkStart w:id="24" w:name="_Toc270597888"/>
      <w:bookmarkStart w:id="25" w:name="_Toc270598184"/>
      <w:bookmarkStart w:id="26" w:name="_Toc271550471"/>
      <w:bookmarkStart w:id="27" w:name="_Toc261854840"/>
      <w:bookmarkStart w:id="28" w:name="_Toc261165415"/>
    </w:p>
    <w:p w14:paraId="13F5BEB8">
      <w:pPr>
        <w:spacing w:line="560" w:lineRule="exact"/>
        <w:outlineLvl w:val="9"/>
        <w:rPr>
          <w:rFonts w:hint="eastAsia" w:asciiTheme="majorEastAsia" w:hAnsiTheme="majorEastAsia" w:eastAsiaTheme="majorEastAsia" w:cstheme="majorEastAsia"/>
          <w:szCs w:val="24"/>
          <w:highlight w:val="none"/>
        </w:rPr>
      </w:pPr>
    </w:p>
    <w:p w14:paraId="32E564F0">
      <w:pPr>
        <w:spacing w:line="560" w:lineRule="exact"/>
        <w:outlineLvl w:val="9"/>
        <w:rPr>
          <w:rFonts w:hint="eastAsia" w:asciiTheme="majorEastAsia" w:hAnsiTheme="majorEastAsia" w:eastAsiaTheme="majorEastAsia" w:cstheme="majorEastAsia"/>
          <w:szCs w:val="24"/>
          <w:highlight w:val="none"/>
        </w:rPr>
      </w:pPr>
    </w:p>
    <w:p w14:paraId="47A0F5FF">
      <w:pPr>
        <w:spacing w:line="560" w:lineRule="exact"/>
        <w:outlineLvl w:val="9"/>
        <w:rPr>
          <w:rFonts w:hint="eastAsia" w:asciiTheme="majorEastAsia" w:hAnsiTheme="majorEastAsia" w:eastAsiaTheme="majorEastAsia" w:cstheme="majorEastAsia"/>
          <w:szCs w:val="24"/>
          <w:highlight w:val="none"/>
        </w:rPr>
      </w:pPr>
    </w:p>
    <w:p w14:paraId="69E63570">
      <w:pPr>
        <w:keepNext/>
        <w:keepLines/>
        <w:spacing w:line="360" w:lineRule="auto"/>
        <w:jc w:val="center"/>
        <w:outlineLvl w:val="1"/>
        <w:rPr>
          <w:rFonts w:hint="eastAsia" w:asciiTheme="majorEastAsia" w:hAnsiTheme="majorEastAsia" w:eastAsiaTheme="majorEastAsia" w:cstheme="majorEastAsia"/>
          <w:b/>
          <w:bCs/>
          <w:sz w:val="36"/>
          <w:szCs w:val="36"/>
          <w:highlight w:val="none"/>
        </w:rPr>
      </w:pPr>
      <w:bookmarkStart w:id="29" w:name="_Toc6204"/>
      <w:bookmarkStart w:id="30" w:name="_Toc511982462"/>
      <w:r>
        <w:rPr>
          <w:rFonts w:hint="eastAsia" w:asciiTheme="majorEastAsia" w:hAnsiTheme="majorEastAsia" w:eastAsiaTheme="majorEastAsia" w:cstheme="majorEastAsia"/>
          <w:b/>
          <w:bCs/>
          <w:sz w:val="36"/>
          <w:szCs w:val="36"/>
          <w:highlight w:val="none"/>
        </w:rPr>
        <w:t>第一节 通用合同条款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23EB2EE">
      <w:pPr>
        <w:spacing w:before="240" w:line="560" w:lineRule="exact"/>
        <w:jc w:val="center"/>
        <w:outlineLvl w:val="9"/>
        <w:rPr>
          <w:rFonts w:hint="eastAsia"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通用合同条款</w:t>
      </w:r>
    </w:p>
    <w:p w14:paraId="2F1B7252">
      <w:pPr>
        <w:spacing w:before="240" w:line="560" w:lineRule="exact"/>
        <w:jc w:val="center"/>
        <w:outlineLvl w:val="9"/>
        <w:rPr>
          <w:rFonts w:hint="eastAsia" w:asciiTheme="majorEastAsia" w:hAnsiTheme="majorEastAsia" w:eastAsiaTheme="majorEastAsia" w:cstheme="majorEastAsia"/>
          <w:b/>
          <w:bCs/>
          <w:sz w:val="28"/>
          <w:szCs w:val="28"/>
          <w:highlight w:val="none"/>
        </w:rPr>
      </w:pPr>
      <w:r>
        <w:rPr>
          <w:rFonts w:hint="eastAsia" w:asciiTheme="majorEastAsia" w:hAnsiTheme="majorEastAsia" w:eastAsiaTheme="majorEastAsia" w:cstheme="majorEastAsia"/>
          <w:b/>
          <w:bCs/>
          <w:sz w:val="28"/>
          <w:szCs w:val="28"/>
          <w:highlight w:val="none"/>
        </w:rPr>
        <w:t>（详见公路工程标准施工招标文件2018年版</w:t>
      </w:r>
      <w:r>
        <w:rPr>
          <w:rFonts w:hint="eastAsia" w:asciiTheme="majorEastAsia" w:hAnsiTheme="majorEastAsia" w:eastAsiaTheme="majorEastAsia" w:cstheme="majorEastAsia"/>
          <w:b/>
          <w:bCs/>
          <w:sz w:val="24"/>
          <w:szCs w:val="24"/>
          <w:highlight w:val="none"/>
        </w:rPr>
        <w:t>·</w:t>
      </w:r>
      <w:r>
        <w:rPr>
          <w:rFonts w:hint="eastAsia" w:asciiTheme="majorEastAsia" w:hAnsiTheme="majorEastAsia" w:eastAsiaTheme="majorEastAsia" w:cstheme="majorEastAsia"/>
          <w:b/>
          <w:bCs/>
          <w:sz w:val="28"/>
          <w:szCs w:val="28"/>
          <w:highlight w:val="none"/>
        </w:rPr>
        <w:t>第一册）</w:t>
      </w:r>
    </w:p>
    <w:p w14:paraId="000A586E">
      <w:pPr>
        <w:spacing w:line="560" w:lineRule="exact"/>
        <w:outlineLvl w:val="9"/>
        <w:rPr>
          <w:rFonts w:hint="eastAsia" w:asciiTheme="majorEastAsia" w:hAnsiTheme="majorEastAsia" w:eastAsiaTheme="majorEastAsia" w:cstheme="majorEastAsia"/>
          <w:sz w:val="24"/>
          <w:szCs w:val="24"/>
          <w:highlight w:val="none"/>
        </w:rPr>
      </w:pPr>
    </w:p>
    <w:p w14:paraId="4C513A49">
      <w:pPr>
        <w:keepNext/>
        <w:keepLines/>
        <w:spacing w:line="360" w:lineRule="auto"/>
        <w:jc w:val="center"/>
        <w:outlineLvl w:val="1"/>
        <w:rPr>
          <w:rFonts w:hint="eastAsia" w:asciiTheme="majorEastAsia" w:hAnsiTheme="majorEastAsia" w:eastAsiaTheme="majorEastAsia" w:cstheme="majorEastAsia"/>
          <w:b/>
          <w:bCs/>
          <w:sz w:val="36"/>
          <w:szCs w:val="36"/>
          <w:highlight w:val="none"/>
        </w:rPr>
      </w:pPr>
      <w:bookmarkStart w:id="31" w:name="_Toc184635122"/>
      <w:bookmarkStart w:id="32" w:name="_Toc238955086"/>
      <w:bookmarkStart w:id="33" w:name="_Toc238956183"/>
      <w:bookmarkStart w:id="34" w:name="_Toc237332761"/>
      <w:bookmarkStart w:id="35" w:name="_Toc261165677"/>
      <w:bookmarkStart w:id="36" w:name="_Toc270598186"/>
      <w:bookmarkStart w:id="37" w:name="_Toc270598478"/>
      <w:bookmarkStart w:id="38" w:name="_Toc271550473"/>
      <w:bookmarkStart w:id="39" w:name="_Toc261166361"/>
      <w:bookmarkStart w:id="40" w:name="_Toc309285882"/>
      <w:bookmarkStart w:id="41" w:name="_Toc261853873"/>
      <w:bookmarkStart w:id="42" w:name="_Toc261855133"/>
      <w:bookmarkStart w:id="43" w:name="_Toc270597589"/>
      <w:bookmarkStart w:id="44" w:name="_Toc309285639"/>
      <w:bookmarkStart w:id="45" w:name="_Toc261854842"/>
      <w:bookmarkStart w:id="46" w:name="_Toc261594134"/>
      <w:bookmarkStart w:id="47" w:name="_Toc271613164"/>
      <w:bookmarkStart w:id="48" w:name="_Toc309282287"/>
      <w:bookmarkStart w:id="49" w:name="_Toc270597890"/>
      <w:bookmarkStart w:id="50" w:name="_Toc261164917"/>
      <w:bookmarkStart w:id="51" w:name="_Toc271621022"/>
      <w:bookmarkStart w:id="52" w:name="_Toc380494387"/>
      <w:bookmarkStart w:id="53" w:name="_Toc261855423"/>
      <w:bookmarkStart w:id="54" w:name="_Toc234382841"/>
      <w:bookmarkStart w:id="55" w:name="_Toc261157050"/>
      <w:bookmarkStart w:id="56" w:name="_Toc309285395"/>
      <w:bookmarkStart w:id="57" w:name="_Toc261854548"/>
      <w:bookmarkStart w:id="58" w:name="_Toc261854180"/>
      <w:bookmarkStart w:id="59" w:name="_Toc261595356"/>
      <w:bookmarkStart w:id="60" w:name="_Toc309282715"/>
      <w:bookmarkStart w:id="61" w:name="_Toc261165417"/>
      <w:r>
        <w:rPr>
          <w:rFonts w:hint="eastAsia" w:asciiTheme="majorEastAsia" w:hAnsiTheme="majorEastAsia" w:eastAsiaTheme="majorEastAsia" w:cstheme="majorEastAsia"/>
          <w:sz w:val="24"/>
          <w:szCs w:val="24"/>
          <w:highlight w:val="none"/>
        </w:rPr>
        <w:br w:type="page"/>
      </w:r>
      <w:bookmarkStart w:id="62" w:name="_Toc511982463"/>
      <w:bookmarkStart w:id="63" w:name="_Toc32266"/>
      <w:r>
        <w:rPr>
          <w:rFonts w:hint="eastAsia" w:asciiTheme="majorEastAsia" w:hAnsiTheme="majorEastAsia" w:eastAsiaTheme="majorEastAsia" w:cstheme="majorEastAsia"/>
          <w:b/>
          <w:bCs/>
          <w:sz w:val="36"/>
          <w:szCs w:val="36"/>
          <w:highlight w:val="none"/>
        </w:rPr>
        <w:t>第二节 专用合同条款</w:t>
      </w:r>
      <w:bookmarkEnd w:id="31"/>
      <w:bookmarkEnd w:id="32"/>
      <w:bookmarkEnd w:id="33"/>
      <w:bookmarkEnd w:id="34"/>
      <w:bookmarkEnd w:id="62"/>
      <w:bookmarkEnd w:id="63"/>
    </w:p>
    <w:p w14:paraId="4F41CD10">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A.公路工程专用合同条款</w:t>
      </w:r>
    </w:p>
    <w:p w14:paraId="7041D534">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“公路工程专用合同条款”采用《公路工程标准施工招标文件》（2018年版·第一册）的“公路工程专用合同条款”。</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6CC1E43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B.项目专用合同条款</w:t>
      </w:r>
    </w:p>
    <w:p w14:paraId="225E0DF7">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项目专用合同条款数据表</w:t>
      </w:r>
    </w:p>
    <w:p w14:paraId="0CFD0C6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Theme="majorEastAsia" w:hAnsiTheme="majorEastAsia" w:eastAsiaTheme="majorEastAsia" w:cstheme="majorEastAsia"/>
          <w:b/>
          <w:sz w:val="24"/>
          <w:szCs w:val="24"/>
          <w:highlight w:val="none"/>
        </w:rPr>
      </w:pPr>
      <w:r>
        <w:rPr>
          <w:rFonts w:hint="eastAsia" w:asciiTheme="majorEastAsia" w:hAnsiTheme="majorEastAsia" w:eastAsiaTheme="majorEastAsia" w:cstheme="majorEastAsia"/>
          <w:b/>
          <w:sz w:val="24"/>
          <w:szCs w:val="24"/>
          <w:highlight w:val="none"/>
        </w:rPr>
        <w:t>项目专用条款数据表</w:t>
      </w:r>
    </w:p>
    <w:p w14:paraId="105A1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ajorEastAsia" w:hAnsiTheme="majorEastAsia" w:eastAsiaTheme="majorEastAsia" w:cstheme="majorEastAsia"/>
          <w:b/>
          <w:sz w:val="24"/>
          <w:szCs w:val="24"/>
          <w:highlight w:val="none"/>
        </w:rPr>
      </w:pPr>
      <w:r>
        <w:rPr>
          <w:rFonts w:hint="eastAsia" w:asciiTheme="majorEastAsia" w:hAnsiTheme="majorEastAsia" w:eastAsiaTheme="majorEastAsia" w:cstheme="majorEastAsia"/>
          <w:b/>
          <w:sz w:val="24"/>
          <w:szCs w:val="24"/>
          <w:highlight w:val="none"/>
          <w:lang w:bidi="zh-CN"/>
        </w:rPr>
        <w:t>说明：</w:t>
      </w:r>
      <w:r>
        <w:rPr>
          <w:rFonts w:hint="eastAsia" w:asciiTheme="majorEastAsia" w:hAnsiTheme="majorEastAsia" w:eastAsiaTheme="majorEastAsia" w:cstheme="majorEastAsia"/>
          <w:sz w:val="24"/>
          <w:szCs w:val="24"/>
          <w:highlight w:val="none"/>
          <w:lang w:bidi="zh-CN"/>
        </w:rPr>
        <w:t>本数据表是项目专用合同条款中适用于本项目的信息和数据的归纳与提示，是项目专用合同条款的组成部分。第九章“投标文件格式”的投标函附录中的数据（供投标人确认）与本表所列有重复。编写</w:t>
      </w:r>
      <w:r>
        <w:rPr>
          <w:rFonts w:hint="eastAsia" w:asciiTheme="majorEastAsia" w:hAnsiTheme="majorEastAsia" w:eastAsiaTheme="majorEastAsia" w:cstheme="majorEastAsia"/>
          <w:sz w:val="24"/>
          <w:szCs w:val="24"/>
          <w:highlight w:val="none"/>
          <w:lang w:eastAsia="zh-CN" w:bidi="zh-CN"/>
        </w:rPr>
        <w:t>投标</w:t>
      </w:r>
      <w:r>
        <w:rPr>
          <w:rFonts w:hint="eastAsia" w:asciiTheme="majorEastAsia" w:hAnsiTheme="majorEastAsia" w:eastAsiaTheme="majorEastAsia" w:cstheme="majorEastAsia"/>
          <w:sz w:val="24"/>
          <w:szCs w:val="24"/>
          <w:highlight w:val="none"/>
          <w:lang w:bidi="zh-CN"/>
        </w:rPr>
        <w:t>文件的单位应仔细校核，不使数据出现差错或不一致。</w:t>
      </w:r>
    </w:p>
    <w:tbl>
      <w:tblPr>
        <w:tblStyle w:val="7"/>
        <w:tblW w:w="9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106"/>
        <w:gridCol w:w="7732"/>
        <w:gridCol w:w="13"/>
      </w:tblGrid>
      <w:tr w14:paraId="10573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5D708FF5">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b/>
                <w:sz w:val="24"/>
                <w:szCs w:val="24"/>
                <w:highlight w:val="none"/>
              </w:rPr>
            </w:pPr>
            <w:bookmarkStart w:id="64" w:name="OLE_LINK17"/>
            <w:r>
              <w:rPr>
                <w:rFonts w:hint="eastAsia" w:asciiTheme="majorEastAsia" w:hAnsiTheme="majorEastAsia" w:eastAsiaTheme="majorEastAsia" w:cstheme="majorEastAsia"/>
                <w:b/>
                <w:sz w:val="24"/>
                <w:szCs w:val="24"/>
                <w:highlight w:val="none"/>
              </w:rPr>
              <w:t>序号</w:t>
            </w:r>
          </w:p>
        </w:tc>
        <w:tc>
          <w:tcPr>
            <w:tcW w:w="1106" w:type="dxa"/>
            <w:noWrap w:val="0"/>
            <w:vAlign w:val="center"/>
          </w:tcPr>
          <w:p w14:paraId="2E74599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b/>
                <w:sz w:val="24"/>
                <w:szCs w:val="24"/>
                <w:highlight w:val="none"/>
              </w:rPr>
            </w:pPr>
            <w:r>
              <w:rPr>
                <w:rFonts w:hint="eastAsia" w:asciiTheme="majorEastAsia" w:hAnsiTheme="majorEastAsia" w:eastAsiaTheme="majorEastAsia" w:cstheme="majorEastAsia"/>
                <w:b/>
                <w:sz w:val="24"/>
                <w:szCs w:val="24"/>
                <w:highlight w:val="none"/>
              </w:rPr>
              <w:t>条目号</w:t>
            </w:r>
          </w:p>
        </w:tc>
        <w:tc>
          <w:tcPr>
            <w:tcW w:w="7732" w:type="dxa"/>
            <w:noWrap w:val="0"/>
            <w:vAlign w:val="center"/>
          </w:tcPr>
          <w:p w14:paraId="79A47995">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b/>
                <w:sz w:val="24"/>
                <w:szCs w:val="24"/>
                <w:highlight w:val="none"/>
              </w:rPr>
            </w:pPr>
            <w:r>
              <w:rPr>
                <w:rFonts w:hint="eastAsia" w:asciiTheme="majorEastAsia" w:hAnsiTheme="majorEastAsia" w:eastAsiaTheme="majorEastAsia" w:cstheme="majorEastAsia"/>
                <w:b/>
                <w:sz w:val="24"/>
                <w:szCs w:val="24"/>
                <w:highlight w:val="none"/>
              </w:rPr>
              <w:t>信 息 或 数 据</w:t>
            </w:r>
          </w:p>
        </w:tc>
      </w:tr>
      <w:tr w14:paraId="26FA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41" w:hRule="atLeast"/>
        </w:trPr>
        <w:tc>
          <w:tcPr>
            <w:tcW w:w="728" w:type="dxa"/>
            <w:noWrap w:val="0"/>
            <w:vAlign w:val="center"/>
          </w:tcPr>
          <w:p w14:paraId="62E9FF1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w:t>
            </w:r>
          </w:p>
        </w:tc>
        <w:tc>
          <w:tcPr>
            <w:tcW w:w="1106" w:type="dxa"/>
            <w:noWrap w:val="0"/>
            <w:vAlign w:val="center"/>
          </w:tcPr>
          <w:p w14:paraId="0CAE47C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1.1.2.2</w:t>
            </w:r>
          </w:p>
        </w:tc>
        <w:tc>
          <w:tcPr>
            <w:tcW w:w="7732" w:type="dxa"/>
            <w:noWrap w:val="0"/>
            <w:vAlign w:val="center"/>
          </w:tcPr>
          <w:p w14:paraId="4EA3C7CD">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名    称：西安市高陵区农村公路管理站 </w:t>
            </w:r>
          </w:p>
          <w:p w14:paraId="571F5BD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地    址：</w:t>
            </w:r>
            <w:r>
              <w:rPr>
                <w:rFonts w:hint="eastAsia" w:asciiTheme="majorEastAsia" w:hAnsiTheme="majorEastAsia" w:eastAsiaTheme="majorEastAsia" w:cstheme="majorEastAsia"/>
                <w:sz w:val="24"/>
                <w:szCs w:val="24"/>
                <w:highlight w:val="none"/>
                <w:lang w:eastAsia="zh-CN"/>
              </w:rPr>
              <w:t>西安市高陵区鹿歌路</w:t>
            </w:r>
            <w:r>
              <w:rPr>
                <w:rFonts w:hint="eastAsia" w:asciiTheme="majorEastAsia" w:hAnsiTheme="majorEastAsia" w:eastAsiaTheme="majorEastAsia" w:cstheme="majorEastAsia"/>
                <w:sz w:val="24"/>
                <w:szCs w:val="24"/>
                <w:highlight w:val="none"/>
                <w:lang w:val="en-US" w:eastAsia="zh-CN"/>
              </w:rPr>
              <w:t>131号</w:t>
            </w:r>
            <w:r>
              <w:rPr>
                <w:rFonts w:hint="eastAsia" w:asciiTheme="majorEastAsia" w:hAnsiTheme="majorEastAsia" w:eastAsiaTheme="majorEastAsia" w:cstheme="majorEastAsia"/>
                <w:sz w:val="24"/>
                <w:szCs w:val="24"/>
                <w:highlight w:val="none"/>
              </w:rPr>
              <w:t xml:space="preserve"> </w:t>
            </w:r>
          </w:p>
          <w:p w14:paraId="7EBC9076">
            <w:pPr>
              <w:pStyle w:val="9"/>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联 系 人：</w:t>
            </w:r>
            <w:r>
              <w:rPr>
                <w:rFonts w:hint="eastAsia" w:asciiTheme="majorEastAsia" w:hAnsiTheme="majorEastAsia" w:eastAsiaTheme="majorEastAsia" w:cstheme="majorEastAsia"/>
                <w:sz w:val="24"/>
                <w:szCs w:val="24"/>
                <w:highlight w:val="none"/>
                <w:lang w:val="en-US" w:eastAsia="zh-CN"/>
              </w:rPr>
              <w:t>王国辉</w:t>
            </w:r>
          </w:p>
          <w:p w14:paraId="3BC44319">
            <w:pPr>
              <w:pStyle w:val="9"/>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电话：</w:t>
            </w:r>
            <w:r>
              <w:rPr>
                <w:rFonts w:hint="eastAsia" w:asciiTheme="majorEastAsia" w:hAnsiTheme="majorEastAsia" w:eastAsiaTheme="majorEastAsia" w:cstheme="majorEastAsia"/>
                <w:sz w:val="24"/>
                <w:szCs w:val="24"/>
                <w:highlight w:val="none"/>
                <w:lang w:val="en-US" w:eastAsia="zh-CN"/>
              </w:rPr>
              <w:t>029-86913262</w:t>
            </w:r>
          </w:p>
        </w:tc>
      </w:tr>
      <w:tr w14:paraId="2A9DF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34" w:hRule="atLeast"/>
        </w:trPr>
        <w:tc>
          <w:tcPr>
            <w:tcW w:w="728" w:type="dxa"/>
            <w:noWrap w:val="0"/>
            <w:vAlign w:val="center"/>
          </w:tcPr>
          <w:p w14:paraId="79E3CC22">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w:t>
            </w:r>
          </w:p>
        </w:tc>
        <w:tc>
          <w:tcPr>
            <w:tcW w:w="1106" w:type="dxa"/>
            <w:noWrap w:val="0"/>
            <w:vAlign w:val="center"/>
          </w:tcPr>
          <w:p w14:paraId="3E1DA29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1.1.2.6</w:t>
            </w:r>
          </w:p>
        </w:tc>
        <w:tc>
          <w:tcPr>
            <w:tcW w:w="7732" w:type="dxa"/>
            <w:noWrap w:val="0"/>
            <w:vAlign w:val="center"/>
          </w:tcPr>
          <w:p w14:paraId="62FD7FF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本合同工程的监理人由发包人以书面形式通知承包人。</w:t>
            </w:r>
          </w:p>
        </w:tc>
      </w:tr>
      <w:tr w14:paraId="0684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4873502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w:t>
            </w:r>
          </w:p>
        </w:tc>
        <w:tc>
          <w:tcPr>
            <w:tcW w:w="1106" w:type="dxa"/>
            <w:noWrap w:val="0"/>
            <w:vAlign w:val="center"/>
          </w:tcPr>
          <w:p w14:paraId="2593000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1.1.4.5</w:t>
            </w:r>
          </w:p>
        </w:tc>
        <w:tc>
          <w:tcPr>
            <w:tcW w:w="7732" w:type="dxa"/>
            <w:noWrap w:val="0"/>
            <w:vAlign w:val="center"/>
          </w:tcPr>
          <w:p w14:paraId="3990E47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缺陷责任期：自实际交工日期起计算</w:t>
            </w:r>
            <w:r>
              <w:rPr>
                <w:rFonts w:hint="eastAsia" w:asciiTheme="majorEastAsia" w:hAnsiTheme="majorEastAsia" w:eastAsiaTheme="majorEastAsia" w:cstheme="majorEastAsia"/>
                <w:sz w:val="24"/>
                <w:szCs w:val="24"/>
                <w:highlight w:val="none"/>
                <w:u w:val="single"/>
                <w:lang w:val="en-US" w:eastAsia="zh-CN"/>
              </w:rPr>
              <w:t>365</w:t>
            </w:r>
            <w:r>
              <w:rPr>
                <w:rFonts w:hint="eastAsia" w:asciiTheme="majorEastAsia" w:hAnsiTheme="majorEastAsia" w:eastAsiaTheme="majorEastAsia" w:cstheme="majorEastAsia"/>
                <w:sz w:val="24"/>
                <w:szCs w:val="24"/>
                <w:highlight w:val="none"/>
                <w:lang w:val="en-US" w:eastAsia="zh-CN"/>
              </w:rPr>
              <w:t>日历天</w:t>
            </w:r>
            <w:r>
              <w:rPr>
                <w:rFonts w:hint="eastAsia" w:asciiTheme="majorEastAsia" w:hAnsiTheme="majorEastAsia" w:eastAsiaTheme="majorEastAsia" w:cstheme="majorEastAsia"/>
                <w:sz w:val="24"/>
                <w:szCs w:val="24"/>
                <w:highlight w:val="none"/>
              </w:rPr>
              <w:t>。</w:t>
            </w:r>
          </w:p>
        </w:tc>
      </w:tr>
      <w:tr w14:paraId="09AA5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53" w:hRule="atLeast"/>
        </w:trPr>
        <w:tc>
          <w:tcPr>
            <w:tcW w:w="728" w:type="dxa"/>
            <w:noWrap w:val="0"/>
            <w:vAlign w:val="center"/>
          </w:tcPr>
          <w:p w14:paraId="373E31B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w:t>
            </w:r>
          </w:p>
        </w:tc>
        <w:tc>
          <w:tcPr>
            <w:tcW w:w="1106" w:type="dxa"/>
            <w:noWrap w:val="0"/>
            <w:vAlign w:val="center"/>
          </w:tcPr>
          <w:p w14:paraId="71F6DF9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1.6.3</w:t>
            </w:r>
          </w:p>
        </w:tc>
        <w:tc>
          <w:tcPr>
            <w:tcW w:w="7732" w:type="dxa"/>
            <w:noWrap w:val="0"/>
            <w:vAlign w:val="center"/>
          </w:tcPr>
          <w:p w14:paraId="30E65A2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图纸需要修改和补充的，应由监理人取得发包人同意后，在该工程或工程相应部位施工前</w:t>
            </w:r>
            <w:r>
              <w:rPr>
                <w:rFonts w:hint="eastAsia" w:asciiTheme="majorEastAsia" w:hAnsiTheme="majorEastAsia" w:eastAsiaTheme="majorEastAsia" w:cstheme="majorEastAsia"/>
                <w:sz w:val="24"/>
                <w:szCs w:val="24"/>
                <w:highlight w:val="none"/>
                <w:u w:val="single"/>
              </w:rPr>
              <w:t xml:space="preserve"> 7 </w:t>
            </w:r>
            <w:r>
              <w:rPr>
                <w:rFonts w:hint="eastAsia" w:asciiTheme="majorEastAsia" w:hAnsiTheme="majorEastAsia" w:eastAsiaTheme="majorEastAsia" w:cstheme="majorEastAsia"/>
                <w:sz w:val="24"/>
                <w:szCs w:val="24"/>
                <w:highlight w:val="none"/>
              </w:rPr>
              <w:t>天签发图纸修改图给承包人，关键工程应在施工前</w:t>
            </w:r>
            <w:r>
              <w:rPr>
                <w:rFonts w:hint="eastAsia" w:asciiTheme="majorEastAsia" w:hAnsiTheme="majorEastAsia" w:eastAsiaTheme="majorEastAsia" w:cstheme="majorEastAsia"/>
                <w:sz w:val="24"/>
                <w:szCs w:val="24"/>
                <w:highlight w:val="none"/>
                <w:u w:val="single"/>
              </w:rPr>
              <w:t xml:space="preserve"> 7 </w:t>
            </w:r>
            <w:r>
              <w:rPr>
                <w:rFonts w:hint="eastAsia" w:asciiTheme="majorEastAsia" w:hAnsiTheme="majorEastAsia" w:eastAsiaTheme="majorEastAsia" w:cstheme="majorEastAsia"/>
                <w:sz w:val="24"/>
                <w:szCs w:val="24"/>
                <w:highlight w:val="none"/>
              </w:rPr>
              <w:t>天签发。</w:t>
            </w:r>
          </w:p>
        </w:tc>
      </w:tr>
      <w:tr w14:paraId="45DEB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003" w:hRule="atLeast"/>
        </w:trPr>
        <w:tc>
          <w:tcPr>
            <w:tcW w:w="728" w:type="dxa"/>
            <w:noWrap w:val="0"/>
            <w:vAlign w:val="center"/>
          </w:tcPr>
          <w:p w14:paraId="2802746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w:t>
            </w:r>
          </w:p>
        </w:tc>
        <w:tc>
          <w:tcPr>
            <w:tcW w:w="1106" w:type="dxa"/>
            <w:noWrap w:val="0"/>
            <w:vAlign w:val="center"/>
          </w:tcPr>
          <w:p w14:paraId="3890EDD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3.1.1</w:t>
            </w:r>
          </w:p>
        </w:tc>
        <w:tc>
          <w:tcPr>
            <w:tcW w:w="7732" w:type="dxa"/>
            <w:noWrap w:val="0"/>
            <w:vAlign w:val="center"/>
          </w:tcPr>
          <w:p w14:paraId="48A246A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监理人在行使下列权利前需要经发包人事先批准：</w:t>
            </w:r>
          </w:p>
          <w:p w14:paraId="4E569C2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项目施工期间的所有变更，须经发包人同意，按照甲方制定的管理办法执行。</w:t>
            </w:r>
          </w:p>
        </w:tc>
      </w:tr>
      <w:tr w14:paraId="1234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24" w:hRule="atLeast"/>
        </w:trPr>
        <w:tc>
          <w:tcPr>
            <w:tcW w:w="728" w:type="dxa"/>
            <w:noWrap w:val="0"/>
            <w:vAlign w:val="center"/>
          </w:tcPr>
          <w:p w14:paraId="4FBFBA84">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w:t>
            </w:r>
          </w:p>
        </w:tc>
        <w:tc>
          <w:tcPr>
            <w:tcW w:w="1106" w:type="dxa"/>
            <w:noWrap w:val="0"/>
            <w:vAlign w:val="center"/>
          </w:tcPr>
          <w:p w14:paraId="50076F9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5.2.1</w:t>
            </w:r>
          </w:p>
        </w:tc>
        <w:tc>
          <w:tcPr>
            <w:tcW w:w="7732" w:type="dxa"/>
            <w:noWrap w:val="0"/>
            <w:vAlign w:val="top"/>
          </w:tcPr>
          <w:p w14:paraId="5CBB8F30">
            <w:pPr>
              <w:keepNext w:val="0"/>
              <w:keepLines w:val="0"/>
              <w:pageBreakBefore w:val="0"/>
              <w:widowControl/>
              <w:tabs>
                <w:tab w:val="left" w:pos="3600"/>
              </w:tabs>
              <w:kinsoku/>
              <w:wordWrap/>
              <w:overflowPunct/>
              <w:topLinePunct w:val="0"/>
              <w:autoSpaceDE/>
              <w:autoSpaceDN/>
              <w:bidi w:val="0"/>
              <w:adjustRightInd w:val="0"/>
              <w:snapToGrid w:val="0"/>
              <w:spacing w:line="264" w:lineRule="auto"/>
              <w:jc w:val="both"/>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发包人是否提供材料或工程设备：</w:t>
            </w:r>
            <w:r>
              <w:rPr>
                <w:rFonts w:hint="eastAsia" w:asciiTheme="majorEastAsia" w:hAnsiTheme="majorEastAsia" w:eastAsiaTheme="majorEastAsia" w:cstheme="majorEastAsia"/>
                <w:sz w:val="24"/>
                <w:szCs w:val="24"/>
                <w:highlight w:val="none"/>
                <w:u w:val="single"/>
              </w:rPr>
              <w:t>否</w:t>
            </w:r>
            <w:r>
              <w:rPr>
                <w:rFonts w:hint="eastAsia" w:asciiTheme="majorEastAsia" w:hAnsiTheme="majorEastAsia" w:eastAsiaTheme="majorEastAsia" w:cstheme="majorEastAsia"/>
                <w:sz w:val="24"/>
                <w:szCs w:val="24"/>
                <w:highlight w:val="none"/>
                <w:u w:val="single"/>
              </w:rPr>
              <w:tab/>
            </w:r>
          </w:p>
        </w:tc>
      </w:tr>
      <w:tr w14:paraId="12E5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77" w:hRule="atLeast"/>
        </w:trPr>
        <w:tc>
          <w:tcPr>
            <w:tcW w:w="728" w:type="dxa"/>
            <w:noWrap w:val="0"/>
            <w:vAlign w:val="center"/>
          </w:tcPr>
          <w:p w14:paraId="49A0CE6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w:t>
            </w:r>
          </w:p>
        </w:tc>
        <w:tc>
          <w:tcPr>
            <w:tcW w:w="1106" w:type="dxa"/>
            <w:noWrap w:val="0"/>
            <w:vAlign w:val="center"/>
          </w:tcPr>
          <w:p w14:paraId="240A265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6.2</w:t>
            </w:r>
          </w:p>
        </w:tc>
        <w:tc>
          <w:tcPr>
            <w:tcW w:w="7732" w:type="dxa"/>
            <w:noWrap w:val="0"/>
            <w:vAlign w:val="center"/>
          </w:tcPr>
          <w:p w14:paraId="1C6AACAE">
            <w:pPr>
              <w:keepNext w:val="0"/>
              <w:keepLines w:val="0"/>
              <w:pageBreakBefore w:val="0"/>
              <w:widowControl/>
              <w:tabs>
                <w:tab w:val="left" w:pos="5730"/>
              </w:tabs>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发包人是否提供施工设备和临时设施：</w:t>
            </w:r>
            <w:r>
              <w:rPr>
                <w:rFonts w:hint="eastAsia" w:asciiTheme="majorEastAsia" w:hAnsiTheme="majorEastAsia" w:eastAsiaTheme="majorEastAsia" w:cstheme="majorEastAsia"/>
                <w:sz w:val="24"/>
                <w:szCs w:val="24"/>
                <w:highlight w:val="none"/>
                <w:u w:val="single"/>
              </w:rPr>
              <w:t xml:space="preserve"> 否 </w:t>
            </w:r>
            <w:r>
              <w:rPr>
                <w:rFonts w:hint="eastAsia" w:asciiTheme="majorEastAsia" w:hAnsiTheme="majorEastAsia" w:eastAsiaTheme="majorEastAsia" w:cstheme="majorEastAsia"/>
                <w:sz w:val="24"/>
                <w:szCs w:val="24"/>
                <w:highlight w:val="none"/>
              </w:rPr>
              <w:t xml:space="preserve"> </w:t>
            </w:r>
          </w:p>
        </w:tc>
      </w:tr>
      <w:tr w14:paraId="58D2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36" w:hRule="atLeast"/>
        </w:trPr>
        <w:tc>
          <w:tcPr>
            <w:tcW w:w="728" w:type="dxa"/>
            <w:noWrap w:val="0"/>
            <w:vAlign w:val="center"/>
          </w:tcPr>
          <w:p w14:paraId="2D1CA718">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w:t>
            </w:r>
          </w:p>
        </w:tc>
        <w:tc>
          <w:tcPr>
            <w:tcW w:w="1106" w:type="dxa"/>
            <w:noWrap w:val="0"/>
            <w:vAlign w:val="center"/>
          </w:tcPr>
          <w:p w14:paraId="02A3957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8.1.1</w:t>
            </w:r>
          </w:p>
        </w:tc>
        <w:tc>
          <w:tcPr>
            <w:tcW w:w="7732" w:type="dxa"/>
            <w:noWrap w:val="0"/>
            <w:vAlign w:val="center"/>
          </w:tcPr>
          <w:p w14:paraId="26D732C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发包人提供测量基准点、基准线和水准点及其书面资料的期限：</w:t>
            </w:r>
            <w:r>
              <w:rPr>
                <w:rFonts w:hint="eastAsia" w:asciiTheme="majorEastAsia" w:hAnsiTheme="majorEastAsia" w:eastAsiaTheme="majorEastAsia" w:cstheme="majorEastAsia"/>
                <w:sz w:val="24"/>
                <w:szCs w:val="24"/>
                <w:highlight w:val="none"/>
                <w:u w:val="single"/>
              </w:rPr>
              <w:t>监理人发出开工通知书7天前</w:t>
            </w:r>
          </w:p>
          <w:p w14:paraId="302F1A9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承包人将施工控制网资料报送监理人审批的期限：</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发包人提供测量基准点、基准 线和水准点及其书面资料7天内</w:t>
            </w:r>
            <w:r>
              <w:rPr>
                <w:rFonts w:hint="eastAsia" w:asciiTheme="majorEastAsia" w:hAnsiTheme="majorEastAsia" w:eastAsiaTheme="majorEastAsia" w:cstheme="majorEastAsia"/>
                <w:sz w:val="24"/>
                <w:szCs w:val="24"/>
                <w:highlight w:val="none"/>
                <w:u w:val="none"/>
                <w:lang w:val="en-US" w:eastAsia="zh-CN"/>
              </w:rPr>
              <w:t>。</w:t>
            </w:r>
            <w:r>
              <w:rPr>
                <w:rFonts w:hint="eastAsia" w:asciiTheme="majorEastAsia" w:hAnsiTheme="majorEastAsia" w:eastAsiaTheme="majorEastAsia" w:cstheme="majorEastAsia"/>
                <w:sz w:val="24"/>
                <w:szCs w:val="24"/>
                <w:highlight w:val="none"/>
                <w:u w:val="none"/>
              </w:rPr>
              <w:t xml:space="preserve"> </w:t>
            </w:r>
          </w:p>
        </w:tc>
      </w:tr>
      <w:tr w14:paraId="45027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714FE2B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w:t>
            </w:r>
          </w:p>
        </w:tc>
        <w:tc>
          <w:tcPr>
            <w:tcW w:w="1106" w:type="dxa"/>
            <w:noWrap w:val="0"/>
            <w:vAlign w:val="center"/>
          </w:tcPr>
          <w:p w14:paraId="3FD5D6A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11.5</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lang w:val="en-US" w:eastAsia="zh-CN"/>
              </w:rPr>
              <w:t>3</w:t>
            </w:r>
            <w:r>
              <w:rPr>
                <w:rFonts w:hint="eastAsia" w:asciiTheme="majorEastAsia" w:hAnsiTheme="majorEastAsia" w:eastAsiaTheme="majorEastAsia" w:cstheme="majorEastAsia"/>
                <w:sz w:val="24"/>
                <w:szCs w:val="24"/>
                <w:highlight w:val="none"/>
                <w:lang w:eastAsia="zh-CN"/>
              </w:rPr>
              <w:t>）</w:t>
            </w:r>
          </w:p>
        </w:tc>
        <w:tc>
          <w:tcPr>
            <w:tcW w:w="7732" w:type="dxa"/>
            <w:noWrap w:val="0"/>
            <w:vAlign w:val="center"/>
          </w:tcPr>
          <w:p w14:paraId="7DCE152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u w:val="single"/>
              </w:rPr>
            </w:pPr>
            <w:r>
              <w:rPr>
                <w:rFonts w:hint="eastAsia" w:asciiTheme="majorEastAsia" w:hAnsiTheme="majorEastAsia" w:eastAsiaTheme="majorEastAsia" w:cstheme="majorEastAsia"/>
                <w:sz w:val="24"/>
                <w:szCs w:val="24"/>
                <w:highlight w:val="none"/>
              </w:rPr>
              <w:t>逾期交工违约金：</w:t>
            </w:r>
            <w:r>
              <w:rPr>
                <w:rFonts w:hint="eastAsia" w:asciiTheme="majorEastAsia" w:hAnsiTheme="majorEastAsia" w:eastAsiaTheme="majorEastAsia" w:cstheme="majorEastAsia"/>
                <w:sz w:val="24"/>
                <w:szCs w:val="24"/>
                <w:highlight w:val="none"/>
                <w:u w:val="single"/>
                <w:lang w:val="en-US" w:eastAsia="zh-CN"/>
              </w:rPr>
              <w:t>1000</w:t>
            </w:r>
            <w:r>
              <w:rPr>
                <w:rFonts w:hint="eastAsia" w:asciiTheme="majorEastAsia" w:hAnsiTheme="majorEastAsia" w:eastAsiaTheme="majorEastAsia" w:cstheme="majorEastAsia"/>
                <w:sz w:val="24"/>
                <w:szCs w:val="24"/>
                <w:highlight w:val="none"/>
                <w:u w:val="single"/>
              </w:rPr>
              <w:t>元/天</w:t>
            </w:r>
          </w:p>
        </w:tc>
      </w:tr>
      <w:tr w14:paraId="65A8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41" w:hRule="atLeast"/>
        </w:trPr>
        <w:tc>
          <w:tcPr>
            <w:tcW w:w="728" w:type="dxa"/>
            <w:noWrap w:val="0"/>
            <w:vAlign w:val="center"/>
          </w:tcPr>
          <w:p w14:paraId="6587B47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w:t>
            </w:r>
          </w:p>
        </w:tc>
        <w:tc>
          <w:tcPr>
            <w:tcW w:w="1106" w:type="dxa"/>
            <w:noWrap w:val="0"/>
            <w:vAlign w:val="center"/>
          </w:tcPr>
          <w:p w14:paraId="1999242C">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11.5</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lang w:val="en-US" w:eastAsia="zh-CN"/>
              </w:rPr>
              <w:t>3</w:t>
            </w:r>
            <w:r>
              <w:rPr>
                <w:rFonts w:hint="eastAsia" w:asciiTheme="majorEastAsia" w:hAnsiTheme="majorEastAsia" w:eastAsiaTheme="majorEastAsia" w:cstheme="majorEastAsia"/>
                <w:sz w:val="24"/>
                <w:szCs w:val="24"/>
                <w:highlight w:val="none"/>
                <w:lang w:eastAsia="zh-CN"/>
              </w:rPr>
              <w:t>）</w:t>
            </w:r>
          </w:p>
        </w:tc>
        <w:tc>
          <w:tcPr>
            <w:tcW w:w="7732" w:type="dxa"/>
            <w:noWrap w:val="0"/>
            <w:vAlign w:val="center"/>
          </w:tcPr>
          <w:p w14:paraId="67231F8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逾期交工违约金限额</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%签约合同价</w:t>
            </w:r>
          </w:p>
        </w:tc>
      </w:tr>
      <w:tr w14:paraId="4DDB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2792FAD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w:t>
            </w:r>
          </w:p>
        </w:tc>
        <w:tc>
          <w:tcPr>
            <w:tcW w:w="1106" w:type="dxa"/>
            <w:noWrap w:val="0"/>
            <w:vAlign w:val="center"/>
          </w:tcPr>
          <w:p w14:paraId="0233D17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11.6</w:t>
            </w:r>
          </w:p>
        </w:tc>
        <w:tc>
          <w:tcPr>
            <w:tcW w:w="7732" w:type="dxa"/>
            <w:noWrap w:val="0"/>
            <w:vAlign w:val="center"/>
          </w:tcPr>
          <w:p w14:paraId="6F85D2C8">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提前交工的奖金：无。</w:t>
            </w:r>
          </w:p>
        </w:tc>
      </w:tr>
      <w:tr w14:paraId="2F264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1D2FC54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w:t>
            </w:r>
          </w:p>
        </w:tc>
        <w:tc>
          <w:tcPr>
            <w:tcW w:w="1106" w:type="dxa"/>
            <w:noWrap w:val="0"/>
            <w:vAlign w:val="center"/>
          </w:tcPr>
          <w:p w14:paraId="080E9CD6">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11.6</w:t>
            </w:r>
          </w:p>
        </w:tc>
        <w:tc>
          <w:tcPr>
            <w:tcW w:w="7732" w:type="dxa"/>
            <w:noWrap w:val="0"/>
            <w:vAlign w:val="center"/>
          </w:tcPr>
          <w:p w14:paraId="2C25AD0B">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提前交工的奖金限额：</w:t>
            </w:r>
            <w:r>
              <w:rPr>
                <w:rFonts w:hint="eastAsia" w:asciiTheme="majorEastAsia" w:hAnsiTheme="majorEastAsia" w:eastAsiaTheme="majorEastAsia" w:cstheme="majorEastAsia"/>
                <w:sz w:val="24"/>
                <w:szCs w:val="24"/>
                <w:highlight w:val="none"/>
                <w:u w:val="single"/>
              </w:rPr>
              <w:t>不适用</w:t>
            </w:r>
          </w:p>
        </w:tc>
      </w:tr>
      <w:tr w14:paraId="3ABD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2" w:hRule="atLeast"/>
        </w:trPr>
        <w:tc>
          <w:tcPr>
            <w:tcW w:w="728" w:type="dxa"/>
            <w:noWrap w:val="0"/>
            <w:vAlign w:val="center"/>
          </w:tcPr>
          <w:p w14:paraId="4307C4D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w:t>
            </w:r>
          </w:p>
        </w:tc>
        <w:tc>
          <w:tcPr>
            <w:tcW w:w="1106" w:type="dxa"/>
            <w:noWrap w:val="0"/>
            <w:vAlign w:val="center"/>
          </w:tcPr>
          <w:p w14:paraId="6739E7E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15.5.2</w:t>
            </w:r>
          </w:p>
        </w:tc>
        <w:tc>
          <w:tcPr>
            <w:tcW w:w="7732" w:type="dxa"/>
            <w:noWrap w:val="0"/>
            <w:vAlign w:val="center"/>
          </w:tcPr>
          <w:p w14:paraId="60D3BA4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不适用</w:t>
            </w:r>
          </w:p>
        </w:tc>
      </w:tr>
      <w:tr w14:paraId="1799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28" w:type="dxa"/>
            <w:noWrap w:val="0"/>
            <w:vAlign w:val="center"/>
          </w:tcPr>
          <w:p w14:paraId="7AD3B12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14</w:t>
            </w:r>
          </w:p>
        </w:tc>
        <w:tc>
          <w:tcPr>
            <w:tcW w:w="1106" w:type="dxa"/>
            <w:noWrap w:val="0"/>
            <w:vAlign w:val="center"/>
          </w:tcPr>
          <w:p w14:paraId="550D205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16.1</w:t>
            </w:r>
          </w:p>
        </w:tc>
        <w:tc>
          <w:tcPr>
            <w:tcW w:w="7745" w:type="dxa"/>
            <w:gridSpan w:val="2"/>
            <w:noWrap w:val="0"/>
            <w:vAlign w:val="center"/>
          </w:tcPr>
          <w:p w14:paraId="1ED32B40">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合同期内不调价</w:t>
            </w:r>
          </w:p>
        </w:tc>
      </w:tr>
      <w:tr w14:paraId="0D0A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28" w:type="dxa"/>
            <w:noWrap w:val="0"/>
            <w:vAlign w:val="center"/>
          </w:tcPr>
          <w:p w14:paraId="132E900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w:t>
            </w:r>
          </w:p>
        </w:tc>
        <w:tc>
          <w:tcPr>
            <w:tcW w:w="1106" w:type="dxa"/>
            <w:noWrap w:val="0"/>
            <w:vAlign w:val="center"/>
          </w:tcPr>
          <w:p w14:paraId="57E74B7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17.2.1</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lang w:val="en-US" w:eastAsia="zh-CN"/>
              </w:rPr>
              <w:t>1</w:t>
            </w:r>
            <w:r>
              <w:rPr>
                <w:rFonts w:hint="eastAsia" w:asciiTheme="majorEastAsia" w:hAnsiTheme="majorEastAsia" w:eastAsiaTheme="majorEastAsia" w:cstheme="majorEastAsia"/>
                <w:sz w:val="24"/>
                <w:szCs w:val="24"/>
                <w:highlight w:val="none"/>
                <w:lang w:eastAsia="zh-CN"/>
              </w:rPr>
              <w:t>）</w:t>
            </w:r>
          </w:p>
        </w:tc>
        <w:tc>
          <w:tcPr>
            <w:tcW w:w="7745" w:type="dxa"/>
            <w:gridSpan w:val="2"/>
            <w:noWrap w:val="0"/>
            <w:vAlign w:val="center"/>
          </w:tcPr>
          <w:p w14:paraId="303E9F68">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开工预付款：无</w:t>
            </w:r>
          </w:p>
        </w:tc>
      </w:tr>
      <w:tr w14:paraId="420D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6B2F54E8">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w:t>
            </w:r>
          </w:p>
        </w:tc>
        <w:tc>
          <w:tcPr>
            <w:tcW w:w="1106" w:type="dxa"/>
            <w:noWrap w:val="0"/>
            <w:vAlign w:val="center"/>
          </w:tcPr>
          <w:p w14:paraId="5724C0A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17.2.1</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sz w:val="24"/>
                <w:szCs w:val="24"/>
                <w:highlight w:val="none"/>
                <w:lang w:eastAsia="zh-CN"/>
              </w:rPr>
              <w:t>）</w:t>
            </w:r>
          </w:p>
        </w:tc>
        <w:tc>
          <w:tcPr>
            <w:tcW w:w="7745" w:type="dxa"/>
            <w:gridSpan w:val="2"/>
            <w:noWrap w:val="0"/>
            <w:vAlign w:val="center"/>
          </w:tcPr>
          <w:p w14:paraId="1DA6750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材料、设备预付款比例：无</w:t>
            </w:r>
          </w:p>
        </w:tc>
      </w:tr>
      <w:tr w14:paraId="37AC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4E8EF2F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w:t>
            </w:r>
          </w:p>
        </w:tc>
        <w:tc>
          <w:tcPr>
            <w:tcW w:w="1106" w:type="dxa"/>
            <w:noWrap w:val="0"/>
            <w:vAlign w:val="center"/>
          </w:tcPr>
          <w:p w14:paraId="6E7E020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17.3.2</w:t>
            </w:r>
          </w:p>
        </w:tc>
        <w:tc>
          <w:tcPr>
            <w:tcW w:w="7745" w:type="dxa"/>
            <w:gridSpan w:val="2"/>
            <w:noWrap w:val="0"/>
            <w:vAlign w:val="center"/>
          </w:tcPr>
          <w:p w14:paraId="097C9F6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承包人在每个付款周期末向监理人提交进度付款申请单的份数：</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6</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份</w:t>
            </w:r>
          </w:p>
        </w:tc>
      </w:tr>
      <w:tr w14:paraId="4AE7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2433FD24">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w:t>
            </w:r>
          </w:p>
        </w:tc>
        <w:tc>
          <w:tcPr>
            <w:tcW w:w="1106" w:type="dxa"/>
            <w:noWrap w:val="0"/>
            <w:vAlign w:val="center"/>
          </w:tcPr>
          <w:p w14:paraId="5966EFD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17.3.3（1）</w:t>
            </w:r>
          </w:p>
        </w:tc>
        <w:tc>
          <w:tcPr>
            <w:tcW w:w="7745" w:type="dxa"/>
            <w:gridSpan w:val="2"/>
            <w:noWrap w:val="0"/>
            <w:vAlign w:val="center"/>
          </w:tcPr>
          <w:p w14:paraId="4DBD93A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进度付款证书最低限额</w:t>
            </w:r>
            <w:r>
              <w:rPr>
                <w:rFonts w:hint="eastAsia" w:asciiTheme="majorEastAsia" w:hAnsiTheme="majorEastAsia" w:eastAsiaTheme="majorEastAsia" w:cstheme="majorEastAsia"/>
                <w:b/>
                <w:sz w:val="24"/>
                <w:szCs w:val="24"/>
                <w:highlight w:val="none"/>
                <w:u w:val="single"/>
                <w:lang w:val="en-US" w:eastAsia="zh-CN"/>
              </w:rPr>
              <w:t>30</w:t>
            </w:r>
            <w:r>
              <w:rPr>
                <w:rFonts w:hint="eastAsia" w:asciiTheme="majorEastAsia" w:hAnsiTheme="majorEastAsia" w:eastAsiaTheme="majorEastAsia" w:cstheme="majorEastAsia"/>
                <w:b/>
                <w:sz w:val="24"/>
                <w:szCs w:val="24"/>
                <w:highlight w:val="none"/>
                <w:u w:val="single"/>
              </w:rPr>
              <w:t>万元</w:t>
            </w:r>
            <w:r>
              <w:rPr>
                <w:rFonts w:hint="eastAsia" w:asciiTheme="majorEastAsia" w:hAnsiTheme="majorEastAsia" w:eastAsiaTheme="majorEastAsia" w:cstheme="majorEastAsia"/>
                <w:sz w:val="24"/>
                <w:szCs w:val="24"/>
                <w:highlight w:val="none"/>
              </w:rPr>
              <w:t>。</w:t>
            </w:r>
          </w:p>
        </w:tc>
      </w:tr>
      <w:tr w14:paraId="611F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728" w:type="dxa"/>
            <w:noWrap w:val="0"/>
            <w:vAlign w:val="center"/>
          </w:tcPr>
          <w:p w14:paraId="6F85473C">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19</w:t>
            </w:r>
          </w:p>
        </w:tc>
        <w:tc>
          <w:tcPr>
            <w:tcW w:w="1106" w:type="dxa"/>
            <w:noWrap w:val="0"/>
            <w:vAlign w:val="center"/>
          </w:tcPr>
          <w:p w14:paraId="0E533AA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17.3.3（2）</w:t>
            </w:r>
          </w:p>
        </w:tc>
        <w:tc>
          <w:tcPr>
            <w:tcW w:w="7745" w:type="dxa"/>
            <w:gridSpan w:val="2"/>
            <w:noWrap w:val="0"/>
            <w:vAlign w:val="center"/>
          </w:tcPr>
          <w:p w14:paraId="2D9DB54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逾期预付款违约金的利率:</w:t>
            </w:r>
            <w:r>
              <w:rPr>
                <w:rFonts w:hint="eastAsia" w:asciiTheme="majorEastAsia" w:hAnsiTheme="majorEastAsia" w:eastAsiaTheme="majorEastAsia" w:cstheme="majorEastAsia"/>
                <w:sz w:val="24"/>
                <w:szCs w:val="24"/>
                <w:highlight w:val="none"/>
                <w:u w:val="single"/>
              </w:rPr>
              <w:t>无</w:t>
            </w:r>
            <w:r>
              <w:rPr>
                <w:rFonts w:hint="eastAsia" w:asciiTheme="majorEastAsia" w:hAnsiTheme="majorEastAsia" w:eastAsiaTheme="majorEastAsia" w:cstheme="majorEastAsia"/>
                <w:sz w:val="24"/>
                <w:szCs w:val="24"/>
                <w:highlight w:val="none"/>
              </w:rPr>
              <w:t xml:space="preserve">。 </w:t>
            </w:r>
          </w:p>
        </w:tc>
      </w:tr>
      <w:tr w14:paraId="04BE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340A879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w:t>
            </w:r>
          </w:p>
        </w:tc>
        <w:tc>
          <w:tcPr>
            <w:tcW w:w="1106" w:type="dxa"/>
            <w:noWrap w:val="0"/>
            <w:vAlign w:val="center"/>
          </w:tcPr>
          <w:p w14:paraId="0AF908B6">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17.4.1</w:t>
            </w:r>
          </w:p>
        </w:tc>
        <w:tc>
          <w:tcPr>
            <w:tcW w:w="7745" w:type="dxa"/>
            <w:gridSpan w:val="2"/>
            <w:noWrap w:val="0"/>
            <w:vAlign w:val="center"/>
          </w:tcPr>
          <w:p w14:paraId="48D62D09">
            <w:pPr>
              <w:pStyle w:val="10"/>
              <w:keepNext w:val="0"/>
              <w:keepLines w:val="0"/>
              <w:pageBreakBefore w:val="0"/>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质量保证金：</w:t>
            </w:r>
            <w:r>
              <w:rPr>
                <w:rFonts w:hint="eastAsia" w:asciiTheme="majorEastAsia" w:hAnsiTheme="majorEastAsia" w:eastAsiaTheme="majorEastAsia" w:cstheme="majorEastAsia"/>
                <w:kern w:val="2"/>
                <w:sz w:val="24"/>
                <w:szCs w:val="24"/>
                <w:highlight w:val="none"/>
                <w:u w:val="single"/>
                <w:lang w:val="en-US" w:eastAsia="zh-CN" w:bidi="ar-SA"/>
              </w:rPr>
              <w:t xml:space="preserve">3% </w:t>
            </w:r>
            <w:r>
              <w:rPr>
                <w:rFonts w:hint="eastAsia" w:asciiTheme="majorEastAsia" w:hAnsiTheme="majorEastAsia" w:eastAsiaTheme="majorEastAsia" w:cstheme="majorEastAsia"/>
                <w:kern w:val="2"/>
                <w:sz w:val="24"/>
                <w:szCs w:val="24"/>
                <w:highlight w:val="none"/>
                <w:lang w:val="en-US" w:eastAsia="zh-CN" w:bidi="ar-SA"/>
              </w:rPr>
              <w:t>签约合同额</w:t>
            </w:r>
          </w:p>
          <w:p w14:paraId="44680DD0">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kern w:val="2"/>
                <w:sz w:val="24"/>
                <w:szCs w:val="24"/>
                <w:highlight w:val="none"/>
                <w:lang w:val="en-US" w:eastAsia="zh-CN" w:bidi="ar-SA"/>
              </w:rPr>
              <w:t>质量保证金是否计付利息：</w:t>
            </w:r>
            <w:r>
              <w:rPr>
                <w:rFonts w:hint="eastAsia" w:asciiTheme="majorEastAsia" w:hAnsiTheme="majorEastAsia" w:eastAsiaTheme="majorEastAsia" w:cstheme="majorEastAsia"/>
                <w:kern w:val="2"/>
                <w:sz w:val="24"/>
                <w:szCs w:val="24"/>
                <w:highlight w:val="none"/>
                <w:u w:val="single"/>
                <w:lang w:val="en-US" w:eastAsia="zh-CN" w:bidi="ar-SA"/>
              </w:rPr>
              <w:t>否</w:t>
            </w:r>
          </w:p>
        </w:tc>
      </w:tr>
      <w:tr w14:paraId="7F658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28" w:type="dxa"/>
            <w:noWrap w:val="0"/>
            <w:vAlign w:val="center"/>
          </w:tcPr>
          <w:p w14:paraId="7BD3B01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21</w:t>
            </w:r>
          </w:p>
        </w:tc>
        <w:tc>
          <w:tcPr>
            <w:tcW w:w="1106" w:type="dxa"/>
            <w:noWrap w:val="0"/>
            <w:vAlign w:val="center"/>
          </w:tcPr>
          <w:p w14:paraId="21989EFF">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17.5.1</w:t>
            </w:r>
          </w:p>
        </w:tc>
        <w:tc>
          <w:tcPr>
            <w:tcW w:w="7745" w:type="dxa"/>
            <w:gridSpan w:val="2"/>
            <w:noWrap w:val="0"/>
            <w:vAlign w:val="center"/>
          </w:tcPr>
          <w:p w14:paraId="6A32B156">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承包人向监理人提交交工付款申请单（包括相关证明材料）的份数：</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份</w:t>
            </w:r>
          </w:p>
        </w:tc>
      </w:tr>
      <w:tr w14:paraId="0207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728" w:type="dxa"/>
            <w:noWrap w:val="0"/>
            <w:vAlign w:val="center"/>
          </w:tcPr>
          <w:p w14:paraId="2A4A6FD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22</w:t>
            </w:r>
          </w:p>
        </w:tc>
        <w:tc>
          <w:tcPr>
            <w:tcW w:w="1106" w:type="dxa"/>
            <w:noWrap w:val="0"/>
            <w:vAlign w:val="center"/>
          </w:tcPr>
          <w:p w14:paraId="6007ADC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17.6.1</w:t>
            </w:r>
          </w:p>
        </w:tc>
        <w:tc>
          <w:tcPr>
            <w:tcW w:w="7745" w:type="dxa"/>
            <w:gridSpan w:val="2"/>
            <w:noWrap w:val="0"/>
            <w:vAlign w:val="center"/>
          </w:tcPr>
          <w:p w14:paraId="4B542E6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承包人向监理人提交最终结清申请单（包括相关证明材料）的份数：</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份</w:t>
            </w:r>
          </w:p>
        </w:tc>
      </w:tr>
      <w:tr w14:paraId="6F0C3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5FD7498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23</w:t>
            </w:r>
          </w:p>
        </w:tc>
        <w:tc>
          <w:tcPr>
            <w:tcW w:w="1106" w:type="dxa"/>
            <w:noWrap w:val="0"/>
            <w:vAlign w:val="center"/>
          </w:tcPr>
          <w:p w14:paraId="2E9EEB5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18.2</w:t>
            </w:r>
          </w:p>
        </w:tc>
        <w:tc>
          <w:tcPr>
            <w:tcW w:w="7745" w:type="dxa"/>
            <w:gridSpan w:val="2"/>
            <w:noWrap w:val="0"/>
            <w:vAlign w:val="center"/>
          </w:tcPr>
          <w:p w14:paraId="3F9E850C">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竣工资料的份数：</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份</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rPr>
              <w:t>交工验收后3个月内提交</w:t>
            </w:r>
            <w:r>
              <w:rPr>
                <w:rFonts w:hint="eastAsia" w:asciiTheme="majorEastAsia" w:hAnsiTheme="majorEastAsia" w:eastAsiaTheme="majorEastAsia" w:cstheme="majorEastAsia"/>
                <w:sz w:val="24"/>
                <w:szCs w:val="24"/>
                <w:highlight w:val="none"/>
                <w:lang w:eastAsia="zh-CN"/>
              </w:rPr>
              <w:t>。</w:t>
            </w:r>
          </w:p>
        </w:tc>
      </w:tr>
      <w:tr w14:paraId="2546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28" w:type="dxa"/>
            <w:noWrap w:val="0"/>
            <w:vAlign w:val="center"/>
          </w:tcPr>
          <w:p w14:paraId="7E63236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24</w:t>
            </w:r>
          </w:p>
        </w:tc>
        <w:tc>
          <w:tcPr>
            <w:tcW w:w="1106" w:type="dxa"/>
            <w:noWrap w:val="0"/>
            <w:vAlign w:val="center"/>
          </w:tcPr>
          <w:p w14:paraId="7EA899F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18.5.1</w:t>
            </w:r>
          </w:p>
        </w:tc>
        <w:tc>
          <w:tcPr>
            <w:tcW w:w="7745" w:type="dxa"/>
            <w:gridSpan w:val="2"/>
            <w:noWrap w:val="0"/>
            <w:vAlign w:val="center"/>
          </w:tcPr>
          <w:p w14:paraId="7B88816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u w:val="single"/>
              </w:rPr>
            </w:pPr>
            <w:r>
              <w:rPr>
                <w:rFonts w:hint="eastAsia" w:asciiTheme="majorEastAsia" w:hAnsiTheme="majorEastAsia" w:eastAsiaTheme="majorEastAsia" w:cstheme="majorEastAsia"/>
                <w:sz w:val="24"/>
                <w:szCs w:val="24"/>
                <w:highlight w:val="none"/>
              </w:rPr>
              <w:t>单位工程或工程设备是否需投入施工期运行：</w:t>
            </w:r>
            <w:r>
              <w:rPr>
                <w:rFonts w:hint="eastAsia" w:asciiTheme="majorEastAsia" w:hAnsiTheme="majorEastAsia" w:eastAsiaTheme="majorEastAsia" w:cstheme="majorEastAsia"/>
                <w:sz w:val="24"/>
                <w:szCs w:val="24"/>
                <w:highlight w:val="none"/>
                <w:u w:val="single"/>
              </w:rPr>
              <w:t xml:space="preserve"> 否 </w:t>
            </w:r>
          </w:p>
        </w:tc>
      </w:tr>
      <w:tr w14:paraId="05744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28" w:type="dxa"/>
            <w:noWrap w:val="0"/>
            <w:vAlign w:val="center"/>
          </w:tcPr>
          <w:p w14:paraId="35C6BE4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25</w:t>
            </w:r>
          </w:p>
        </w:tc>
        <w:tc>
          <w:tcPr>
            <w:tcW w:w="1106" w:type="dxa"/>
            <w:noWrap w:val="0"/>
            <w:vAlign w:val="center"/>
          </w:tcPr>
          <w:p w14:paraId="6DA15EF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18.6.1</w:t>
            </w:r>
          </w:p>
        </w:tc>
        <w:tc>
          <w:tcPr>
            <w:tcW w:w="7745" w:type="dxa"/>
            <w:gridSpan w:val="2"/>
            <w:noWrap w:val="0"/>
            <w:vAlign w:val="center"/>
          </w:tcPr>
          <w:p w14:paraId="49CF662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u w:val="single"/>
              </w:rPr>
            </w:pPr>
            <w:r>
              <w:rPr>
                <w:rFonts w:hint="eastAsia" w:asciiTheme="majorEastAsia" w:hAnsiTheme="majorEastAsia" w:eastAsiaTheme="majorEastAsia" w:cstheme="majorEastAsia"/>
                <w:sz w:val="24"/>
                <w:szCs w:val="24"/>
                <w:highlight w:val="none"/>
              </w:rPr>
              <w:t>本工程及工程设备是否进行试运行：</w:t>
            </w:r>
            <w:r>
              <w:rPr>
                <w:rFonts w:hint="eastAsia" w:asciiTheme="majorEastAsia" w:hAnsiTheme="majorEastAsia" w:eastAsiaTheme="majorEastAsia" w:cstheme="majorEastAsia"/>
                <w:sz w:val="24"/>
                <w:szCs w:val="24"/>
                <w:highlight w:val="none"/>
                <w:u w:val="single"/>
              </w:rPr>
              <w:t>工程交工验收合格，签发交工验收证书后，试运行</w:t>
            </w:r>
            <w:r>
              <w:rPr>
                <w:rFonts w:hint="eastAsia" w:asciiTheme="majorEastAsia" w:hAnsiTheme="majorEastAsia" w:eastAsiaTheme="majorEastAsia" w:cstheme="majorEastAsia"/>
                <w:sz w:val="24"/>
                <w:szCs w:val="24"/>
                <w:highlight w:val="none"/>
                <w:u w:val="single"/>
                <w:lang w:val="en-US" w:eastAsia="zh-CN"/>
              </w:rPr>
              <w:t>一</w:t>
            </w:r>
            <w:r>
              <w:rPr>
                <w:rFonts w:hint="eastAsia" w:asciiTheme="majorEastAsia" w:hAnsiTheme="majorEastAsia" w:eastAsiaTheme="majorEastAsia" w:cstheme="majorEastAsia"/>
                <w:sz w:val="24"/>
                <w:szCs w:val="24"/>
                <w:highlight w:val="none"/>
                <w:u w:val="single"/>
              </w:rPr>
              <w:t>年，承包人完成缺陷修复且合格以后进行竣工验收。</w:t>
            </w:r>
          </w:p>
        </w:tc>
      </w:tr>
      <w:tr w14:paraId="4EC7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8" w:type="dxa"/>
            <w:noWrap w:val="0"/>
            <w:vAlign w:val="center"/>
          </w:tcPr>
          <w:p w14:paraId="589FBA08">
            <w:pPr>
              <w:keepNext w:val="0"/>
              <w:keepLines w:val="0"/>
              <w:pageBreakBefore w:val="0"/>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26</w:t>
            </w:r>
          </w:p>
        </w:tc>
        <w:tc>
          <w:tcPr>
            <w:tcW w:w="1106" w:type="dxa"/>
            <w:noWrap w:val="0"/>
            <w:vAlign w:val="center"/>
          </w:tcPr>
          <w:p w14:paraId="44AE85B5">
            <w:pPr>
              <w:keepNext w:val="0"/>
              <w:keepLines w:val="0"/>
              <w:pageBreakBefore w:val="0"/>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19.7</w:t>
            </w:r>
          </w:p>
        </w:tc>
        <w:tc>
          <w:tcPr>
            <w:tcW w:w="7745" w:type="dxa"/>
            <w:gridSpan w:val="2"/>
            <w:noWrap w:val="0"/>
            <w:vAlign w:val="center"/>
          </w:tcPr>
          <w:p w14:paraId="39D3648E">
            <w:pPr>
              <w:keepNext w:val="0"/>
              <w:keepLines w:val="0"/>
              <w:pageBreakBefore w:val="0"/>
              <w:widowControl w:val="0"/>
              <w:kinsoku/>
              <w:wordWrap/>
              <w:overflowPunct/>
              <w:topLinePunct w:val="0"/>
              <w:autoSpaceDE/>
              <w:autoSpaceDN/>
              <w:bidi w:val="0"/>
              <w:adjustRightInd w:val="0"/>
              <w:snapToGrid w:val="0"/>
              <w:spacing w:line="264" w:lineRule="auto"/>
              <w:jc w:val="both"/>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保修期：自交工之日期起计算</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p>
          <w:p w14:paraId="6E379511">
            <w:pPr>
              <w:keepNext w:val="0"/>
              <w:keepLines w:val="0"/>
              <w:pageBreakBefore w:val="0"/>
              <w:widowControl w:val="0"/>
              <w:kinsoku/>
              <w:wordWrap/>
              <w:overflowPunct/>
              <w:topLinePunct w:val="0"/>
              <w:autoSpaceDE/>
              <w:autoSpaceDN/>
              <w:bidi w:val="0"/>
              <w:adjustRightInd w:val="0"/>
              <w:snapToGrid w:val="0"/>
              <w:spacing w:line="264" w:lineRule="auto"/>
              <w:jc w:val="both"/>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 xml:space="preserve">工程保修期终止后 28 天内，监理人签发保修期终止证书。 </w:t>
            </w:r>
          </w:p>
        </w:tc>
      </w:tr>
      <w:tr w14:paraId="507A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4D4D69D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27</w:t>
            </w:r>
          </w:p>
        </w:tc>
        <w:tc>
          <w:tcPr>
            <w:tcW w:w="1106" w:type="dxa"/>
            <w:noWrap w:val="0"/>
            <w:vAlign w:val="center"/>
          </w:tcPr>
          <w:p w14:paraId="1C3BE41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20.1</w:t>
            </w:r>
          </w:p>
        </w:tc>
        <w:tc>
          <w:tcPr>
            <w:tcW w:w="7745" w:type="dxa"/>
            <w:gridSpan w:val="2"/>
            <w:noWrap w:val="0"/>
            <w:vAlign w:val="center"/>
          </w:tcPr>
          <w:p w14:paraId="58D8F23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 xml:space="preserve">建筑工程一切险的保险费率：建筑工程一切险的保险费率：3.5‰ </w:t>
            </w:r>
            <w:r>
              <w:rPr>
                <w:rFonts w:hint="eastAsia" w:asciiTheme="majorEastAsia" w:hAnsiTheme="majorEastAsia" w:eastAsiaTheme="majorEastAsia" w:cstheme="majorEastAsia"/>
                <w:sz w:val="24"/>
                <w:szCs w:val="24"/>
                <w:highlight w:val="none"/>
                <w:lang w:eastAsia="zh-CN"/>
              </w:rPr>
              <w:t>（超出规定费率保费，承包人自行承担，低于规定费率保费，按费率计算）</w:t>
            </w:r>
          </w:p>
        </w:tc>
      </w:tr>
      <w:tr w14:paraId="4D24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28" w:type="dxa"/>
            <w:noWrap w:val="0"/>
            <w:vAlign w:val="center"/>
          </w:tcPr>
          <w:p w14:paraId="3144977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28</w:t>
            </w:r>
          </w:p>
        </w:tc>
        <w:tc>
          <w:tcPr>
            <w:tcW w:w="1106" w:type="dxa"/>
            <w:noWrap w:val="0"/>
            <w:vAlign w:val="center"/>
          </w:tcPr>
          <w:p w14:paraId="0A6D138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20.4.2</w:t>
            </w:r>
          </w:p>
        </w:tc>
        <w:tc>
          <w:tcPr>
            <w:tcW w:w="7745" w:type="dxa"/>
            <w:gridSpan w:val="2"/>
            <w:noWrap w:val="0"/>
            <w:vAlign w:val="center"/>
          </w:tcPr>
          <w:p w14:paraId="37CB7D86">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第三者责任险的最低保险金额为：</w:t>
            </w:r>
            <w:r>
              <w:rPr>
                <w:rFonts w:hint="eastAsia" w:asciiTheme="majorEastAsia" w:hAnsiTheme="majorEastAsia" w:eastAsiaTheme="majorEastAsia" w:cstheme="majorEastAsia"/>
                <w:sz w:val="24"/>
                <w:szCs w:val="24"/>
                <w:highlight w:val="none"/>
                <w:lang w:val="en-US" w:eastAsia="zh-CN"/>
              </w:rPr>
              <w:t>0.5</w:t>
            </w:r>
            <w:r>
              <w:rPr>
                <w:rFonts w:hint="eastAsia" w:asciiTheme="majorEastAsia" w:hAnsiTheme="majorEastAsia" w:eastAsiaTheme="majorEastAsia" w:cstheme="majorEastAsia"/>
                <w:sz w:val="24"/>
                <w:szCs w:val="24"/>
                <w:highlight w:val="none"/>
              </w:rPr>
              <w:t>‰</w:t>
            </w:r>
            <w:r>
              <w:rPr>
                <w:rFonts w:hint="eastAsia" w:asciiTheme="majorEastAsia" w:hAnsiTheme="majorEastAsia" w:eastAsiaTheme="majorEastAsia" w:cstheme="majorEastAsia"/>
                <w:sz w:val="24"/>
                <w:szCs w:val="24"/>
                <w:highlight w:val="none"/>
                <w:lang w:eastAsia="zh-CN"/>
              </w:rPr>
              <w:t>（超出规定费率保费，承包人自行承担，低于规定费率保费，按费率计算）</w:t>
            </w:r>
          </w:p>
        </w:tc>
      </w:tr>
      <w:tr w14:paraId="51744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728" w:type="dxa"/>
            <w:noWrap w:val="0"/>
            <w:vAlign w:val="center"/>
          </w:tcPr>
          <w:p w14:paraId="7BCF2B0F">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29</w:t>
            </w:r>
          </w:p>
        </w:tc>
        <w:tc>
          <w:tcPr>
            <w:tcW w:w="1106" w:type="dxa"/>
            <w:noWrap w:val="0"/>
            <w:vAlign w:val="center"/>
          </w:tcPr>
          <w:p w14:paraId="2902D02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24.1</w:t>
            </w:r>
          </w:p>
        </w:tc>
        <w:tc>
          <w:tcPr>
            <w:tcW w:w="7745" w:type="dxa"/>
            <w:gridSpan w:val="2"/>
            <w:noWrap w:val="0"/>
            <w:vAlign w:val="center"/>
          </w:tcPr>
          <w:p w14:paraId="118C481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争议的最终解决方式：</w:t>
            </w:r>
            <w:r>
              <w:rPr>
                <w:rFonts w:hint="eastAsia" w:asciiTheme="majorEastAsia" w:hAnsiTheme="majorEastAsia" w:eastAsiaTheme="majorEastAsia" w:cstheme="majorEastAsia"/>
                <w:sz w:val="24"/>
                <w:szCs w:val="24"/>
                <w:highlight w:val="none"/>
                <w:lang w:val="en-US" w:eastAsia="zh-CN"/>
              </w:rPr>
              <w:t>向工程所在地人民法院提出诉讼</w:t>
            </w:r>
            <w:r>
              <w:rPr>
                <w:rFonts w:hint="eastAsia" w:asciiTheme="majorEastAsia" w:hAnsiTheme="majorEastAsia" w:eastAsiaTheme="majorEastAsia" w:cstheme="majorEastAsia"/>
                <w:sz w:val="24"/>
                <w:szCs w:val="24"/>
                <w:highlight w:val="none"/>
              </w:rPr>
              <w:t>。</w:t>
            </w:r>
          </w:p>
        </w:tc>
      </w:tr>
      <w:bookmarkEnd w:id="64"/>
    </w:tbl>
    <w:p w14:paraId="61EC4C8D">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60" w:lineRule="exact"/>
        <w:ind w:left="420" w:leftChars="0"/>
        <w:jc w:val="center"/>
        <w:textAlignment w:val="auto"/>
        <w:outlineLvl w:val="1"/>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sz w:val="22"/>
          <w:szCs w:val="22"/>
          <w:highlight w:val="none"/>
        </w:rPr>
        <w:br w:type="page"/>
      </w:r>
      <w:r>
        <w:rPr>
          <w:rFonts w:hint="eastAsia" w:asciiTheme="majorEastAsia" w:hAnsiTheme="majorEastAsia" w:eastAsiaTheme="majorEastAsia" w:cstheme="majorEastAsia"/>
          <w:b/>
          <w:bCs/>
          <w:sz w:val="32"/>
          <w:szCs w:val="32"/>
          <w:highlight w:val="none"/>
          <w:lang w:val="en-US" w:eastAsia="zh-CN"/>
        </w:rPr>
        <w:t>项目专用合同条款</w:t>
      </w:r>
    </w:p>
    <w:p w14:paraId="76ABE3EB">
      <w:pPr>
        <w:keepNext w:val="0"/>
        <w:keepLines w:val="0"/>
        <w:pageBreakBefore w:val="0"/>
        <w:numPr>
          <w:ilvl w:val="1"/>
          <w:numId w:val="1"/>
        </w:numPr>
        <w:kinsoku/>
        <w:wordWrap/>
        <w:overflowPunct/>
        <w:topLinePunct w:val="0"/>
        <w:bidi w:val="0"/>
        <w:adjustRightInd w:val="0"/>
        <w:snapToGrid w:val="0"/>
        <w:spacing w:line="360" w:lineRule="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词语定义</w:t>
      </w:r>
    </w:p>
    <w:p w14:paraId="407A17AE">
      <w:pPr>
        <w:keepNext w:val="0"/>
        <w:keepLines w:val="0"/>
        <w:pageBreakBefore w:val="0"/>
        <w:kinsoku/>
        <w:wordWrap/>
        <w:overflowPunct/>
        <w:topLinePunct w:val="0"/>
        <w:bidi w:val="0"/>
        <w:adjustRightInd w:val="0"/>
        <w:snapToGrid w:val="0"/>
        <w:spacing w:line="360" w:lineRule="auto"/>
        <w:ind w:left="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1.1.2.2 发包人：西安市高陵区农村公路管理站</w:t>
      </w:r>
    </w:p>
    <w:p w14:paraId="69C2EA16">
      <w:pPr>
        <w:keepNext w:val="0"/>
        <w:keepLines w:val="0"/>
        <w:pageBreakBefore w:val="0"/>
        <w:kinsoku/>
        <w:wordWrap/>
        <w:overflowPunct/>
        <w:topLinePunct w:val="0"/>
        <w:bidi w:val="0"/>
        <w:adjustRightInd w:val="0"/>
        <w:snapToGrid w:val="0"/>
        <w:spacing w:line="360" w:lineRule="auto"/>
        <w:ind w:left="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1.1.2.6 监理人：本合同工程的监理人由发包人以书面形式通知承包人。 </w:t>
      </w:r>
    </w:p>
    <w:p w14:paraId="475E10E1">
      <w:pPr>
        <w:keepNext w:val="0"/>
        <w:keepLines w:val="0"/>
        <w:pageBreakBefore w:val="0"/>
        <w:kinsoku/>
        <w:wordWrap/>
        <w:overflowPunct/>
        <w:topLinePunct w:val="0"/>
        <w:bidi w:val="0"/>
        <w:adjustRightInd w:val="0"/>
        <w:snapToGrid w:val="0"/>
        <w:spacing w:line="360" w:lineRule="auto"/>
        <w:ind w:left="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 工程和设备</w:t>
      </w:r>
    </w:p>
    <w:p w14:paraId="5C1AF31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1.1.3.3 临时工程：包括承包人驻地的办公室、食堂、宿舍、道路和机械设备停放场、材料堆放场地、取弃土场、预制场、拌和场、仓库、进场临时道路、临时便道、便桥等。</w:t>
      </w:r>
    </w:p>
    <w:p w14:paraId="1119DFC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1.1.3.10 永久占地：见图纸</w:t>
      </w:r>
    </w:p>
    <w:p w14:paraId="3DA4574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1.1.4.5 缺陷责任期：自实际交工日期起计算</w:t>
      </w:r>
      <w:r>
        <w:rPr>
          <w:rFonts w:hint="eastAsia" w:asciiTheme="majorEastAsia" w:hAnsiTheme="majorEastAsia" w:eastAsiaTheme="majorEastAsia" w:cstheme="majorEastAsia"/>
          <w:sz w:val="24"/>
          <w:szCs w:val="24"/>
          <w:highlight w:val="none"/>
          <w:lang w:val="en-US" w:eastAsia="zh-CN"/>
        </w:rPr>
        <w:t>365日历天</w:t>
      </w:r>
      <w:r>
        <w:rPr>
          <w:rFonts w:hint="eastAsia" w:asciiTheme="majorEastAsia" w:hAnsiTheme="majorEastAsia" w:eastAsiaTheme="majorEastAsia" w:cstheme="majorEastAsia"/>
          <w:sz w:val="24"/>
          <w:szCs w:val="24"/>
          <w:highlight w:val="none"/>
        </w:rPr>
        <w:t>。</w:t>
      </w:r>
    </w:p>
    <w:p w14:paraId="6356968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1.1.5 合同价格和费用</w:t>
      </w:r>
    </w:p>
    <w:p w14:paraId="7E505F7C">
      <w:pPr>
        <w:keepNext w:val="0"/>
        <w:keepLines w:val="0"/>
        <w:pageBreakBefore w:val="0"/>
        <w:kinsoku/>
        <w:wordWrap/>
        <w:overflowPunct/>
        <w:topLinePunct w:val="0"/>
        <w:bidi w:val="0"/>
        <w:adjustRightInd w:val="0"/>
        <w:snapToGrid w:val="0"/>
        <w:spacing w:line="360" w:lineRule="auto"/>
        <w:ind w:firstLine="470" w:firstLineChars="196"/>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1.1.5.2项细化为：</w:t>
      </w:r>
    </w:p>
    <w:p w14:paraId="77FE9FBF">
      <w:pPr>
        <w:keepNext w:val="0"/>
        <w:keepLines w:val="0"/>
        <w:pageBreakBefore w:val="0"/>
        <w:kinsoku/>
        <w:wordWrap/>
        <w:overflowPunct/>
        <w:topLinePunct w:val="0"/>
        <w:bidi w:val="0"/>
        <w:adjustRightInd w:val="0"/>
        <w:snapToGrid w:val="0"/>
        <w:spacing w:line="360" w:lineRule="auto"/>
        <w:ind w:firstLine="470" w:firstLineChars="196"/>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合同价格：指承包人按合同约定完成了包括缺陷责任期内的全部承包工作后，并通过国家审计确认，发包人应付给承包人的金额，包括在履行合同过程中按合同约定进行的变更和调整。</w:t>
      </w:r>
    </w:p>
    <w:p w14:paraId="49A486F3">
      <w:pPr>
        <w:keepNext w:val="0"/>
        <w:keepLines w:val="0"/>
        <w:pageBreakBefore w:val="0"/>
        <w:kinsoku/>
        <w:wordWrap/>
        <w:overflowPunct/>
        <w:topLinePunct w:val="0"/>
        <w:bidi w:val="0"/>
        <w:adjustRightInd w:val="0"/>
        <w:snapToGrid w:val="0"/>
        <w:spacing w:line="360" w:lineRule="auto"/>
        <w:ind w:firstLine="470" w:firstLineChars="196"/>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第1.1.5.5项细化为：</w:t>
      </w:r>
    </w:p>
    <w:p w14:paraId="354B49B6">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1.1.5.5暂估价：</w:t>
      </w:r>
      <w:r>
        <w:rPr>
          <w:rFonts w:hint="eastAsia" w:asciiTheme="majorEastAsia" w:hAnsiTheme="majorEastAsia" w:eastAsiaTheme="majorEastAsia" w:cstheme="majorEastAsia"/>
          <w:sz w:val="24"/>
          <w:szCs w:val="24"/>
          <w:highlight w:val="none"/>
          <w:lang w:val="en-US" w:eastAsia="zh-CN"/>
        </w:rPr>
        <w:t>本项目不涉及暂列金额。</w:t>
      </w:r>
    </w:p>
    <w:p w14:paraId="1D505B5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本款补充第1.1.7项：</w:t>
      </w:r>
    </w:p>
    <w:p w14:paraId="02D308E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1.1.7 证书</w:t>
      </w:r>
    </w:p>
    <w:p w14:paraId="3F17D09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1.1.7.1 进度付款证书：指除最后结清证书之外的、由监理人签发的任何支付证书。</w:t>
      </w:r>
    </w:p>
    <w:p w14:paraId="021CC71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1.1.7.2 最终结清证书：指监理人按17.6.2项签发的支付证书。</w:t>
      </w:r>
    </w:p>
    <w:p w14:paraId="05C25B8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1.4合同文件的优先顺序：</w:t>
      </w:r>
    </w:p>
    <w:p w14:paraId="72C6AA4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（1）合同协议书及各种合同附件（含评标期间和合同谈判过程中的澄清文件和补充资料）；</w:t>
      </w:r>
    </w:p>
    <w:p w14:paraId="364A5F4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（2）中标通知书；</w:t>
      </w:r>
    </w:p>
    <w:p w14:paraId="0838576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（3）投标函及投标函附录；</w:t>
      </w:r>
    </w:p>
    <w:p w14:paraId="266C413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（4）项目专用合同条款及项目专用合同条款数据表（含招标文件补遗书中与此有关的部分）；</w:t>
      </w:r>
    </w:p>
    <w:p w14:paraId="1071620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（5）公路工程专用合同条款；</w:t>
      </w:r>
    </w:p>
    <w:p w14:paraId="065E811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（6）通用合同条款；</w:t>
      </w:r>
    </w:p>
    <w:p w14:paraId="4B48A3E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（7）技术规范（含招标文件补遗书中与此有关的部分）；</w:t>
      </w:r>
    </w:p>
    <w:p w14:paraId="6BC4F01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（8）图纸（含招标文件补遗书中与此有关的部分）；</w:t>
      </w:r>
    </w:p>
    <w:p w14:paraId="1D0ED82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（9）已标价工程量清单；</w:t>
      </w:r>
    </w:p>
    <w:p w14:paraId="205ABEF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（10）承包人有关人员、设备投入的承诺；</w:t>
      </w:r>
    </w:p>
    <w:p w14:paraId="5F9A49A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（11）其他合同文件。</w:t>
      </w:r>
    </w:p>
    <w:p w14:paraId="5D80C25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 图纸和承包人文件</w:t>
      </w:r>
    </w:p>
    <w:p w14:paraId="288C205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1.6.1 发包人提供图纸的期限、数量：合同生效后3天内，发包人给承包人提供一套图纸，并向承包人进行技术交底。承包人需要更多份数时，应自费复制。由于发包人未按时提供图纸造成工期延误的，按第11.3款的约定办理。</w:t>
      </w:r>
    </w:p>
    <w:p w14:paraId="3F1442B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1.6.2 承包人提供文件的期限和数量：承包人按单项开工前7天，承包人提供一套对部分工程的大样图、加工图等报送监理人和发包人。</w:t>
      </w:r>
    </w:p>
    <w:p w14:paraId="6ACEB75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监理人批复承包人提供文件的期限：收到承包人提供文件7天内 </w:t>
      </w:r>
    </w:p>
    <w:p w14:paraId="75990E41">
      <w:pPr>
        <w:keepNext w:val="0"/>
        <w:keepLines w:val="0"/>
        <w:pageBreakBefore w:val="0"/>
        <w:tabs>
          <w:tab w:val="left" w:pos="8280"/>
        </w:tabs>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1.6.3 监理人签发图纸修改的期限：在该工程或工程相应部位施工前</w:t>
      </w:r>
      <w:r>
        <w:rPr>
          <w:rFonts w:hint="eastAsia" w:asciiTheme="majorEastAsia" w:hAnsiTheme="majorEastAsia" w:eastAsiaTheme="majorEastAsia" w:cstheme="majorEastAsia"/>
          <w:sz w:val="24"/>
          <w:szCs w:val="24"/>
          <w:highlight w:val="none"/>
          <w:u w:val="single"/>
        </w:rPr>
        <w:t xml:space="preserve"> 7 </w:t>
      </w:r>
      <w:r>
        <w:rPr>
          <w:rFonts w:hint="eastAsia" w:asciiTheme="majorEastAsia" w:hAnsiTheme="majorEastAsia" w:eastAsiaTheme="majorEastAsia" w:cstheme="majorEastAsia"/>
          <w:sz w:val="24"/>
          <w:szCs w:val="24"/>
          <w:highlight w:val="none"/>
        </w:rPr>
        <w:t>天签发图纸修改图给承包人，关键工程应在施工前7天签发。</w:t>
      </w:r>
    </w:p>
    <w:p w14:paraId="0BE2054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1.6.4本项细化为：当承包人在阅读合同文件或在本合同工程实施过程中，发现有关的工程设计、技术规范、图纸或其他资料中的任何差错、遗漏或缺陷后，应及时书面通知监理人。监理人接到通知后，应立即就此作出决定，并通知承包人和发包人。</w:t>
      </w:r>
    </w:p>
    <w:p w14:paraId="0553674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color w:val="FF0000"/>
          <w:sz w:val="24"/>
          <w:szCs w:val="24"/>
          <w:highlight w:val="none"/>
        </w:rPr>
      </w:pPr>
      <w:r>
        <w:rPr>
          <w:rFonts w:hint="eastAsia" w:asciiTheme="majorEastAsia" w:hAnsiTheme="majorEastAsia" w:eastAsiaTheme="majorEastAsia" w:cstheme="majorEastAsia"/>
          <w:sz w:val="24"/>
          <w:szCs w:val="24"/>
          <w:highlight w:val="none"/>
        </w:rPr>
        <w:t>1.7 联络</w:t>
      </w:r>
    </w:p>
    <w:p w14:paraId="03DAECD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1.7.2 联络送达的期限： 联络签发后3天内。</w:t>
      </w:r>
    </w:p>
    <w:p w14:paraId="4AB9A98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2.发包人义务</w:t>
      </w:r>
    </w:p>
    <w:p w14:paraId="5AC4385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2.3 提供施工场地（注：本项目施工场地指公路用地）</w:t>
      </w:r>
    </w:p>
    <w:p w14:paraId="51EEF01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w:t>
      </w:r>
    </w:p>
    <w:p w14:paraId="1E50774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发包人提供施工场地和有关资料的时间：合同生效后分阶段向承包人提供场地和有关资料，以开工令为准。</w:t>
      </w:r>
    </w:p>
    <w:p w14:paraId="45B47FD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2.8 其他义务</w:t>
      </w:r>
    </w:p>
    <w:p w14:paraId="7AA7A99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增加2.8.1发包人应：协调勘察、设计、承包人、监理人，以及其他与工程施工有关的关系。</w:t>
      </w:r>
    </w:p>
    <w:p w14:paraId="1CD4F13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3.监理人</w:t>
      </w:r>
    </w:p>
    <w:p w14:paraId="3DDA6DD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3.1 监理人的职责和权利</w:t>
      </w:r>
    </w:p>
    <w:p w14:paraId="73C0FB5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增加3.1.5总监理人授权或撤销其他监理人员的某项权利，应及时通知承包人和发包人。</w:t>
      </w:r>
    </w:p>
    <w:p w14:paraId="4014525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4.承包人</w:t>
      </w:r>
    </w:p>
    <w:p w14:paraId="7BE67E9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4.1 承包人的一般义务</w:t>
      </w:r>
    </w:p>
    <w:p w14:paraId="6BCDD467">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承包人在进行本合同工程的各项工作时，应保障发包人和其他第三方的财产和利益、以及使用公用道路、水源等公共设施的权利免受损害。</w:t>
      </w:r>
    </w:p>
    <w:p w14:paraId="2ADE1609">
      <w:pPr>
        <w:keepNext w:val="0"/>
        <w:keepLines w:val="0"/>
        <w:pageBreakBefore w:val="0"/>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任何为本工程正常使用功能的，或本工程设计寿命所必须的，或为本工程适用的任何规范、规程或标准所要求的工作，均作为承包人的责任和义务由承包人承担。</w:t>
      </w:r>
    </w:p>
    <w:p w14:paraId="32F6E458">
      <w:pPr>
        <w:keepNext w:val="0"/>
        <w:keepLines w:val="0"/>
        <w:pageBreakBefore w:val="0"/>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承包人应按发包人或监理人的指令，及时合理调整和安排自己的现场作业和施工组织，为其他承包商或第三方在本工地内或附近区域实施相关的其他各项工作无偿提供必要的便利条件。</w:t>
      </w:r>
    </w:p>
    <w:p w14:paraId="0775CAC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应妥善处理、协调与工程现场周围乡村、兄弟单位、协作单位的环境关系，保持与工程现场周边居民、群众的和谐关系，避免发生施工扰民及民扰事件。承包人应充分了解清楚各种此类因素，并将所需全部费用包含于工程量清单子目报价中，不再单独计量支付。发包人亦不再另行承担任何因施工扰民而引发民扰的有关责任和费用，工期亦不予延长。承包人的施工方案中应对扰民或民扰之防范制定详细的切实可行的措施。</w:t>
      </w:r>
    </w:p>
    <w:p w14:paraId="36DE5A9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承包人应对临时道路、排水等设施的修建作充分考虑，保证施工现场以及邻近区域的交通及排水等通畅，所有此类费用已经包含在合同价款中，不再单独计量支付。</w:t>
      </w:r>
    </w:p>
    <w:p w14:paraId="731ED16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任何情况下，承包人均不得拖欠农民工工资。如因承包人违反本条所导致的停工、延误工期或行政罚款等损失由承包人自行承担。</w:t>
      </w:r>
    </w:p>
    <w:p w14:paraId="2EE839D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4.1.8 为他人提供方便 </w:t>
      </w:r>
    </w:p>
    <w:p w14:paraId="775BC1A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承包人为他人提供条件的内容：(a) 承包人应提供由其建设和维护的临时道路、桥梁、隧道、电梯等通道和设施给发包人许可的其他承包人使用，为其他承包人提供现场通道、施工场地和空间；(b) 承包人应配合发包人进行相关的科研和试验研究，并为其提供必要的试验场地、设备及人员等；（c）承包人应按监理人的要求配合相关单位的工作等。</w:t>
      </w:r>
    </w:p>
    <w:p w14:paraId="227E3D9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承包人为他人提供条件可能发生费用的处理方法：承包人自费</w:t>
      </w:r>
    </w:p>
    <w:p w14:paraId="211032A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4.1.10其他义务</w:t>
      </w:r>
    </w:p>
    <w:p w14:paraId="3CB63D0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增加以下内容：</w:t>
      </w:r>
    </w:p>
    <w:p w14:paraId="59FE058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为规范项目农民工工资支付行为，预防和解决企业拖欠、克扣农民工工资问题，中标人须按照关于印发《陕西省工程建设领域农民工工资专用账户管理暂行办法实施细则》的通知（陕人社发【2022】5号）、关于印发《陕西省工程建设领域农民工工资保证金规定实施办法》的通知（陕人社发【2022】6号）文件要求在项目所在地银行金融机构开立农民工工资专用账户、存储农民工工资保证金等事宜。</w:t>
      </w:r>
    </w:p>
    <w:p w14:paraId="5B4E73A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发包人及其上级有关单位对项目审计，涉及到本合同段时，承包人应积极配合，不得拒绝、隐藏和提供虚假资料，不得阻挠审计。对审计的结果和决定应予以执行。按照规定，本项目竣工决算审计没有完成，不结清尾留工程款。</w:t>
      </w:r>
    </w:p>
    <w:p w14:paraId="6169BB3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承包人及监理在施工过程中，对于发现的设计与实际不符、方案不合理的问题，应及时向项目法人提出优化完善的意见和建议。如因未及时发现和提出而继续施工造成质量问题，要承担相应责任并按照陕西省交通厅及招标人有关质量及信誉评价规定处罚。</w:t>
      </w:r>
    </w:p>
    <w:p w14:paraId="7055EFC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承包人应尊重项目所在地的乡规民俗，处理好与地方政府、人民群众的关系，积极处理与建设环境有关的纠纷，与发包人共同维护和保障建设施工环境。如出现承包人自身原因引起的建设环境问题，应视为承包人违约，按22.1.2项向承包人处以违约罚金。</w:t>
      </w:r>
    </w:p>
    <w:p w14:paraId="4EDCA47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(5)承包人应严格遵守发包人为本项目顺利实施而制定的一系列管理办法，否则视为承包人违约，按22.1.2项向承包人处以违约罚金。</w:t>
      </w:r>
    </w:p>
    <w:p w14:paraId="65887975">
      <w:pPr>
        <w:keepNext w:val="0"/>
        <w:keepLines w:val="0"/>
        <w:pageBreakBefore w:val="0"/>
        <w:widowControl/>
        <w:kinsoku/>
        <w:wordWrap/>
        <w:overflowPunct/>
        <w:topLinePunct w:val="0"/>
        <w:autoSpaceDE w:val="0"/>
        <w:autoSpaceDN w:val="0"/>
        <w:bidi w:val="0"/>
        <w:adjustRightInd w:val="0"/>
        <w:snapToGrid w:val="0"/>
        <w:spacing w:line="360" w:lineRule="auto"/>
        <w:ind w:firstLine="360" w:firstLineChars="150"/>
        <w:jc w:val="left"/>
        <w:textAlignment w:val="bottom"/>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(6) 承包人应接受质监机构对其工程施工质量的监督与检查，凡工程质量不合格的工程不验收、不支付，并应自费拆除重建。</w:t>
      </w:r>
    </w:p>
    <w:p w14:paraId="13C8D782">
      <w:pPr>
        <w:keepNext w:val="0"/>
        <w:keepLines w:val="0"/>
        <w:pageBreakBefore w:val="0"/>
        <w:widowControl/>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 承包人应对本项目雇用劳务、运输、供料等委托单位的经济往来全权负责。在工程结束后撤出现场前均应结算清楚。否则，承包人与委托单位之间发生的经济纠纷，应由承包人承担一切经济和法律责任。</w:t>
      </w:r>
    </w:p>
    <w:p w14:paraId="2904E9BB">
      <w:pPr>
        <w:keepNext w:val="0"/>
        <w:keepLines w:val="0"/>
        <w:pageBreakBefore w:val="0"/>
        <w:widowControl/>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 在本项目竣工验收后的有效使用期内，承包人应继续承担因施工原因而引起的质量责任。</w:t>
      </w:r>
    </w:p>
    <w:p w14:paraId="531A87D5">
      <w:pPr>
        <w:keepNext w:val="0"/>
        <w:keepLines w:val="0"/>
        <w:pageBreakBefore w:val="0"/>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 承包人应自行解决施工用电、用水、通讯问题，并应根据本合同工程的施工需要修建临时道路、桥涵。为执行本款要求所发生的一切费用认为已包含在工程量清单的相关报价之中，发包人不再单独支付。</w:t>
      </w:r>
    </w:p>
    <w:p w14:paraId="5A9708AA">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(10) 与本工程项目相关的审计和稽查，承包人应高度重视并委派专人积极予以配合，对审计和稽查的有关意见承包人应无条件地及时整改。</w:t>
      </w:r>
    </w:p>
    <w:p w14:paraId="3D40A4C8">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 有关单位对本项目的各种检查和视察等活动，承包人有义务予以积极配合开展各项工作。</w:t>
      </w:r>
    </w:p>
    <w:p w14:paraId="5B27C486">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 本工程项目有关的各类统计报表和汇报材料包括项目后评价报告，承包人有义务配合发包人做好编制工作并提供相应的资料。</w:t>
      </w:r>
    </w:p>
    <w:p w14:paraId="7F13DEDF">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 承包人应按发包人和有关文件要求，建立相应的计量、支付和变更台帐，同时承包人应配合发包人建立相应的台帐，发包人、承包人、监理单位三方各自的台帐应相应保持一致并保持其持续有效直至工程决算完成。</w:t>
      </w:r>
    </w:p>
    <w:p w14:paraId="0AA2A359">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(14)承包人的工地试验室的试验检测必须遵守《公路水运工程试验检测管理办法》(交通运输部令2016年第80号)、陕西省的相关规定。且监理人在必要时可以使用承包人的试验检测设备，承包人应无偿提供。</w:t>
      </w:r>
    </w:p>
    <w:p w14:paraId="340DB699">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承包人应严格遵守海事、水利、环保、渔政等有关部门的规定，切实执行保证航行安全的各项安全防护措施，并保证施工安全，严格防止污染水域，严格执行各项环保措施。如果由于承包人未执行有关规定而发生赔偿，一切损失及费用应由承包人自行承担。</w:t>
      </w:r>
    </w:p>
    <w:p w14:paraId="5DC2B9B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 为确保本项目施工在汛期不受影响，投标人应在施工组织设计建议书中就汛期施工制定防汛应急预案，该预案应符合有关部门的规定。由此所发生的一切费用认为已包含在工程量清单的相关报价之中，发包人不再单独支付。</w:t>
      </w:r>
    </w:p>
    <w:p w14:paraId="74D017C9">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建设环境的维护：承包人应尊重项目所在地的乡规民约和风俗习惯，尊重地方政府，密切联系群众，处理好与沿线地方政府、人民群众的关系，积极主动地处理好与建设环境有关的纠纷、事件，有责任和义务与发包人共同维护建设施工环境及保障。如出现因承包人自身原因引起的建设环境问题，视承包人违约，按第22.1款办理。</w:t>
      </w:r>
    </w:p>
    <w:p w14:paraId="6DE2D123">
      <w:pPr>
        <w:keepNext w:val="0"/>
        <w:keepLines w:val="0"/>
        <w:pageBreakBefore w:val="0"/>
        <w:widowControl/>
        <w:kinsoku/>
        <w:wordWrap/>
        <w:overflowPunct/>
        <w:topLinePunct w:val="0"/>
        <w:bidi w:val="0"/>
        <w:adjustRightInd w:val="0"/>
        <w:snapToGrid w:val="0"/>
        <w:spacing w:line="360" w:lineRule="auto"/>
        <w:ind w:firstLine="42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文明工地建设:承包人应按交通运输部和陕西省交通运输厅关于文明施工及文明工地建设的有关要求组织、管理施工现场，并在所在项目分界处设立门架及工程情况简介标志牌，标志牌应使用铝合金板。同时，施工人员、管理人员以及施工作业人员和劳务人员必须挂牌上岗。承包人应做到临建设施（驻地、预制场、拌和场、料场）地面硬化，材料堆放整齐、标识明显。所需的一切费用认为已包含在工程量清单的相关报价之中，发包人不再单独支付。</w:t>
      </w:r>
    </w:p>
    <w:p w14:paraId="17173B0C">
      <w:pPr>
        <w:keepNext w:val="0"/>
        <w:keepLines w:val="0"/>
        <w:pageBreakBefore w:val="0"/>
        <w:widowControl/>
        <w:kinsoku/>
        <w:wordWrap/>
        <w:overflowPunct/>
        <w:topLinePunct w:val="0"/>
        <w:bidi w:val="0"/>
        <w:adjustRightInd w:val="0"/>
        <w:snapToGrid w:val="0"/>
        <w:spacing w:line="360" w:lineRule="auto"/>
        <w:ind w:firstLine="42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4.3.2 分包的内容</w:t>
      </w:r>
    </w:p>
    <w:p w14:paraId="032855C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不允许分包</w:t>
      </w:r>
    </w:p>
    <w:p w14:paraId="0424D7A3">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4.4 联合体</w:t>
      </w:r>
    </w:p>
    <w:p w14:paraId="7F93104E">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本项目不接受联合体投标。</w:t>
      </w:r>
    </w:p>
    <w:p w14:paraId="5F465A5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4.6.7 在工程施工期间，为加强管理和认真履行合同义务，承包人应按4.6.1提供人员委派项目经理和总工，应保证及时到位并常驻现场进行对本合同工程的管理，并保持其岗位的相对稳定；</w:t>
      </w:r>
    </w:p>
    <w:p w14:paraId="6EDA53D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如果需要更换投标书附表所报项目经理或项目技术负责人名单时，应事先取得发包人的同意，但仍将按第22.1款视为承包人违约。</w:t>
      </w:r>
    </w:p>
    <w:p w14:paraId="5269D586">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如果发包人认为项目经理或项目技术负责人的工作能力和业务水平不称职，需要撤换时，承包人应在接到通知后，尽快按合同要求重新委派新的项目经理或项目技术负责人，并对新委派的项目经理或项目技术负责人进行为期一个月的考察，合格后方可上岗，否则重新委派，在此期间原任项目经理或项目技术负责人不得离开工地。</w:t>
      </w:r>
    </w:p>
    <w:p w14:paraId="32ACB3C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4.6.8 承包人应对施工现场工作人员进行标准化施工培训，费用由承包人自行承担。</w:t>
      </w:r>
    </w:p>
    <w:p w14:paraId="157FF177">
      <w:pPr>
        <w:keepNext w:val="0"/>
        <w:keepLines w:val="0"/>
        <w:pageBreakBefore w:val="0"/>
        <w:widowControl/>
        <w:kinsoku/>
        <w:wordWrap/>
        <w:overflowPunct/>
        <w:topLinePunct w:val="0"/>
        <w:bidi w:val="0"/>
        <w:adjustRightInd w:val="0"/>
        <w:snapToGrid w:val="0"/>
        <w:spacing w:line="360" w:lineRule="auto"/>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4.8 保障承包人人员的合法权益</w:t>
      </w:r>
    </w:p>
    <w:p w14:paraId="6EA55E11">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4.8.1项补充：</w:t>
      </w:r>
    </w:p>
    <w:p w14:paraId="723F679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承包人应严格遵守劳社部发〔2005〕9号《关于加强建设等行业农民工劳动合同管理的通知》及国家有关解决拖欠工程款和民工工资的法律、法规，及时支付工程中的材料、设备货款及农民工工资等费用。承包人不得以任何借口拖欠材料、设备货款及农民工工资等费用，如果出现此种现象，经查实后，一律通报批评并责令承包人自行组织资金迅速偿还欠款。对恶意拖欠和拒不按计划支付的，记入信用档案，并依法追究承包人的法律责任。</w:t>
      </w:r>
    </w:p>
    <w:p w14:paraId="1C0F4913">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承包人的项目经理部是农民工工资支付行为的主体，承包人的项目经理或授权的项目副经理是民工工资支付的责任人。项目经理部要建立全体民工花名册和工资支付表，确保将工资直接发放给农民工本人，或委托银行发放农民工工资，严禁发放给“包工头”或其他不具备用工主体资格的组织和个人。</w:t>
      </w:r>
    </w:p>
    <w:p w14:paraId="2FE904D0">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工资支付表应如实记录支付单位、支付时间、支付对象、支付数额、支付对象的身份证号和签字等工资支付情况。农民工花名册和工资支付表报监理备查。</w:t>
      </w:r>
    </w:p>
    <w:p w14:paraId="6475508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如承包人发生本款所述拖欠行为，一经查实，一律通报并责令承包人自行组织资金迅速偿还欠款。对恶意拖欠和拒不按计划偿付的，必要时，发包人可以暂停拨付工程款或可以从中期支付款中直接扣除支付给拖欠对象，并将有关情况报交通主管部门调查处理，必要时可解除合同并依法追究承包人的法律责任。</w:t>
      </w:r>
    </w:p>
    <w:p w14:paraId="22AABAE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4.8.2项补充：</w:t>
      </w:r>
    </w:p>
    <w:p w14:paraId="0849A8E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承包人在夜间或国家规定的节假日进行永久工程的施工，应向监理人报告，以便监理人履行监理职责和义务。但是，为了抢救生命或保护财产，或为了工程的安全、质量而不可避免地短暂作业，则不必事先向监理人报告。但承包人应在事后立即向监理人报告。 </w:t>
      </w:r>
    </w:p>
    <w:p w14:paraId="3DC3419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本款规定不适用于习惯上或施工本身要求实行连续生产的作业。</w:t>
      </w:r>
    </w:p>
    <w:p w14:paraId="0B8DCC5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本款增加第4.8.7项：</w:t>
      </w:r>
    </w:p>
    <w:p w14:paraId="48A51DD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4.8.7承包人应自费采取必须的卫生防护措施，经常保持现场及其驻地整洁和卫生，以保护职员和工人的健康，并应与当地卫生部门合作，根据要求在整个合同执行期间配备医务人员，防止传染病和准备常用的急救药物。在炎热的高温条件下施工时，承包人应注意采取防暑降温措施。</w:t>
      </w:r>
    </w:p>
    <w:p w14:paraId="1D9143E5">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承包人还应负责为其雇用的员工供应清洁的饮用水和合格的施工用水。</w:t>
      </w:r>
    </w:p>
    <w:p w14:paraId="374A394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4.9 工程价款应专款专用</w:t>
      </w:r>
    </w:p>
    <w:p w14:paraId="08E6DEED">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不设置专用账户，发包人按合同约定支付给承包人的各项价款应专用于合同工程。承包人应向发包人授权进行本合同工程开户银行工程资金的查询。发包人支付的工程进度款应为本工程的专款专用资金，不得转移或用于其他工程。否则，将终止月支付，直至承包人改正为止。</w:t>
      </w:r>
    </w:p>
    <w:p w14:paraId="0F18AD7F">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4.10 承包人现场查勘 </w:t>
      </w:r>
    </w:p>
    <w:p w14:paraId="1EB2632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4.10.2项细化为：</w:t>
      </w:r>
    </w:p>
    <w:p w14:paraId="3A62A3B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应认为，承包人在送交投标文件之前，已进行了现场考察，对现场和其周围环境以及可得到的有关资料进行了察看和核查，并收集有关地质、水文、气象条件、交通条件、风俗习惯以及其他为完成合同工作有关的当地资料。还应认为，承包人已取得可能对投标有影响或起作用的风险、意外等的必要资料；因此认为，承包人的投标文件是以发包人所提供资料和他自己的察看和核查为依据的。在全部合同工作中，应视为承包人已充分估计了应承担的责任和风险。</w:t>
      </w:r>
    </w:p>
    <w:p w14:paraId="06121F53">
      <w:pPr>
        <w:keepNext w:val="0"/>
        <w:keepLines w:val="0"/>
        <w:pageBreakBefore w:val="0"/>
        <w:kinsoku/>
        <w:wordWrap/>
        <w:overflowPunct/>
        <w:topLinePunct w:val="0"/>
        <w:bidi w:val="0"/>
        <w:adjustRightInd w:val="0"/>
        <w:snapToGrid w:val="0"/>
        <w:spacing w:line="360" w:lineRule="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4.11 不利物质条件</w:t>
      </w:r>
    </w:p>
    <w:p w14:paraId="75A13E86">
      <w:pPr>
        <w:keepNext w:val="0"/>
        <w:keepLines w:val="0"/>
        <w:pageBreakBefore w:val="0"/>
        <w:kinsoku/>
        <w:wordWrap/>
        <w:overflowPunct/>
        <w:topLinePunct w:val="0"/>
        <w:bidi w:val="0"/>
        <w:adjustRightInd w:val="0"/>
        <w:snapToGrid w:val="0"/>
        <w:spacing w:line="360" w:lineRule="auto"/>
        <w:ind w:firstLine="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4.11.3可预见的不利物质条件</w:t>
      </w:r>
    </w:p>
    <w:p w14:paraId="7E3D1D45">
      <w:pPr>
        <w:keepNext w:val="0"/>
        <w:keepLines w:val="0"/>
        <w:pageBreakBefore w:val="0"/>
        <w:kinsoku/>
        <w:wordWrap/>
        <w:overflowPunct/>
        <w:topLinePunct w:val="0"/>
        <w:bidi w:val="0"/>
        <w:adjustRightInd w:val="0"/>
        <w:snapToGrid w:val="0"/>
        <w:spacing w:line="360" w:lineRule="auto"/>
        <w:ind w:firstLine="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本项细化为：</w:t>
      </w:r>
    </w:p>
    <w:p w14:paraId="5F159D99">
      <w:pPr>
        <w:keepNext w:val="0"/>
        <w:keepLines w:val="0"/>
        <w:pageBreakBefore w:val="0"/>
        <w:kinsoku/>
        <w:wordWrap/>
        <w:overflowPunct/>
        <w:topLinePunct w:val="0"/>
        <w:bidi w:val="0"/>
        <w:adjustRightInd w:val="0"/>
        <w:snapToGrid w:val="0"/>
        <w:spacing w:line="360" w:lineRule="auto"/>
        <w:ind w:firstLine="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(1)对于合同中已经明确指出的可预见的不利物质条件无论承包人是否有其经历和经验均视为承包人在接受合同时已预见其影响，并已在合同报价中计入其影响而可能发生的一切费用。</w:t>
      </w:r>
    </w:p>
    <w:p w14:paraId="06D19E39">
      <w:pPr>
        <w:keepNext w:val="0"/>
        <w:keepLines w:val="0"/>
        <w:pageBreakBefore w:val="0"/>
        <w:kinsoku/>
        <w:wordWrap/>
        <w:overflowPunct/>
        <w:topLinePunct w:val="0"/>
        <w:bidi w:val="0"/>
        <w:adjustRightInd w:val="0"/>
        <w:snapToGrid w:val="0"/>
        <w:spacing w:line="360" w:lineRule="auto"/>
        <w:ind w:firstLine="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(2)对于合同未明确指出，但是在可预见的不利物质条件发生之前，监理人已经指示承包人有可能发生，但承包人未能及时采取有效措施，而导致的损失和后果均由承包人承担。</w:t>
      </w:r>
    </w:p>
    <w:p w14:paraId="720BBB06">
      <w:pPr>
        <w:keepNext w:val="0"/>
        <w:keepLines w:val="0"/>
        <w:pageBreakBefore w:val="0"/>
        <w:kinsoku/>
        <w:wordWrap/>
        <w:overflowPunct/>
        <w:topLinePunct w:val="0"/>
        <w:bidi w:val="0"/>
        <w:adjustRightInd w:val="0"/>
        <w:snapToGrid w:val="0"/>
        <w:spacing w:line="360" w:lineRule="auto"/>
        <w:ind w:firstLine="42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(3)对于在没有监理人具体指令情况下，承包人已经及时采取了合理而恰当的措施，并事后为监理人接受，监理人应适当考虑承包人因此增加的费或工期延误。</w:t>
      </w:r>
    </w:p>
    <w:p w14:paraId="2CEF89D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5.材料和工程设备</w:t>
      </w:r>
    </w:p>
    <w:p w14:paraId="1CC0EEB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5.1 承包人提供的材料和工程设备</w:t>
      </w:r>
    </w:p>
    <w:p w14:paraId="5542196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5.1.1 承包人负责采购、运输和保管的材料、工程设备：工程施工图列明所需要的所有材料及设备（试验设备及施工设备），材料必须有出厂检验合格单，进场每批次必须检验合格，经监理人确认后，方可用于工程</w:t>
      </w:r>
    </w:p>
    <w:p w14:paraId="370778A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5.1.2承包人报送监理人审批的时间：购买前7天内</w:t>
      </w:r>
    </w:p>
    <w:p w14:paraId="32590A6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第5.1.4项增加</w:t>
      </w:r>
    </w:p>
    <w:p w14:paraId="688EDAE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招标文件（含图纸部分）及施工图文件中所指示的材料料场，仅为投标人提供参照，投标人在投标前和中标进场后，应自行对材料料场进行调查按合同文件有关要求确定料源地。投标报价时应参考投标人调查的实际情况。发包人提供的料场信息仅供投标人参考，发包人对此不承担任何责任。</w:t>
      </w:r>
    </w:p>
    <w:p w14:paraId="49AC7DD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6.施工设备和临时设施</w:t>
      </w:r>
    </w:p>
    <w:p w14:paraId="39B1131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6.1 承包人提供的施工设备和临时设施</w:t>
      </w:r>
    </w:p>
    <w:p w14:paraId="51CBD78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6.1.1 承包人应按合同进度计划的要求，及时配置施工设备和修建临时设施。进入场地的承包人设备需经监理人核查后才能投入使用。承包人更换合同约定的承包人设备的应报监理人批准，否则将按本条款第22.1条办理。</w:t>
      </w:r>
    </w:p>
    <w:p w14:paraId="2CA8442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并在通用条款本款后增加:尽管承包人已按投标书附表的要求提供了上述相应的施工机械设备、试验测量仪器，但监理人认为数量、性能或测试精度不能满足现场施工需要和保证质量时，监理人有权要求承包人继续增加相应的机械设备和试验测量仪器，并书面通知承包人和抄送发包人。承包人接到监理人指令后应立即执行并确保在监理人规定的时间内如数到场，否则也将视为承包人违约，按本条款第22.1条办理。</w:t>
      </w:r>
    </w:p>
    <w:p w14:paraId="20E6DFA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6.1.2 承包人承担修建临时设施的范围：驻地的办公室、食堂、宿舍、道路和机械设备停放场、材料堆放场地、取弃土场、预制场、拌和场、仓库、进场临时道路、临时便道、便桥等 </w:t>
      </w:r>
    </w:p>
    <w:p w14:paraId="0E23AD6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临时占地的申请：临时用地的申请由发包人协助承包人向当地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承包人的任何款项中扣除。</w:t>
      </w:r>
    </w:p>
    <w:p w14:paraId="2834EE5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临时占地相关费用：临时占地租用费，含临时用地中如有地面附着物拆迁补偿费用，由承包人报价，并包含在所报相应子目的单价或总额价内，所增加费用不单独计量与支付。</w:t>
      </w:r>
    </w:p>
    <w:p w14:paraId="2A14694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7.交通运输</w:t>
      </w:r>
    </w:p>
    <w:p w14:paraId="403C1BF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7.2 场内施工道路</w:t>
      </w:r>
    </w:p>
    <w:p w14:paraId="19BF4FB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7.2.1 临时道路、便桥和交通设施的修建、维护、养护和管理人：承包人。</w:t>
      </w:r>
    </w:p>
    <w:p w14:paraId="0A35298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7.2.2 临时道路、便桥和交通设施相关费用的承担：由承包人报价，并包含在所报相应子目的单价或总额价内，所增加费用不单独计量与支付。 </w:t>
      </w:r>
    </w:p>
    <w:p w14:paraId="728361C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7.4 超大件和超重件的运输</w:t>
      </w:r>
    </w:p>
    <w:p w14:paraId="2C2B977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道路和桥梁临时加固改造费用和其他有关费用的承担：由承包人自行调查，该费用并入相关支付细目。</w:t>
      </w:r>
    </w:p>
    <w:p w14:paraId="017A21F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8.测量放线</w:t>
      </w:r>
    </w:p>
    <w:p w14:paraId="5DF931E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8.1 施工控制网</w:t>
      </w:r>
    </w:p>
    <w:p w14:paraId="4008B04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8.1.1 发包人提供测量基准点、基准线和水准点的期限：开工前7天 。</w:t>
      </w:r>
    </w:p>
    <w:p w14:paraId="2FC28E8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施工控制网的测设：承包人 </w:t>
      </w:r>
    </w:p>
    <w:p w14:paraId="5B08F17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报监理人审批施工控制网资料的期限：发出开工通知后7天。</w:t>
      </w:r>
    </w:p>
    <w:p w14:paraId="043E12A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9.施工安全、治安保卫和环境保护。</w:t>
      </w:r>
    </w:p>
    <w:p w14:paraId="5D4DB19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9.3 治安保卫</w:t>
      </w:r>
    </w:p>
    <w:p w14:paraId="64E7E43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9.3.1 现场治安管理机构或联防组织的建立：承包人。</w:t>
      </w:r>
    </w:p>
    <w:p w14:paraId="583AF95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9.3.3 施工场地治安管理计划和突发治安事件紧急预案的编制：由承包人负责编制，监理人负责审核，发包人审批。</w:t>
      </w:r>
    </w:p>
    <w:p w14:paraId="6D0653C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在合同通用条款9、施工安全、治安保卫和环境保护后补充：在实施和完成本合同工程及其缺陷修复的整个过程中，承包人应该：（1）充分关注和保障所有在现场工作的人员的安全，采取有效措施，使现场和本合同工程的实施保持有条不紊，以免使上述人员的安全受到威胁：a.按施工人员的2%～4%配备专职的安全员； b.特殊工种（电工、电梯工、起重工、电焊工、车船驾驶员等）要经过专业培训，并持有专业主管部门签发的合格证上岗；c.对于易燃易爆的材料除应专门妥善保管之外，还应配备有足够的消防设备，所有施工人员都应熟悉消防设备的性能和使用方法； d.所有施工机具设备和高空作业的设备均应定期检查，并有安全员的签字记录；e.根据本合同各单位工程的施工特点，严格执行JTJ 076—95《公路工程施工安全技术规程》与《公路筑养路机械操作规程》的具体规定。（2）为了保护本合同工程免遭损坏，或为了现场附近和过往群众的安全与方便，在确有必要的时候和地方，或当监理人或有关主管部门要求时，承包人应自费提供照明、警卫、护栅、警告标志等安全防护设施。（3）承包人应熟悉和遵守环境保护法，并切实执行技术规范和其他章节中有关环境保护方面的要求和规定。a.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b.对于施工中粉尘污染的主要污染源-灰土拌和、施工车辆和筑路机械运行及运输产生的扬尘，应采取有效措施减轻施工现场的大气污染，保护人民健康，如：（a）拌和设备应有较好的密封，或有防尘设备。（b）施工通道、沥青混凝土拌和站及灰土拌和站应经常进行洒水降尘。（c）路基施工完毕后，对施工便道、取弃土场、路基两侧等各类场地进行彻底清理，清除各种生产、生活垃圾，将各类场地进行充分地平整。（d）路面施工应注意保持水分，以免扬尘。（</w:t>
      </w:r>
      <w:r>
        <w:rPr>
          <w:rFonts w:hint="eastAsia" w:asciiTheme="majorEastAsia" w:hAnsiTheme="majorEastAsia" w:eastAsiaTheme="majorEastAsia" w:cstheme="majorEastAsia"/>
          <w:sz w:val="24"/>
          <w:szCs w:val="24"/>
          <w:highlight w:val="none"/>
          <w:lang w:val="en-US" w:eastAsia="zh-CN"/>
        </w:rPr>
        <w:t>e</w:t>
      </w:r>
      <w:r>
        <w:rPr>
          <w:rFonts w:hint="eastAsia" w:asciiTheme="majorEastAsia" w:hAnsiTheme="majorEastAsia" w:eastAsiaTheme="majorEastAsia" w:cstheme="majorEastAsia"/>
          <w:sz w:val="24"/>
          <w:szCs w:val="24"/>
          <w:highlight w:val="none"/>
        </w:rPr>
        <w:t>）采取可靠措施保证原有交通的正常通行，维持沿线村镇的居民饮水、农田灌溉、生产生活用电及通讯等管线的正常使用。</w:t>
      </w:r>
    </w:p>
    <w:p w14:paraId="399B98A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在整个施工过程中对承包人采取的安全、保卫和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444C655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9.4环境保护</w:t>
      </w:r>
    </w:p>
    <w:p w14:paraId="4613D15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增加内容如下：</w:t>
      </w:r>
    </w:p>
    <w:p w14:paraId="04698F9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9.4.12承包人施工期间的环保措施应达到环评报告批复文件和施工阶段环保监测单位要求。承包人不采取环保措施或措施不满足监理人要求的，发包人有权另行委托承包人实施环保措施，由此造成的一切费用由承包人承担。</w:t>
      </w:r>
    </w:p>
    <w:p w14:paraId="63E92DB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9.4.13承包人在施工过程中应按监理人的要求将清理的表土和种植土集中堆放和保留种植土，并尽可能保护红线范围内的树木。</w:t>
      </w:r>
    </w:p>
    <w:p w14:paraId="798C7A9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9.4.14如果承包人需使用取土场或弃土场，应提前14天将取土场或弃土场的环境保护措施和恢复方案及其费用表报监理人审核及发包人批准，方案应与施工图设计一致并须符合水土保持及环境保护的有关要求(其中弃土场按“先挡后弃”的原则)，费用表中的单价应套用本合同段工程内容相同或相似的细目单价，方案一经批准必须在使用过程中严格执行。取土场或弃土场使用结束后，承包人须按上述批准后的方案进行恢复工作。取土场或弃土场的圬工防护及绿化恢复按技术规范要求在清单中计量。对未达方案规定的环境保护及恢复标准的取土场或弃土场，发包人有权委托其他承包人或第三方进行完善，费用由使用该取土场或弃土场的承包人承担。</w:t>
      </w:r>
    </w:p>
    <w:p w14:paraId="69257B7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9.5 事故处理</w:t>
      </w:r>
    </w:p>
    <w:p w14:paraId="20AD12A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w:t>
      </w:r>
    </w:p>
    <w:p w14:paraId="24EE7A3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安全事故报告和处理应按照《生产安全事故报告和调查处理条例》(国务院第493号令)的规定办理。</w:t>
      </w:r>
    </w:p>
    <w:p w14:paraId="60C893D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质量事故等级的划分和报告制度应按照《关于发布&lt;公路工程质量管理办法&gt;的通知》(交公路发[1999]90号)的规定办理。</w:t>
      </w:r>
    </w:p>
    <w:p w14:paraId="3A2501D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10.进度计划</w:t>
      </w:r>
    </w:p>
    <w:p w14:paraId="0100285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10.1 合同进度计划</w:t>
      </w:r>
    </w:p>
    <w:p w14:paraId="0AA8BC3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本款内容修改如下：</w:t>
      </w:r>
    </w:p>
    <w:p w14:paraId="608590A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编制施工方案的内容：1)施工的基本情况；2)施工内容；3)详细的施工方法和工作程序；4)施工管理机构及人员分工；5)计划进度；6)投入的材料、设备、劳力的安排；7)质量保证措施；8)安全保证措施；9)环保措施；10)文明施工；11)标准化施工措施。</w:t>
      </w:r>
    </w:p>
    <w:p w14:paraId="733328A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报送施工进度计划和施工方案的期限：承包人应在确保合同工期的前提下，每一个月对进度计划进行一次修订，并应在前一个进度计划的最后一个月25日前，将下个月的进度计划提交给监理人。修改后的工程进度计划仍应保证本合同工程在合同规定的工期内完成。</w:t>
      </w:r>
    </w:p>
    <w:p w14:paraId="61A7A35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同时，根据项目的总体及年度计划安排，承包人应于每月25日提交次月工程形象进度和完成工作量计划，经批准后，作为考核承包人月进度计划的依据。否则视违约处理。</w:t>
      </w:r>
    </w:p>
    <w:p w14:paraId="2E52EBE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监理人批复施工进度计划和施工方案的期限：收到进度计划书7天内。</w:t>
      </w:r>
    </w:p>
    <w:p w14:paraId="78ADEFE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11.开工和交工</w:t>
      </w:r>
    </w:p>
    <w:p w14:paraId="4412AD0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11.4 异常恶劣的气候条件</w:t>
      </w:r>
    </w:p>
    <w:p w14:paraId="15CE968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w:t>
      </w:r>
    </w:p>
    <w:p w14:paraId="6B4756E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异常气候是指项目所在地30年以上一遇的罕见气候现象（包括温度、降水、降雪、风等）。异常恶劣的气候条件在项目专用合同条款中作具体规定。</w:t>
      </w:r>
    </w:p>
    <w:p w14:paraId="6200D1C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11.5 承包人的工期延误</w:t>
      </w:r>
    </w:p>
    <w:p w14:paraId="3F393AB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逾期交工违约金的计算方法：</w:t>
      </w:r>
      <w:r>
        <w:rPr>
          <w:rFonts w:hint="eastAsia" w:asciiTheme="majorEastAsia" w:hAnsiTheme="majorEastAsia" w:eastAsiaTheme="majorEastAsia" w:cstheme="majorEastAsia"/>
          <w:sz w:val="24"/>
          <w:szCs w:val="24"/>
          <w:highlight w:val="none"/>
          <w:lang w:val="en-US" w:eastAsia="zh-CN"/>
        </w:rPr>
        <w:t>1000元</w:t>
      </w:r>
      <w:r>
        <w:rPr>
          <w:rFonts w:hint="eastAsia" w:asciiTheme="majorEastAsia" w:hAnsiTheme="majorEastAsia" w:eastAsiaTheme="majorEastAsia" w:cstheme="majorEastAsia"/>
          <w:sz w:val="24"/>
          <w:szCs w:val="24"/>
          <w:highlight w:val="none"/>
        </w:rPr>
        <w:t>/天。</w:t>
      </w:r>
    </w:p>
    <w:p w14:paraId="4B177E3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逾期交工违约金的限额：签约合同价的</w:t>
      </w:r>
      <w:r>
        <w:rPr>
          <w:rFonts w:hint="eastAsia" w:asciiTheme="majorEastAsia" w:hAnsiTheme="majorEastAsia" w:eastAsiaTheme="majorEastAsia" w:cstheme="majorEastAsia"/>
          <w:sz w:val="24"/>
          <w:szCs w:val="24"/>
          <w:highlight w:val="none"/>
          <w:lang w:val="en-US" w:eastAsia="zh-CN"/>
        </w:rPr>
        <w:t>5</w:t>
      </w:r>
      <w:r>
        <w:rPr>
          <w:rFonts w:hint="eastAsia" w:asciiTheme="majorEastAsia" w:hAnsiTheme="majorEastAsia" w:eastAsiaTheme="majorEastAsia" w:cstheme="majorEastAsia"/>
          <w:sz w:val="24"/>
          <w:szCs w:val="24"/>
          <w:highlight w:val="none"/>
        </w:rPr>
        <w:t>% 。</w:t>
      </w:r>
    </w:p>
    <w:p w14:paraId="29E7D41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11.6工期提前</w:t>
      </w:r>
    </w:p>
    <w:p w14:paraId="2D61443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提前交工的奖金：无。</w:t>
      </w:r>
    </w:p>
    <w:p w14:paraId="308C53D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13.工程质量</w:t>
      </w:r>
    </w:p>
    <w:p w14:paraId="2B81F01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13.2 承包人的质量管理</w:t>
      </w:r>
    </w:p>
    <w:p w14:paraId="5117375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承包人提交工程质量保证措施文件的期限：签订合同协议书后28天之内。</w:t>
      </w:r>
    </w:p>
    <w:p w14:paraId="1D82200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本款补充13.2.11、13.2.12、13.2.13项：</w:t>
      </w:r>
    </w:p>
    <w:p w14:paraId="41DEDDF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13.2.11为推行现代工程管理理念，建设干线公路示范工程，落实发展理念人本化、项目管理专业化、工程施工标准化、管理手段信息化、日常管理精细化的“五化”理念，提出以下要求：</w:t>
      </w:r>
    </w:p>
    <w:p w14:paraId="4AD72F3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1.发展理念人本化。工程施工阶段的人本化，是高度关注安全生产，保证参建人员的人身安全，维护劳动者的合法权益。</w:t>
      </w:r>
    </w:p>
    <w:p w14:paraId="5D54B50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2.项目管理专业化。各项目管理单位组织机构设置和人员配置要严格按照交通运输部《关于进一步加强公路项目建设管理单位的若干意见》(交公路发〔2011〕438)文件要求，管理人员的人数应满足建设规模和专业技术需要</w:t>
      </w:r>
      <w:r>
        <w:rPr>
          <w:rFonts w:hint="eastAsia" w:asciiTheme="majorEastAsia" w:hAnsiTheme="majorEastAsia" w:eastAsiaTheme="majorEastAsia" w:cstheme="majorEastAsia"/>
          <w:sz w:val="24"/>
          <w:szCs w:val="24"/>
          <w:highlight w:val="none"/>
          <w:lang w:eastAsia="zh-CN"/>
        </w:rPr>
        <w:t>。</w:t>
      </w:r>
    </w:p>
    <w:p w14:paraId="468A230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工程施工标准化。参照《陕西省高速公路施工标准化指南》和《陕西省干线公路路网建设施工标准化指南》要求开展施工标准化建设。开展施工标准化活动的主要内容有工地标准化、施工标准化和管理标准化，包括驻地建设、路基、路面、桥涵、隧道、交通安全设施、环境保护、绿化、安全生产、文明工地等。</w:t>
      </w:r>
    </w:p>
    <w:p w14:paraId="726BF12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①工地标准化。工地标准化主要包括驻地和施工现场的标准化。按照标准化要求建设施工、监理驻地和试验室及施工便道，改善生产生活环境，提高施工管理效率。按照标准化要求建设各类拌和站、预制加工场地和材料存放场地，实现混合料(混凝土)集中拌制，钢筋、碎石集中加工，构件集中预制，充分发挥集约化施工的优势，规范施工现场管理，保证工程质量。按照标准化要求规范施工现场安全防护设施、安全标识及其他各类临时设施设置，消除隐患，文明施工。</w:t>
      </w:r>
    </w:p>
    <w:p w14:paraId="7B3B33C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②施工标准化。按照规范要求，结合本项目实际情况，细化路基、路面、桥涵、隧道、绿化及防护等各项工程的施工标准化要求，优化施工工艺，严格工艺管理，提高施工效率和实体工程质量。规范质量检验与控制，强化各类验证试验和标准试验，做到检测项目完整齐全、检测频率符合要求、检测数据真实可靠。加强对隐蔽工程、关键工序的过程控制和验收，确保工程各项指标抽检合格率达到规范要求。</w:t>
      </w:r>
    </w:p>
    <w:p w14:paraId="1365AC8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③管理标准化。严格执行公路建设法律法规和强制性标准，在工程管理中查找薄弱环节，健全管理制度，优化管理流程，把技术标准、管理标准、作业标准落实到施工全过程，实现工程进度合理均衡，节能环保措施到位，档案资料收集齐全、整理规范。加强从业人员管理和培训，统一从业人员持证和着装，并统一佩戴安全帽。</w:t>
      </w:r>
    </w:p>
    <w:p w14:paraId="5B64FEB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管理手段信息化。以现代信息技术手段加强施工管理，提高工程质量和管理水平。采用计量支付软件、试验检测软件等信息平台，充分发挥QQ群的工作交流功能，了解工程质量、安全、进度、设计变更、试验检测及廉政建设等方面近期工程动态。对局部重点交通保畅路段、关键施工部位、拌合厂站进行实时视频监控，设立监控平台，通过无线网络技术向业主和监理传输信号，加快信息的交流和传递，随时掌握工程建设情况，加强对参建单位意见的收集和反馈。</w:t>
      </w:r>
    </w:p>
    <w:p w14:paraId="55E919A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日常管理精细化。在工程实施过程中，重抓精细化落实，明确首件认可、大宗材料准入等制度，以建设精品工程、推行精细化管理、开展精细化控制为载体，促进参建单位粗活做细、细活做精，保证工程局部和细节均满足技术要求。日常管理贯彻落实“三大原则”(注重细节、立足专业、科学量化的原则)、“四大要求”(精、准、细、严)。</w:t>
      </w:r>
    </w:p>
    <w:p w14:paraId="5513121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同时还应做好施工现场管理工作，主要体现在以下环节：</w:t>
      </w:r>
    </w:p>
    <w:p w14:paraId="34F5A36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（1）做好充分的施工准备</w:t>
      </w:r>
    </w:p>
    <w:p w14:paraId="1E9D93A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施工现场管理贯穿于工程施工的全过程，充分的施工准备是管理好施工现场的基础，施工单位只有通过充分的施工准备，才能保障施工过程的连续、协调、均街和经济。在进行施工准备工作中要注意以下问题：</w:t>
      </w:r>
    </w:p>
    <w:p w14:paraId="418575C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①建章立制。要建立健全严、全、细的内部约束考核、奖罚机制，用规章制度管人、管工程。</w:t>
      </w:r>
    </w:p>
    <w:p w14:paraId="6650DE9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②研究施工图纸，吃透设计意图，澄清图纸中的问题，恢复定线和施工详图。对所有控制点进行加密、保护、记录。</w:t>
      </w:r>
    </w:p>
    <w:p w14:paraId="03D0A12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③补充调查。要对沿线影响施工的因素进行补充调查，并在分析、论证的基础上写出调查报告，作为修订施工方案、编制施工预算的依据。</w:t>
      </w:r>
    </w:p>
    <w:p w14:paraId="33C8A5B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④根据施合同协议和现场调研认真编制施工控制预算，作为控制支出、进行成本预测分析、经济核算以及统计工程进度的依据。</w:t>
      </w:r>
    </w:p>
    <w:p w14:paraId="3FA46AB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⑤建立工地试验室，申请资质。对施中拟工过程中使用的各种原材料取样试验，建立相关技术参数的数据库。</w:t>
      </w:r>
    </w:p>
    <w:p w14:paraId="453090E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⑥绘图上墙。对施工工艺流程、试验操作规程、质量检查评定、计量支付、设计变更、事故处理等重要部分实行绘图上墙。</w:t>
      </w:r>
    </w:p>
    <w:p w14:paraId="53A7396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⑦根据工期要求、技术标准、机械设备能力、材料供应、自然条件等进行综合分析，选最佳施上方案，完善施工组织设计。</w:t>
      </w:r>
    </w:p>
    <w:p w14:paraId="4DCAD2B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（2）优化资源配置</w:t>
      </w:r>
    </w:p>
    <w:p w14:paraId="5D3B8F5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调整机械组合在施工过程中，人力、物力（材料、机械）需求量处在动态变化中，因此，在配置施工资源时应力求均衡。根据进度计划编制人力、材料、机械进场计划，确定材料储备量。配置与主导机械能力相适应的附属机械，并随时依据天气情况和实际进度对资源进场计划进行调整，做到人、机、料、法、环境协调统一，防止资源浪费，谋求获得较大的经济效益。</w:t>
      </w:r>
    </w:p>
    <w:p w14:paraId="5C01891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（3）加强各种原材料和现场管理</w:t>
      </w:r>
    </w:p>
    <w:p w14:paraId="206D168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加强对原材料的质量控制，认真做好工地试验工作。项目经理部要成立工地试验室，并配备业务精通、工作认真负责的专职试验人员，认真开展工地试验工作，为工程质量控制提供可靠的依据。①加强对原材料的质量控制，严把原材料质量关。杜绝不合格的原材料进场，要求钢筋、水泥、钢绞线、防排水材料等外购原材料进场时要有出厂合格证，同时由业主指定的试验室进行试验，合格后方可进行原材料的定购，在施工过程中根据《技术规范》要求的频率对进场原材料进行检测试验，以杜绝不合格材料进入工地。②加强对混凝土、砂浆等半成品材料的质量控制。在不同标号及水泥砂石料不同时工地试验室要分别做出配合比，在施工现场挂牌作业，严格按试验室确定的配合比进行施工并根据“技术规范”的要求取样，进行试块的制作及试验，确保试验数据真实、准确、可靠，以确保其工程质量符合技术规范的要求。③加强施工现场的试验检测工作。在各项工程施工过程中，认真进行试验检测工作，对达不到质量标准的施工项目，及时分析原因，调整施工工艺及时进行补救处理，确保工程质量控制由试验检测数据说话，避免凭经验办事等盲目的质量控制。</w:t>
      </w:r>
    </w:p>
    <w:p w14:paraId="4410495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　　（4）加强进度控制</w:t>
      </w:r>
    </w:p>
    <w:p w14:paraId="38F01A3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要制定详细地施工进度计划。施工进度要根据现场的施工环境、合同日期和施工方案技术的选择来制定。保证施工材料的供应和选择以及运用合理的施工技术，减少因设备故障和更换对施工进度的影响，如果施工进度和进度计划差异过大，则需要重新制定施工进度安排保证施工的进度。同时也要加强分包商工程施工进度的监督，对于因不可抗拒的因素引起进度减慢的情况要和工程投资方做好沟通工作。根据项目立项选择合适的施工技术，采用先进的施工工艺，保证工程的质量。</w:t>
      </w:r>
    </w:p>
    <w:p w14:paraId="3431804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（5）搞好成本管理</w:t>
      </w:r>
    </w:p>
    <w:p w14:paraId="67ED467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第一，人工费用的控制。施工费用占到全工程费用的百分之十左右，因为其占有的比例较大，所以应严格控制；第二，材料费用的控制。其中包括材料用量的控制和对材料买入价格的控制；第三，是考虑资金利用的时间价值，减少资金的占用率；第四，尽量减少施工中机械台班的消耗量，通过合理的组织和调配，提高机械设施的利用率。</w:t>
      </w:r>
    </w:p>
    <w:p w14:paraId="65E8A9E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（6）严格过程控制</w:t>
      </w:r>
    </w:p>
    <w:p w14:paraId="0DE5CE4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lang w:eastAsia="zh-CN"/>
        </w:rPr>
      </w:pPr>
      <w:r>
        <w:rPr>
          <w:rFonts w:hint="eastAsia" w:asciiTheme="majorEastAsia" w:hAnsiTheme="majorEastAsia" w:eastAsiaTheme="majorEastAsia" w:cstheme="majorEastAsia"/>
          <w:sz w:val="24"/>
          <w:szCs w:val="24"/>
          <w:highlight w:val="none"/>
        </w:rPr>
        <w:t>①严格处理软弱路基，确保路基整体稳定。开挖基坑铺设垫层时，必须避免对软弱土层的扰动和破坏坑底土的结构。基坑开挖后应及时回填，不应暴露过久或浸水，并防止践踏坑底。当采用碎石垫层时，应在坑底先铺一层砂垫底，以免碎石挤入土中。②认真处理路基与桥涵接头，避免桥头跳车。按设计要求碾压到位，提高该部位路基压实度。③严格控制路线的线型与标高。公路施工中，必须严格控制横纵坡度和路面平整度，以确保行车安全、舒适。施工单位应该严格按设计要求全面检查验收路基施作质量，不达标的工程责令限期整改。④确保公路工程的内在和外观质量。重点关注关键工序的施作流程，确保工程质量满足行车要求的同时，强调公路工程与周围景观的协调性，使得公路工程的内在质量与外观质量相一致。</w:t>
      </w:r>
    </w:p>
    <w:p w14:paraId="6D383A8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color w:val="000000"/>
          <w:sz w:val="24"/>
          <w:szCs w:val="24"/>
          <w:highlight w:val="none"/>
          <w:shd w:val="clear" w:color="auto" w:fill="FFFFFF"/>
          <w:lang w:eastAsia="zh-CN"/>
        </w:rPr>
      </w:pPr>
      <w:r>
        <w:rPr>
          <w:rFonts w:hint="eastAsia" w:asciiTheme="majorEastAsia" w:hAnsiTheme="majorEastAsia" w:eastAsiaTheme="majorEastAsia" w:cstheme="majorEastAsia"/>
          <w:sz w:val="24"/>
          <w:szCs w:val="24"/>
          <w:highlight w:val="none"/>
        </w:rPr>
        <w:t>加强施工现场管理对于提高道路施工质量有重要作用。公路施工应该合理安排施工进度，提高工作效率，在保证质量的同时，尽早完工，也尽量减少道路施工维护对沿线环境产生影响。</w:t>
      </w:r>
    </w:p>
    <w:p w14:paraId="4AD589B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13.2.12本项目质量管理实行责任追究制，承包人质量管理第一责任人为项目经理，直接管理责任人为项目总工及质检部长。</w:t>
      </w:r>
    </w:p>
    <w:p w14:paraId="640EBEC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13.2.13承包人除履行合同通用条款规定外，应在进场之后7天内和发包人签订工程质量责任合同。</w:t>
      </w:r>
    </w:p>
    <w:p w14:paraId="2B47C64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14.试验和检验</w:t>
      </w:r>
    </w:p>
    <w:p w14:paraId="2E9920B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增加14.5 试验和检验的日期：对于合同规定的任何材料或设备的正规检查或检验的时间，承包人应事先提出申请，监理人在接到申请后，至少应提前24小时通知承包人其到场时间。如果监理人或其正式委派的代表未能在约定的时间到场，也未另外发出指令，承包人可以自行进行检验，并可以认为这一检验是在监理人在场的情况下完成的。承包人应立即向监理人提出检验数据的复件。如果监理人没有到场参加检验，他应对上述检验数据的准确性给予认可。</w:t>
      </w:r>
    </w:p>
    <w:p w14:paraId="5310A21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增加14.6 实验室设备及人员要求：承包人的试验室的设备与人员应满足工程现场试验检测工作要求，满足工地临时资质认证的要求，如果监理人认为有需要增加试验与检测设备及人员，承包人必须服从。</w:t>
      </w:r>
    </w:p>
    <w:p w14:paraId="21923CD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14.7款：工地试验室应由具有《公路水运工程试验检测机构等级证书》乙级以上（含乙级）并通过计量认证的检测机构作为母体试验室来组建，并在其母体试验室《等级证书》核定的项目和参数范围内从事试验检测活动。</w:t>
      </w:r>
    </w:p>
    <w:p w14:paraId="4F05499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15.变更</w:t>
      </w:r>
    </w:p>
    <w:p w14:paraId="64AB6497">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15.4变更估价原则</w:t>
      </w:r>
    </w:p>
    <w:p w14:paraId="36D287C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15.4.6对于工程量清单中单价不适合的变更工程应重新作价，其作价的依据为：（1）该变更项目施工期间的交通运输部颁现行的定额(如果交通运输部颁定额没有该项定额时，则经监理人批准，采用其他行业的部级定额；（2）现行的陕西省交通运输厅交通工程定额站发布的最近一期公路工程造价信息；（3）现行的陕西省公路工程预算编制补充规定、补充预算定额。按照以上依据计算的变更工程价报监理工程师审核并经业主批准后执行，承包人应视为是合同文件的延续；</w:t>
      </w:r>
    </w:p>
    <w:p w14:paraId="7B0601E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16.价格调整</w:t>
      </w:r>
    </w:p>
    <w:p w14:paraId="34A3A4E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16.1 物价波动引起的价格调整</w:t>
      </w:r>
    </w:p>
    <w:p w14:paraId="1A63EE8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删去通用条款本款全文及公路工程专用条款本款全文代之为：本合同工程实施期间不调价。</w:t>
      </w:r>
    </w:p>
    <w:p w14:paraId="062CA66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17.计量与支付</w:t>
      </w:r>
    </w:p>
    <w:p w14:paraId="1D56708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17.1 计量</w:t>
      </w:r>
    </w:p>
    <w:p w14:paraId="7A9F18B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17.1.3 计量周期</w:t>
      </w:r>
    </w:p>
    <w:p w14:paraId="40C0A47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本合同的计量周期：单价子目按月计量，总价子目按照工程形象进度计量。</w:t>
      </w:r>
    </w:p>
    <w:p w14:paraId="0F3CF13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17.1.5 总价子目的计量</w:t>
      </w:r>
    </w:p>
    <w:p w14:paraId="50D3B7D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总价子目的计量方法：按监理人批准的工程形象目标进行计量。</w:t>
      </w:r>
    </w:p>
    <w:p w14:paraId="4DC626C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17.2 预付款</w:t>
      </w:r>
    </w:p>
    <w:p w14:paraId="7F3F63C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w w:val="99"/>
          <w:kern w:val="0"/>
          <w:sz w:val="24"/>
          <w:szCs w:val="24"/>
          <w:highlight w:val="none"/>
        </w:rPr>
      </w:pPr>
      <w:r>
        <w:rPr>
          <w:rFonts w:hint="eastAsia" w:asciiTheme="majorEastAsia" w:hAnsiTheme="majorEastAsia" w:eastAsiaTheme="majorEastAsia" w:cstheme="majorEastAsia"/>
          <w:sz w:val="24"/>
          <w:szCs w:val="24"/>
          <w:highlight w:val="none"/>
        </w:rPr>
        <w:t>删去通用条款本款全文及公路工程专用条款本款全文代之为：本合同工程无预付款。</w:t>
      </w:r>
    </w:p>
    <w:p w14:paraId="35FB6FF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 工程进度付款</w:t>
      </w:r>
    </w:p>
    <w:p w14:paraId="5D00410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17.3.2 进度付款申请单</w:t>
      </w:r>
    </w:p>
    <w:p w14:paraId="5ED3844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承包人在每个付款周期末向监理人提交进度付款申请单的份数：</w:t>
      </w:r>
      <w:r>
        <w:rPr>
          <w:rFonts w:hint="eastAsia" w:asciiTheme="majorEastAsia" w:hAnsiTheme="majorEastAsia" w:eastAsiaTheme="majorEastAsia" w:cstheme="majorEastAsia"/>
          <w:sz w:val="24"/>
          <w:szCs w:val="24"/>
          <w:highlight w:val="none"/>
          <w:lang w:val="en-US" w:eastAsia="zh-CN"/>
        </w:rPr>
        <w:t>6</w:t>
      </w:r>
      <w:r>
        <w:rPr>
          <w:rFonts w:hint="eastAsia" w:asciiTheme="majorEastAsia" w:hAnsiTheme="majorEastAsia" w:eastAsiaTheme="majorEastAsia" w:cstheme="majorEastAsia"/>
          <w:sz w:val="24"/>
          <w:szCs w:val="24"/>
          <w:highlight w:val="none"/>
        </w:rPr>
        <w:t>份</w:t>
      </w:r>
    </w:p>
    <w:p w14:paraId="0B2E8D5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进度付款申请单的内容：（1）付款次数和编号；（2）截止本次付款周期末已实施工程的价款；（3）变更金额；（4）索赔金额；（5）本次应支付的预付款和（或）应扣减的返还预付款；（6）本次扣减的质量保证金；（7）根据合同应增加和扣减的其他金额。 </w:t>
      </w:r>
    </w:p>
    <w:p w14:paraId="2E89885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17.3.3</w:t>
      </w:r>
    </w:p>
    <w:p w14:paraId="11AF604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本款约定为：根据工程进度进行支付，完工后支付至合同金额的80%，待决算审计后，按审计结果付至审定金额的97%，剩余3%作为质量保证金，待缺陷责任期满，经验收合格后，采购人一次性付清。</w:t>
      </w:r>
    </w:p>
    <w:p w14:paraId="6FFEC3B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17.4 质量保证金</w:t>
      </w:r>
    </w:p>
    <w:p w14:paraId="72D1446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本款修改 A.公路工程专用合同条款 17.4.1 条：</w:t>
      </w:r>
    </w:p>
    <w:p w14:paraId="72CD35B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交工验收合格后，将剩余工程款的3%的作为质量保证金，不用重复或单独缴纳。质量评定依据《公路工程质量检验评定标准》2017年版及省市交通运输主管部门其他相关的要求执行。</w:t>
      </w:r>
    </w:p>
    <w:p w14:paraId="0E61C14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17.5 交工结算</w:t>
      </w:r>
    </w:p>
    <w:p w14:paraId="163F64D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17.5.1 交工付款申请单</w:t>
      </w:r>
    </w:p>
    <w:p w14:paraId="05B94FF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竣工付款申请单的份数和提交期限：在工程接收证书颁发后14天内提交5份竣工付款申请单</w:t>
      </w:r>
    </w:p>
    <w:p w14:paraId="4CF4D66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竣工付款申请单的内容：竣工结算合同总价、已支付的工程价款、应扣回的预付款、应扣留的质量保证金、应支付的竣工付款金额等。</w:t>
      </w:r>
    </w:p>
    <w:p w14:paraId="79F9334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17.6 最终结清</w:t>
      </w:r>
    </w:p>
    <w:p w14:paraId="73B809B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17.6.1 最终结清申请单</w:t>
      </w:r>
    </w:p>
    <w:p w14:paraId="276DE2E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最终结清申请单的份数和提交期限：在缺陷责任期终止证书颁发后28天内提交5份最终结清申请单。</w:t>
      </w:r>
    </w:p>
    <w:p w14:paraId="65DBC4AC">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增加17.7竣工文件</w:t>
      </w:r>
    </w:p>
    <w:p w14:paraId="7E1EB59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应按照交通部的《公路工程竣（交）工验收办法》（交通部2004年第3号令）的规定的内容和要求编制竣工图表和竣工文件。各分部（项）工程的竣工图表须在有关工程完工后在发包人规定的时间内提交监理人审查，全部工程完工后，在全部工程的交工证书签发之前，承包人须向发包人提交</w:t>
      </w:r>
      <w:r>
        <w:rPr>
          <w:rFonts w:hint="eastAsia" w:asciiTheme="majorEastAsia" w:hAnsiTheme="majorEastAsia" w:eastAsiaTheme="majorEastAsia" w:cstheme="majorEastAsia"/>
          <w:sz w:val="24"/>
          <w:szCs w:val="24"/>
          <w:highlight w:val="none"/>
          <w:u w:val="single"/>
          <w:lang w:val="en-US" w:eastAsia="zh-CN"/>
        </w:rPr>
        <w:t>5</w:t>
      </w:r>
      <w:r>
        <w:rPr>
          <w:rFonts w:hint="eastAsia" w:asciiTheme="majorEastAsia" w:hAnsiTheme="majorEastAsia" w:eastAsiaTheme="majorEastAsia" w:cstheme="majorEastAsia"/>
          <w:sz w:val="24"/>
          <w:szCs w:val="24"/>
          <w:highlight w:val="none"/>
        </w:rPr>
        <w:t>整套（包括电子版一套）监理人认为完整、合格的竣工文件。在缺陷责任期内应补充竣工资料，应在签发缺陷责任期证书之前提交。</w:t>
      </w:r>
    </w:p>
    <w:p w14:paraId="0943339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18.交工验收</w:t>
      </w:r>
    </w:p>
    <w:p w14:paraId="4598AB0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18.3 实际交工日期</w:t>
      </w:r>
    </w:p>
    <w:p w14:paraId="4E575B8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18.3.5 实际交工日期：以验收合格日为准</w:t>
      </w:r>
    </w:p>
    <w:p w14:paraId="6F44487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18.6 试运行</w:t>
      </w:r>
    </w:p>
    <w:p w14:paraId="502E5996">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本款增加：工程交工验收合格，签发交工验收证书后，试运行</w:t>
      </w:r>
      <w:r>
        <w:rPr>
          <w:rFonts w:hint="eastAsia" w:asciiTheme="majorEastAsia" w:hAnsiTheme="majorEastAsia" w:eastAsiaTheme="majorEastAsia" w:cstheme="majorEastAsia"/>
          <w:sz w:val="24"/>
          <w:szCs w:val="24"/>
          <w:highlight w:val="none"/>
          <w:lang w:val="en-US" w:eastAsia="zh-CN"/>
        </w:rPr>
        <w:t>一</w:t>
      </w:r>
      <w:r>
        <w:rPr>
          <w:rFonts w:hint="eastAsia" w:asciiTheme="majorEastAsia" w:hAnsiTheme="majorEastAsia" w:eastAsiaTheme="majorEastAsia" w:cstheme="majorEastAsia"/>
          <w:sz w:val="24"/>
          <w:szCs w:val="24"/>
          <w:highlight w:val="none"/>
        </w:rPr>
        <w:t>年，承包人完成缺陷修复且合格以后进行竣工验收。</w:t>
      </w:r>
    </w:p>
    <w:p w14:paraId="49CE857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18.7 交工清场</w:t>
      </w:r>
    </w:p>
    <w:p w14:paraId="3E5168F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18.7.1 交工清场：由承包人完成</w:t>
      </w:r>
    </w:p>
    <w:p w14:paraId="230DD65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18.8 施工队伍的撤离</w:t>
      </w:r>
    </w:p>
    <w:p w14:paraId="0106064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19.缺陷责任与保修责任</w:t>
      </w:r>
    </w:p>
    <w:p w14:paraId="734831D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19.7 保修责任</w:t>
      </w:r>
    </w:p>
    <w:p w14:paraId="0259289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本宽增加：工程质量保修范围、期限和责任：承包人应在缺陷责任期外对交付使用的全部工程进行保修，保修期为</w:t>
      </w:r>
      <w:r>
        <w:rPr>
          <w:rFonts w:hint="eastAsia" w:asciiTheme="majorEastAsia" w:hAnsiTheme="majorEastAsia" w:eastAsiaTheme="majorEastAsia" w:cstheme="majorEastAsia"/>
          <w:sz w:val="24"/>
          <w:szCs w:val="24"/>
          <w:highlight w:val="none"/>
          <w:lang w:val="en-US" w:eastAsia="zh-CN"/>
        </w:rPr>
        <w:t>5</w:t>
      </w:r>
      <w:r>
        <w:rPr>
          <w:rFonts w:hint="eastAsia" w:asciiTheme="majorEastAsia" w:hAnsiTheme="majorEastAsia" w:eastAsiaTheme="majorEastAsia" w:cstheme="majorEastAsia"/>
          <w:sz w:val="24"/>
          <w:szCs w:val="24"/>
          <w:highlight w:val="none"/>
        </w:rPr>
        <w:t>年；如果由于保修延误，承包人应对造成的后果负责。</w:t>
      </w:r>
    </w:p>
    <w:p w14:paraId="6A840A9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20.保险</w:t>
      </w:r>
    </w:p>
    <w:p w14:paraId="02941B5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20.1工程保险</w:t>
      </w:r>
    </w:p>
    <w:p w14:paraId="2832C9E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本款约定为：</w:t>
      </w:r>
    </w:p>
    <w:p w14:paraId="4988571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建筑工程一切险的投保内容：为本合同工程的永久工程、临时工程和设备及已运至施工工地用于永久工程的材料和设备所投的保险。</w:t>
      </w:r>
    </w:p>
    <w:p w14:paraId="0A58FBA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保险金额：工程量清单第100章（不含建筑工程一切险及第三者责任险的保险费）至700章的合计金额。</w:t>
      </w:r>
    </w:p>
    <w:p w14:paraId="65E6A1A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保险费率：在项目专用条款数据表中约定。</w:t>
      </w:r>
    </w:p>
    <w:p w14:paraId="0139F76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保险期限：开工日起直至本合同工程签发缺陷责任期终止证书止（即合同工期+缺陷责任期）</w:t>
      </w:r>
    </w:p>
    <w:p w14:paraId="68D728A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承包人应以发包人和承包人的共同名义投保建筑工程一切险。建筑工程一切险的保险费由承包人报价时列入工程量清单100章内。发包人在接到保险单后，将按照保险单的费用直接向承包人支付。</w:t>
      </w:r>
    </w:p>
    <w:p w14:paraId="5FC0279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20.4第三者责任险</w:t>
      </w:r>
    </w:p>
    <w:p w14:paraId="642845C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第20.4.2项补充：</w:t>
      </w:r>
    </w:p>
    <w:p w14:paraId="3B4CF25B">
      <w:pPr>
        <w:keepNext w:val="0"/>
        <w:keepLines w:val="0"/>
        <w:pageBreakBefore w:val="0"/>
        <w:kinsoku/>
        <w:wordWrap/>
        <w:overflowPunct/>
        <w:topLinePunct w:val="0"/>
        <w:bidi w:val="0"/>
        <w:adjustRightInd w:val="0"/>
        <w:snapToGrid w:val="0"/>
        <w:spacing w:line="360" w:lineRule="auto"/>
        <w:ind w:firstLine="600" w:firstLineChars="25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第三者责任险的保险费由承包人报价时列入工程量清单100章内。发包人在接到保险单后，将按照保险单的费用直接向承包人支付。</w:t>
      </w:r>
    </w:p>
    <w:p w14:paraId="2A3BE489">
      <w:pPr>
        <w:keepNext w:val="0"/>
        <w:keepLines w:val="0"/>
        <w:pageBreakBefore w:val="0"/>
        <w:kinsoku/>
        <w:wordWrap/>
        <w:overflowPunct/>
        <w:topLinePunct w:val="0"/>
        <w:bidi w:val="0"/>
        <w:adjustRightInd w:val="0"/>
        <w:snapToGrid w:val="0"/>
        <w:spacing w:line="360" w:lineRule="auto"/>
        <w:ind w:firstLine="600" w:firstLineChars="25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保险费率：在项目专用条款数据表中约定。</w:t>
      </w:r>
    </w:p>
    <w:p w14:paraId="364F52ED">
      <w:pPr>
        <w:keepNext w:val="0"/>
        <w:keepLines w:val="0"/>
        <w:pageBreakBefore w:val="0"/>
        <w:kinsoku/>
        <w:wordWrap/>
        <w:overflowPunct/>
        <w:topLinePunct w:val="0"/>
        <w:bidi w:val="0"/>
        <w:adjustRightInd w:val="0"/>
        <w:snapToGrid w:val="0"/>
        <w:spacing w:line="360" w:lineRule="auto"/>
        <w:ind w:firstLine="600" w:firstLineChars="25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若承包人没有按规定投保，发包人将按照有关标准扣除其费用。</w:t>
      </w:r>
    </w:p>
    <w:p w14:paraId="7A95765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20.5其他保险</w:t>
      </w:r>
    </w:p>
    <w:p w14:paraId="41F6FC2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本款约定为：承包人应为其施工设备等办理保险，其投保金额应足以满足现场需要。办理本款保险的一切费用均由承包人承担，并包括在工程量清单的单价及总额价中，发包人不单独支付。</w:t>
      </w:r>
    </w:p>
    <w:p w14:paraId="2C6D812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20.6对各项保险的一般要求</w:t>
      </w:r>
    </w:p>
    <w:p w14:paraId="7C73BD3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20.6.1保险凭证</w:t>
      </w:r>
    </w:p>
    <w:p w14:paraId="17D93F0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本项约定为：</w:t>
      </w:r>
    </w:p>
    <w:p w14:paraId="59DC98D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承包人向发包人提交各项保险生效的证据和保险单副本的期限：开工后7天内。</w:t>
      </w:r>
    </w:p>
    <w:p w14:paraId="38F30E9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20.6.3持续保险</w:t>
      </w:r>
    </w:p>
    <w:p w14:paraId="25F29DA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本项补充：</w:t>
      </w:r>
    </w:p>
    <w:p w14:paraId="1338BF0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在整个合同期内，承包人应按合同条款保证足够的保险额。</w:t>
      </w:r>
    </w:p>
    <w:p w14:paraId="40BBCC4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20.6.4保险金不足的补偿</w:t>
      </w:r>
    </w:p>
    <w:p w14:paraId="6F99F58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本项细化为：</w:t>
      </w:r>
    </w:p>
    <w:p w14:paraId="16534EE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保险金不足补偿损失的（包括免额和超过赔偿限额的部分），应由承包人负责补偿。</w:t>
      </w:r>
    </w:p>
    <w:p w14:paraId="70498DE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20.6.5未按约定投保的补救</w:t>
      </w:r>
    </w:p>
    <w:p w14:paraId="73ACBA1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本项（2）目细化为：</w:t>
      </w:r>
    </w:p>
    <w:p w14:paraId="7BC75F28">
      <w:pPr>
        <w:keepNext w:val="0"/>
        <w:keepLines w:val="0"/>
        <w:pageBreakBefore w:val="0"/>
        <w:numPr>
          <w:ilvl w:val="0"/>
          <w:numId w:val="2"/>
        </w:numPr>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由于负有投保义务的一方当事人未按合同约定办理某项保险，或未按保险单规定的条件和期限及时间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6A6E0F19">
      <w:pPr>
        <w:keepNext w:val="0"/>
        <w:keepLines w:val="0"/>
        <w:pageBreakBefore w:val="0"/>
        <w:kinsoku/>
        <w:wordWrap/>
        <w:overflowPunct/>
        <w:topLinePunct w:val="0"/>
        <w:bidi w:val="0"/>
        <w:adjustRightInd w:val="0"/>
        <w:snapToGrid w:val="0"/>
        <w:spacing w:line="360" w:lineRule="auto"/>
        <w:ind w:left="435"/>
        <w:outlineLvl w:val="9"/>
        <w:rPr>
          <w:rFonts w:hint="eastAsia" w:asciiTheme="majorEastAsia" w:hAnsiTheme="majorEastAsia" w:eastAsiaTheme="majorEastAsia" w:cstheme="majorEastAsia"/>
          <w:b w:val="0"/>
          <w:bCs w:val="0"/>
          <w:sz w:val="24"/>
          <w:szCs w:val="24"/>
          <w:highlight w:val="none"/>
        </w:rPr>
      </w:pPr>
      <w:r>
        <w:rPr>
          <w:rFonts w:hint="eastAsia" w:asciiTheme="majorEastAsia" w:hAnsiTheme="majorEastAsia" w:eastAsiaTheme="majorEastAsia" w:cstheme="majorEastAsia"/>
          <w:b w:val="0"/>
          <w:bCs w:val="0"/>
          <w:spacing w:val="-4"/>
          <w:sz w:val="24"/>
          <w:szCs w:val="24"/>
          <w:highlight w:val="none"/>
        </w:rPr>
        <w:t>21.不可抗力</w:t>
      </w:r>
    </w:p>
    <w:p w14:paraId="7579042F">
      <w:pPr>
        <w:keepNext w:val="0"/>
        <w:keepLines w:val="0"/>
        <w:pageBreakBefore w:val="0"/>
        <w:kinsoku/>
        <w:wordWrap/>
        <w:overflowPunct/>
        <w:topLinePunct w:val="0"/>
        <w:bidi w:val="0"/>
        <w:adjustRightInd w:val="0"/>
        <w:snapToGrid w:val="0"/>
        <w:spacing w:line="360" w:lineRule="auto"/>
        <w:ind w:left="435"/>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b w:val="0"/>
          <w:bCs w:val="0"/>
          <w:spacing w:val="-3"/>
          <w:sz w:val="24"/>
          <w:szCs w:val="24"/>
          <w:highlight w:val="none"/>
        </w:rPr>
        <w:t>21.3 不可抗力后果及其处理</w:t>
      </w:r>
    </w:p>
    <w:p w14:paraId="1DE1DBD4">
      <w:pPr>
        <w:keepNext w:val="0"/>
        <w:keepLines w:val="0"/>
        <w:pageBreakBefore w:val="0"/>
        <w:kinsoku/>
        <w:wordWrap/>
        <w:overflowPunct/>
        <w:topLinePunct w:val="0"/>
        <w:bidi w:val="0"/>
        <w:adjustRightInd w:val="0"/>
        <w:snapToGrid w:val="0"/>
        <w:spacing w:line="360" w:lineRule="auto"/>
        <w:ind w:left="452" w:right="302" w:firstLine="461"/>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pacing w:val="1"/>
          <w:sz w:val="24"/>
          <w:szCs w:val="24"/>
          <w:highlight w:val="none"/>
        </w:rPr>
        <w:t>本款修改为：施工期间，承包人作为现场的主要力量，有责任和义务采用一切必要</w:t>
      </w:r>
      <w:r>
        <w:rPr>
          <w:rFonts w:hint="eastAsia" w:asciiTheme="majorEastAsia" w:hAnsiTheme="majorEastAsia" w:eastAsiaTheme="majorEastAsia" w:cstheme="majorEastAsia"/>
          <w:spacing w:val="17"/>
          <w:sz w:val="24"/>
          <w:szCs w:val="24"/>
          <w:highlight w:val="none"/>
        </w:rPr>
        <w:t xml:space="preserve"> </w:t>
      </w:r>
      <w:r>
        <w:rPr>
          <w:rFonts w:hint="eastAsia" w:asciiTheme="majorEastAsia" w:hAnsiTheme="majorEastAsia" w:eastAsiaTheme="majorEastAsia" w:cstheme="majorEastAsia"/>
          <w:spacing w:val="-3"/>
          <w:sz w:val="24"/>
          <w:szCs w:val="24"/>
          <w:highlight w:val="none"/>
        </w:rPr>
        <w:t>的措施，避免或减少因</w:t>
      </w:r>
      <w:r>
        <w:rPr>
          <w:rFonts w:hint="eastAsia" w:asciiTheme="majorEastAsia" w:hAnsiTheme="majorEastAsia" w:eastAsiaTheme="majorEastAsia" w:cstheme="majorEastAsia"/>
          <w:spacing w:val="-35"/>
          <w:sz w:val="24"/>
          <w:szCs w:val="24"/>
          <w:highlight w:val="none"/>
        </w:rPr>
        <w:t xml:space="preserve"> </w:t>
      </w:r>
      <w:r>
        <w:rPr>
          <w:rFonts w:hint="eastAsia" w:asciiTheme="majorEastAsia" w:hAnsiTheme="majorEastAsia" w:eastAsiaTheme="majorEastAsia" w:cstheme="majorEastAsia"/>
          <w:spacing w:val="-3"/>
          <w:sz w:val="24"/>
          <w:szCs w:val="24"/>
          <w:highlight w:val="none"/>
        </w:rPr>
        <w:t>21.1</w:t>
      </w:r>
      <w:r>
        <w:rPr>
          <w:rFonts w:hint="eastAsia" w:asciiTheme="majorEastAsia" w:hAnsiTheme="majorEastAsia" w:eastAsiaTheme="majorEastAsia" w:cstheme="majorEastAsia"/>
          <w:spacing w:val="-50"/>
          <w:sz w:val="24"/>
          <w:szCs w:val="24"/>
          <w:highlight w:val="none"/>
        </w:rPr>
        <w:t xml:space="preserve"> </w:t>
      </w:r>
      <w:r>
        <w:rPr>
          <w:rFonts w:hint="eastAsia" w:asciiTheme="majorEastAsia" w:hAnsiTheme="majorEastAsia" w:eastAsiaTheme="majorEastAsia" w:cstheme="majorEastAsia"/>
          <w:spacing w:val="-3"/>
          <w:sz w:val="24"/>
          <w:szCs w:val="24"/>
          <w:highlight w:val="none"/>
        </w:rPr>
        <w:t>款所造成的损失。</w:t>
      </w:r>
    </w:p>
    <w:p w14:paraId="50401312">
      <w:pPr>
        <w:keepNext w:val="0"/>
        <w:keepLines w:val="0"/>
        <w:pageBreakBefore w:val="0"/>
        <w:kinsoku/>
        <w:wordWrap/>
        <w:overflowPunct/>
        <w:topLinePunct w:val="0"/>
        <w:bidi w:val="0"/>
        <w:adjustRightInd w:val="0"/>
        <w:snapToGrid w:val="0"/>
        <w:spacing w:line="360" w:lineRule="auto"/>
        <w:ind w:left="431" w:right="302" w:firstLine="523"/>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施工期间，承包人应积极与当地气象、水文、水利、地震、防汛、公安及在作</w:t>
      </w:r>
      <w:r>
        <w:rPr>
          <w:rFonts w:hint="eastAsia" w:asciiTheme="majorEastAsia" w:hAnsiTheme="majorEastAsia" w:eastAsiaTheme="majorEastAsia" w:cstheme="majorEastAsia"/>
          <w:spacing w:val="9"/>
          <w:sz w:val="24"/>
          <w:szCs w:val="24"/>
          <w:highlight w:val="none"/>
        </w:rPr>
        <w:t xml:space="preserve"> </w:t>
      </w:r>
      <w:r>
        <w:rPr>
          <w:rFonts w:hint="eastAsia" w:asciiTheme="majorEastAsia" w:hAnsiTheme="majorEastAsia" w:eastAsiaTheme="majorEastAsia" w:cstheme="majorEastAsia"/>
          <w:spacing w:val="1"/>
          <w:sz w:val="24"/>
          <w:szCs w:val="24"/>
          <w:highlight w:val="none"/>
        </w:rPr>
        <w:t>业范围内可能埋设地下管线的部门取得联系，以便及时获得有关资料、信息，并将这些</w:t>
      </w:r>
      <w:r>
        <w:rPr>
          <w:rFonts w:hint="eastAsia" w:asciiTheme="majorEastAsia" w:hAnsiTheme="majorEastAsia" w:eastAsiaTheme="majorEastAsia" w:cstheme="majorEastAsia"/>
          <w:spacing w:val="17"/>
          <w:sz w:val="24"/>
          <w:szCs w:val="24"/>
          <w:highlight w:val="none"/>
        </w:rPr>
        <w:t xml:space="preserve"> </w:t>
      </w:r>
      <w:r>
        <w:rPr>
          <w:rFonts w:hint="eastAsia" w:asciiTheme="majorEastAsia" w:hAnsiTheme="majorEastAsia" w:eastAsiaTheme="majorEastAsia" w:cstheme="majorEastAsia"/>
          <w:spacing w:val="-2"/>
          <w:sz w:val="24"/>
          <w:szCs w:val="24"/>
          <w:highlight w:val="none"/>
        </w:rPr>
        <w:t>资料或信息及时报送监理工程师签收，否则即使发生了</w:t>
      </w:r>
      <w:r>
        <w:rPr>
          <w:rFonts w:hint="eastAsia" w:asciiTheme="majorEastAsia" w:hAnsiTheme="majorEastAsia" w:eastAsiaTheme="majorEastAsia" w:cstheme="majorEastAsia"/>
          <w:spacing w:val="-48"/>
          <w:sz w:val="24"/>
          <w:szCs w:val="24"/>
          <w:highlight w:val="none"/>
        </w:rPr>
        <w:t xml:space="preserve"> </w:t>
      </w:r>
      <w:r>
        <w:rPr>
          <w:rFonts w:hint="eastAsia" w:asciiTheme="majorEastAsia" w:hAnsiTheme="majorEastAsia" w:eastAsiaTheme="majorEastAsia" w:cstheme="majorEastAsia"/>
          <w:spacing w:val="-2"/>
          <w:sz w:val="24"/>
          <w:szCs w:val="24"/>
          <w:highlight w:val="none"/>
        </w:rPr>
        <w:t>21.1</w:t>
      </w:r>
      <w:r>
        <w:rPr>
          <w:rFonts w:hint="eastAsia" w:asciiTheme="majorEastAsia" w:hAnsiTheme="majorEastAsia" w:eastAsiaTheme="majorEastAsia" w:cstheme="majorEastAsia"/>
          <w:spacing w:val="-50"/>
          <w:sz w:val="24"/>
          <w:szCs w:val="24"/>
          <w:highlight w:val="none"/>
        </w:rPr>
        <w:t xml:space="preserve"> </w:t>
      </w:r>
      <w:r>
        <w:rPr>
          <w:rFonts w:hint="eastAsia" w:asciiTheme="majorEastAsia" w:hAnsiTheme="majorEastAsia" w:eastAsiaTheme="majorEastAsia" w:cstheme="majorEastAsia"/>
          <w:spacing w:val="-2"/>
          <w:sz w:val="24"/>
          <w:szCs w:val="24"/>
          <w:highlight w:val="none"/>
        </w:rPr>
        <w:t>款所</w:t>
      </w:r>
      <w:r>
        <w:rPr>
          <w:rFonts w:hint="eastAsia" w:asciiTheme="majorEastAsia" w:hAnsiTheme="majorEastAsia" w:eastAsiaTheme="majorEastAsia" w:cstheme="majorEastAsia"/>
          <w:spacing w:val="-3"/>
          <w:sz w:val="24"/>
          <w:szCs w:val="24"/>
          <w:highlight w:val="none"/>
        </w:rPr>
        <w:t>述的情况，发包人将不</w:t>
      </w:r>
      <w:r>
        <w:rPr>
          <w:rFonts w:hint="eastAsia" w:asciiTheme="majorEastAsia" w:hAnsiTheme="majorEastAsia" w:eastAsiaTheme="majorEastAsia" w:cstheme="majorEastAsia"/>
          <w:sz w:val="24"/>
          <w:szCs w:val="24"/>
          <w:highlight w:val="none"/>
        </w:rPr>
        <w:t xml:space="preserve"> </w:t>
      </w:r>
      <w:r>
        <w:rPr>
          <w:rFonts w:hint="eastAsia" w:asciiTheme="majorEastAsia" w:hAnsiTheme="majorEastAsia" w:eastAsiaTheme="majorEastAsia" w:cstheme="majorEastAsia"/>
          <w:spacing w:val="1"/>
          <w:sz w:val="24"/>
          <w:szCs w:val="24"/>
          <w:highlight w:val="none"/>
        </w:rPr>
        <w:t>承担任何责任，也不向承包人支付任何费用。承包人应根据监理工程师指示采用积极的</w:t>
      </w:r>
      <w:r>
        <w:rPr>
          <w:rFonts w:hint="eastAsia" w:asciiTheme="majorEastAsia" w:hAnsiTheme="majorEastAsia" w:eastAsiaTheme="majorEastAsia" w:cstheme="majorEastAsia"/>
          <w:spacing w:val="17"/>
          <w:sz w:val="24"/>
          <w:szCs w:val="24"/>
          <w:highlight w:val="none"/>
        </w:rPr>
        <w:t xml:space="preserve"> </w:t>
      </w:r>
      <w:r>
        <w:rPr>
          <w:rFonts w:hint="eastAsia" w:asciiTheme="majorEastAsia" w:hAnsiTheme="majorEastAsia" w:eastAsiaTheme="majorEastAsia" w:cstheme="majorEastAsia"/>
          <w:spacing w:val="-1"/>
          <w:sz w:val="24"/>
          <w:szCs w:val="24"/>
          <w:highlight w:val="none"/>
        </w:rPr>
        <w:t>预防措施，并使这些措施达到监理工程师满意为止。</w:t>
      </w:r>
    </w:p>
    <w:p w14:paraId="27BA2F90">
      <w:pPr>
        <w:keepNext w:val="0"/>
        <w:keepLines w:val="0"/>
        <w:pageBreakBefore w:val="0"/>
        <w:kinsoku/>
        <w:wordWrap/>
        <w:overflowPunct/>
        <w:topLinePunct w:val="0"/>
        <w:bidi w:val="0"/>
        <w:adjustRightInd w:val="0"/>
        <w:snapToGrid w:val="0"/>
        <w:spacing w:line="360" w:lineRule="auto"/>
        <w:ind w:left="433"/>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承包人的施工组织安排要科学合理，施工组织设计及灾害预防措施应事先得到</w:t>
      </w:r>
      <w:r>
        <w:rPr>
          <w:rFonts w:hint="eastAsia" w:asciiTheme="majorEastAsia" w:hAnsiTheme="majorEastAsia" w:eastAsiaTheme="majorEastAsia" w:cstheme="majorEastAsia"/>
          <w:spacing w:val="-1"/>
          <w:sz w:val="24"/>
          <w:szCs w:val="24"/>
          <w:highlight w:val="none"/>
        </w:rPr>
        <w:t>监理工程师的书面批准。</w:t>
      </w:r>
    </w:p>
    <w:p w14:paraId="04C93ED3">
      <w:pPr>
        <w:keepNext w:val="0"/>
        <w:keepLines w:val="0"/>
        <w:pageBreakBefore w:val="0"/>
        <w:kinsoku/>
        <w:wordWrap/>
        <w:overflowPunct/>
        <w:topLinePunct w:val="0"/>
        <w:bidi w:val="0"/>
        <w:adjustRightInd w:val="0"/>
        <w:snapToGrid w:val="0"/>
        <w:spacing w:line="360" w:lineRule="auto"/>
        <w:ind w:left="431" w:right="303" w:firstLine="523"/>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pacing w:val="-3"/>
          <w:sz w:val="24"/>
          <w:szCs w:val="24"/>
          <w:highlight w:val="none"/>
        </w:rPr>
        <w:t>(3) 当</w:t>
      </w:r>
      <w:r>
        <w:rPr>
          <w:rFonts w:hint="eastAsia" w:asciiTheme="majorEastAsia" w:hAnsiTheme="majorEastAsia" w:eastAsiaTheme="majorEastAsia" w:cstheme="majorEastAsia"/>
          <w:spacing w:val="-48"/>
          <w:sz w:val="24"/>
          <w:szCs w:val="24"/>
          <w:highlight w:val="none"/>
        </w:rPr>
        <w:t xml:space="preserve"> </w:t>
      </w:r>
      <w:r>
        <w:rPr>
          <w:rFonts w:hint="eastAsia" w:asciiTheme="majorEastAsia" w:hAnsiTheme="majorEastAsia" w:eastAsiaTheme="majorEastAsia" w:cstheme="majorEastAsia"/>
          <w:spacing w:val="-3"/>
          <w:sz w:val="24"/>
          <w:szCs w:val="24"/>
          <w:highlight w:val="none"/>
        </w:rPr>
        <w:t>21.1</w:t>
      </w:r>
      <w:r>
        <w:rPr>
          <w:rFonts w:hint="eastAsia" w:asciiTheme="majorEastAsia" w:hAnsiTheme="majorEastAsia" w:eastAsiaTheme="majorEastAsia" w:cstheme="majorEastAsia"/>
          <w:spacing w:val="-50"/>
          <w:sz w:val="24"/>
          <w:szCs w:val="24"/>
          <w:highlight w:val="none"/>
        </w:rPr>
        <w:t xml:space="preserve"> </w:t>
      </w:r>
      <w:r>
        <w:rPr>
          <w:rFonts w:hint="eastAsia" w:asciiTheme="majorEastAsia" w:hAnsiTheme="majorEastAsia" w:eastAsiaTheme="majorEastAsia" w:cstheme="majorEastAsia"/>
          <w:spacing w:val="-3"/>
          <w:sz w:val="24"/>
          <w:szCs w:val="24"/>
          <w:highlight w:val="none"/>
        </w:rPr>
        <w:t>款所述的灾害发生时，承包人要根据监理工</w:t>
      </w:r>
      <w:r>
        <w:rPr>
          <w:rFonts w:hint="eastAsia" w:asciiTheme="majorEastAsia" w:hAnsiTheme="majorEastAsia" w:eastAsiaTheme="majorEastAsia" w:cstheme="majorEastAsia"/>
          <w:spacing w:val="-4"/>
          <w:sz w:val="24"/>
          <w:szCs w:val="24"/>
          <w:highlight w:val="none"/>
        </w:rPr>
        <w:t>程师的指令积极组织力量，</w:t>
      </w:r>
      <w:r>
        <w:rPr>
          <w:rFonts w:hint="eastAsia" w:asciiTheme="majorEastAsia" w:hAnsiTheme="majorEastAsia" w:eastAsiaTheme="majorEastAsia" w:cstheme="majorEastAsia"/>
          <w:sz w:val="24"/>
          <w:szCs w:val="24"/>
          <w:highlight w:val="none"/>
        </w:rPr>
        <w:t xml:space="preserve"> 采取一切必要的措施，进行抢险补救，该项工作要通过监理</w:t>
      </w:r>
      <w:r>
        <w:rPr>
          <w:rFonts w:hint="eastAsia" w:asciiTheme="majorEastAsia" w:hAnsiTheme="majorEastAsia" w:eastAsiaTheme="majorEastAsia" w:cstheme="majorEastAsia"/>
          <w:spacing w:val="-1"/>
          <w:sz w:val="24"/>
          <w:szCs w:val="24"/>
          <w:highlight w:val="none"/>
        </w:rPr>
        <w:t>工程师验收合格为止。</w:t>
      </w:r>
    </w:p>
    <w:p w14:paraId="71674FCB">
      <w:pPr>
        <w:keepNext w:val="0"/>
        <w:keepLines w:val="0"/>
        <w:pageBreakBefore w:val="0"/>
        <w:numPr>
          <w:ilvl w:val="0"/>
          <w:numId w:val="0"/>
        </w:numPr>
        <w:kinsoku/>
        <w:wordWrap/>
        <w:overflowPunct/>
        <w:topLinePunct w:val="0"/>
        <w:bidi w:val="0"/>
        <w:adjustRightInd w:val="0"/>
        <w:snapToGrid w:val="0"/>
        <w:spacing w:line="360" w:lineRule="auto"/>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(4) 灾害过后,承包人应采取及时清理场地,抢救生命财产及向保险公司申报补偿等</w:t>
      </w:r>
      <w:r>
        <w:rPr>
          <w:rFonts w:hint="eastAsia" w:asciiTheme="majorEastAsia" w:hAnsiTheme="majorEastAsia" w:eastAsiaTheme="majorEastAsia" w:cstheme="majorEastAsia"/>
          <w:spacing w:val="9"/>
          <w:sz w:val="24"/>
          <w:szCs w:val="24"/>
          <w:highlight w:val="none"/>
        </w:rPr>
        <w:t xml:space="preserve"> </w:t>
      </w:r>
      <w:r>
        <w:rPr>
          <w:rFonts w:hint="eastAsia" w:asciiTheme="majorEastAsia" w:hAnsiTheme="majorEastAsia" w:eastAsiaTheme="majorEastAsia" w:cstheme="majorEastAsia"/>
          <w:spacing w:val="-1"/>
          <w:sz w:val="24"/>
          <w:szCs w:val="24"/>
          <w:highlight w:val="none"/>
        </w:rPr>
        <w:t>积极的善后处理措施,尽快恢复生产。</w:t>
      </w:r>
    </w:p>
    <w:p w14:paraId="7EAC436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22.违约</w:t>
      </w:r>
    </w:p>
    <w:p w14:paraId="65A8614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22.1承包人违约</w:t>
      </w:r>
    </w:p>
    <w:p w14:paraId="3ABE8F9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22.1.2对承包人违约的处理</w:t>
      </w:r>
    </w:p>
    <w:p w14:paraId="0B5D094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w:t>
      </w:r>
    </w:p>
    <w:p w14:paraId="6306EDF1">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本款补充：</w:t>
      </w:r>
    </w:p>
    <w:p w14:paraId="6724400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（4）承包人在投标函填写的资料，属于合同文件的组成部分，承包人应全面履行其所做的承诺，否则属于承包人违约，承包人应按下列标准向发包人支付违约偿金。</w:t>
      </w:r>
    </w:p>
    <w:p w14:paraId="4F0B2A10">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a）项目经理和技术负责人无特殊情况每月坚守工地时间不得少于25天，缺勤按800元/天·人标准向发包人支付违约偿金。项目经理和技术负责人需要离开工地时必须向发包人请假,获批准后方可离开,否则按缺勤处理。</w:t>
      </w:r>
    </w:p>
    <w:p w14:paraId="21D3E16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(b）未经发包人批准，承包人擅自更换项目经理或技术负责人，承包人应按1万/人·次的标准向发包人支付违约偿金。</w:t>
      </w:r>
    </w:p>
    <w:p w14:paraId="4DBE473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c）主要管理和技术人员未能按工程计划（或监理人要求）按时到场，承包人应按500元/天·人标准向发包人支付违约偿金，承包人擅自更换主要管理人员（项目经理、技术负责人按本款第（b）条约定处理），承包人应按5000元/人·次的标准向发包人支付违约偿金。</w:t>
      </w:r>
    </w:p>
    <w:p w14:paraId="1245BF4E">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d）主要机械设备未能按工程计划（或监理人要求的设备）及时到场或到场设备不能正常运转以及擅自调走已进场的机械设备，承包人应按1000元/天·台（套）标准向发包人支付违约偿金；迟到或调离超过10天时，发包人可自行组织采购，费用发包人直接在支付中予以扣除，但到场时限的延迟仍旧计算违约偿金。</w:t>
      </w:r>
    </w:p>
    <w:p w14:paraId="594C6A7A">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(e)承包人的主要人员及主要机械设备由监理人按照合同文件中的计划进场时间进行考勤，并将考勤结果于每月25日前上报发包人。</w:t>
      </w:r>
    </w:p>
    <w:p w14:paraId="4E5B0B3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(f)由于承包人自身原因引起的建设环境问题，如纠纷事件、打架斗殴等，造成恶劣影响，严重影响工程建设，以人民币3～10万元向发包人支付违约偿金，并承担由此而引起的一切后果。</w:t>
      </w:r>
    </w:p>
    <w:p w14:paraId="51D257D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(g) 承包人在施工期间如果在各种报表及检查试验记录中自己作假或诱导监理工程师作假，一经查实，业主将按每次1万元的标准从工程期中支付款中扣除相应的金额作为承包人的违约金。</w:t>
      </w:r>
    </w:p>
    <w:p w14:paraId="5C53512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h)承包人在发包人组织的检查中存在问题过多，连续二次都未处理解决存在问题，除按照有关考核办法给予经济处罚外，承包人应限期进行认真的整改，如果还达不到发包人的要求，承包人的法人代表应在发包人书面通知的时间内及时到达工地现场处理问题，否则后果自负，发包人可能作出的任何处理决定承包人必须接受。</w:t>
      </w:r>
    </w:p>
    <w:p w14:paraId="3C8BDA2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(l) 若承包人无视发包人、监理工程师事先的书面警告，一贯或公然忽视履行其合同规定的责任和义务，发包人有权终止承包人在本合同项下的承包，但不因此解除合同规定的承包人的任何义务和责任，或影响合同赋予发包人或监理工程师的任何权利和权限。发包人可自行完成该工程，或雇佣其他承包人完成该工程，其所需费用如果超过承包人的原报价，则超出部分由承包人承担，并由发包人从承包人应结款项或履约保证金金中扣回。</w:t>
      </w:r>
    </w:p>
    <w:p w14:paraId="43882E1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上述违约偿金发包人有权直接从其中间计量支付中扣回。如承包人多次发生上述违约现象，业主有权随时终止合同，并没收其全部履约保证金。</w:t>
      </w:r>
    </w:p>
    <w:p w14:paraId="096AECC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24.争议的解决</w:t>
      </w:r>
    </w:p>
    <w:p w14:paraId="57836A36">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24.1 争议的解决方式</w:t>
      </w:r>
    </w:p>
    <w:p w14:paraId="46E8C9D5">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争议的解决方式：（1）双方协商解决；（</w:t>
      </w: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sz w:val="24"/>
          <w:szCs w:val="24"/>
          <w:highlight w:val="none"/>
        </w:rPr>
        <w:t>）向</w:t>
      </w:r>
      <w:r>
        <w:rPr>
          <w:rFonts w:hint="eastAsia" w:asciiTheme="majorEastAsia" w:hAnsiTheme="majorEastAsia" w:eastAsiaTheme="majorEastAsia" w:cstheme="majorEastAsia"/>
          <w:sz w:val="24"/>
          <w:szCs w:val="24"/>
          <w:highlight w:val="none"/>
          <w:lang w:eastAsia="zh-CN"/>
        </w:rPr>
        <w:t>项目所在地</w:t>
      </w:r>
      <w:r>
        <w:rPr>
          <w:rFonts w:hint="eastAsia" w:asciiTheme="majorEastAsia" w:hAnsiTheme="majorEastAsia" w:eastAsiaTheme="majorEastAsia" w:cstheme="majorEastAsia"/>
          <w:sz w:val="24"/>
          <w:szCs w:val="24"/>
          <w:highlight w:val="none"/>
        </w:rPr>
        <w:t>法院提起诉讼。</w:t>
      </w:r>
    </w:p>
    <w:p w14:paraId="0F78E8D0">
      <w:pPr>
        <w:rPr>
          <w:rFonts w:hint="eastAsia" w:asciiTheme="majorEastAsia" w:hAnsiTheme="majorEastAsia" w:eastAsiaTheme="majorEastAsia" w:cstheme="majorEastAsia"/>
          <w:highlight w:val="none"/>
        </w:rPr>
      </w:pPr>
    </w:p>
    <w:p w14:paraId="27072F66">
      <w:pPr>
        <w:pStyle w:val="4"/>
        <w:widowControl w:val="0"/>
        <w:numPr>
          <w:ilvl w:val="0"/>
          <w:numId w:val="0"/>
        </w:numPr>
        <w:spacing w:after="120"/>
        <w:jc w:val="both"/>
        <w:outlineLvl w:val="9"/>
        <w:rPr>
          <w:rFonts w:hint="eastAsia" w:asciiTheme="majorEastAsia" w:hAnsiTheme="majorEastAsia" w:eastAsiaTheme="majorEastAsia" w:cstheme="majorEastAsia"/>
          <w:highlight w:val="none"/>
        </w:rPr>
      </w:pPr>
    </w:p>
    <w:p w14:paraId="69D44935">
      <w:pPr>
        <w:pStyle w:val="11"/>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br w:type="page"/>
      </w:r>
    </w:p>
    <w:p w14:paraId="2C6D7399">
      <w:pPr>
        <w:keepNext/>
        <w:keepLines/>
        <w:spacing w:line="360" w:lineRule="auto"/>
        <w:jc w:val="center"/>
        <w:outlineLvl w:val="1"/>
        <w:rPr>
          <w:rFonts w:hint="eastAsia" w:asciiTheme="majorEastAsia" w:hAnsiTheme="majorEastAsia" w:eastAsiaTheme="majorEastAsia" w:cstheme="majorEastAsia"/>
          <w:sz w:val="24"/>
          <w:szCs w:val="24"/>
          <w:highlight w:val="none"/>
        </w:rPr>
      </w:pPr>
      <w:bookmarkStart w:id="65" w:name="_Toc270597693"/>
      <w:bookmarkStart w:id="66" w:name="_Toc234382944"/>
      <w:bookmarkStart w:id="67" w:name="_Toc261854287"/>
      <w:bookmarkStart w:id="68" w:name="_Toc261165788"/>
      <w:bookmarkStart w:id="69" w:name="_Toc271613262"/>
      <w:bookmarkStart w:id="70" w:name="_Toc309282812"/>
      <w:bookmarkStart w:id="71" w:name="_Toc261599417"/>
      <w:bookmarkStart w:id="72" w:name="_Toc261165031"/>
      <w:bookmarkStart w:id="73" w:name="_Toc261855232"/>
      <w:bookmarkStart w:id="74" w:name="_Toc511982464"/>
      <w:bookmarkStart w:id="75" w:name="_Toc309285736"/>
      <w:bookmarkStart w:id="76" w:name="_Toc309285979"/>
      <w:bookmarkStart w:id="77" w:name="_Toc270597994"/>
      <w:bookmarkStart w:id="78" w:name="_Toc270598576"/>
      <w:bookmarkStart w:id="79" w:name="_Toc261157164"/>
      <w:bookmarkStart w:id="80" w:name="_Toc380494484"/>
      <w:bookmarkStart w:id="81" w:name="_Toc261166471"/>
      <w:bookmarkStart w:id="82" w:name="_Toc261854650"/>
      <w:bookmarkStart w:id="83" w:name="_Toc261595472"/>
      <w:bookmarkStart w:id="84" w:name="_Toc14511"/>
      <w:bookmarkStart w:id="85" w:name="_Toc261855521"/>
      <w:bookmarkStart w:id="86" w:name="_Toc271621119"/>
      <w:bookmarkStart w:id="87" w:name="_Toc261165529"/>
      <w:bookmarkStart w:id="88" w:name="_Toc261854943"/>
      <w:bookmarkStart w:id="89" w:name="_Toc261594249"/>
      <w:bookmarkStart w:id="90" w:name="_Toc261793022"/>
      <w:bookmarkStart w:id="91" w:name="_Toc309285492"/>
      <w:bookmarkStart w:id="92" w:name="_Toc270598287"/>
      <w:bookmarkStart w:id="93" w:name="_Toc261853981"/>
      <w:bookmarkStart w:id="94" w:name="_Toc309282384"/>
      <w:bookmarkStart w:id="95" w:name="_Toc271550574"/>
      <w:r>
        <w:rPr>
          <w:rFonts w:hint="eastAsia" w:asciiTheme="majorEastAsia" w:hAnsiTheme="majorEastAsia" w:eastAsiaTheme="majorEastAsia" w:cstheme="majorEastAsia"/>
          <w:b/>
          <w:bCs/>
          <w:sz w:val="36"/>
          <w:szCs w:val="36"/>
          <w:highlight w:val="none"/>
        </w:rPr>
        <w:t>第三节 合同附件格式</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2E59CAE0">
      <w:pPr>
        <w:spacing w:line="360" w:lineRule="auto"/>
        <w:outlineLvl w:val="9"/>
        <w:rPr>
          <w:rFonts w:hint="eastAsia" w:asciiTheme="majorEastAsia" w:hAnsiTheme="majorEastAsia" w:eastAsiaTheme="majorEastAsia" w:cstheme="majorEastAsia"/>
          <w:sz w:val="24"/>
          <w:szCs w:val="24"/>
          <w:highlight w:val="none"/>
        </w:rPr>
      </w:pPr>
      <w:bookmarkStart w:id="96" w:name="_Toc20114"/>
      <w:bookmarkStart w:id="97" w:name="_Toc32459"/>
      <w:bookmarkStart w:id="98" w:name="_Toc511982465"/>
      <w:bookmarkStart w:id="99" w:name="_Toc3784"/>
      <w:r>
        <w:rPr>
          <w:rFonts w:hint="eastAsia" w:asciiTheme="majorEastAsia" w:hAnsiTheme="majorEastAsia" w:eastAsiaTheme="majorEastAsia" w:cstheme="majorEastAsia"/>
          <w:b/>
          <w:bCs/>
          <w:sz w:val="28"/>
          <w:szCs w:val="28"/>
          <w:highlight w:val="none"/>
        </w:rPr>
        <w:t>附件一：合同协议书</w:t>
      </w:r>
      <w:bookmarkEnd w:id="96"/>
      <w:bookmarkEnd w:id="97"/>
      <w:bookmarkEnd w:id="98"/>
      <w:bookmarkEnd w:id="99"/>
    </w:p>
    <w:p w14:paraId="68DCC51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合 同 协 议 书</w:t>
      </w:r>
    </w:p>
    <w:p w14:paraId="46AB199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（发包人名称，以下简称“发包人”）为实施</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（项目名称），已接受</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（承包人名称，以下简称“承包人”）对该项目</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标段施工的投标。发包人和承包人共同达成如下协议。</w:t>
      </w:r>
    </w:p>
    <w:p w14:paraId="343024A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1.本项目由K</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至K</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，长约</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km，公路等级为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，设计时速为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路面，有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立交</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处；隧道</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米；特大桥</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座，计长</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m；大中桥</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座，计长</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m以及其他构造物工程等</w:t>
      </w:r>
      <w:r>
        <w:rPr>
          <w:rFonts w:hint="eastAsia" w:asciiTheme="majorEastAsia" w:hAnsiTheme="majorEastAsia" w:eastAsiaTheme="majorEastAsia" w:cstheme="majorEastAsia"/>
          <w:spacing w:val="10"/>
          <w:sz w:val="24"/>
          <w:szCs w:val="24"/>
          <w:highlight w:val="none"/>
        </w:rPr>
        <w:t>。</w:t>
      </w:r>
    </w:p>
    <w:p w14:paraId="5001847B">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下列文件应视为构成合同文件的组成部分：</w:t>
      </w:r>
    </w:p>
    <w:p w14:paraId="1E3C19A6">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(1)合同协议书及各种合同附件（含评标期间和合同谈判过程中的澄清文件和补充资料）；</w:t>
      </w:r>
    </w:p>
    <w:p w14:paraId="2453DF77">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(2)中标通知书；</w:t>
      </w:r>
    </w:p>
    <w:p w14:paraId="3B32BD71">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(3)补遗书（如有）；</w:t>
      </w:r>
    </w:p>
    <w:p w14:paraId="51785DE3">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(4)投标函及投标函附录；</w:t>
      </w:r>
    </w:p>
    <w:p w14:paraId="6F565F4B">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(5)项目专用合同条款；</w:t>
      </w:r>
    </w:p>
    <w:p w14:paraId="39197D55">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(6)公路工程专用合同条款；</w:t>
      </w:r>
    </w:p>
    <w:p w14:paraId="5DB76A1C">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(7)通用合同条款；</w:t>
      </w:r>
    </w:p>
    <w:p w14:paraId="3247CD3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(8)技术规范；</w:t>
      </w:r>
    </w:p>
    <w:p w14:paraId="425C3C7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(9)图纸；</w:t>
      </w:r>
    </w:p>
    <w:p w14:paraId="6763B5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(10)已标价的工程量清单；</w:t>
      </w:r>
    </w:p>
    <w:p w14:paraId="64B05BD2">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(11)承包人有关人员、设备投入的承诺及投标文件中的施工组织设计；</w:t>
      </w:r>
    </w:p>
    <w:p w14:paraId="0F41C0FA">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(12)其它合同文件。</w:t>
      </w:r>
    </w:p>
    <w:p w14:paraId="442C0771">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上述文件互相补充和解释，如有不明确或不一致之处，以合同约定次序在先者为准。</w:t>
      </w:r>
    </w:p>
    <w:p w14:paraId="4DDBBCC8">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根据工程量清单所列的预计数量和单价或总额价计算的签约合同价：人民币（大写）________元（¥________）。</w:t>
      </w:r>
    </w:p>
    <w:p w14:paraId="542ECE66">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u w:val="single"/>
        </w:rPr>
      </w:pPr>
      <w:r>
        <w:rPr>
          <w:rFonts w:hint="eastAsia" w:asciiTheme="majorEastAsia" w:hAnsiTheme="majorEastAsia" w:eastAsiaTheme="majorEastAsia" w:cstheme="majorEastAsia"/>
          <w:sz w:val="24"/>
          <w:szCs w:val="24"/>
          <w:highlight w:val="none"/>
        </w:rPr>
        <w:t>5. 承包人项目经理：</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。承包人项目总工：</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56482D55">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 工程质量符合</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标准。</w:t>
      </w:r>
    </w:p>
    <w:p w14:paraId="2F9713A6">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 承包人承诺按合同约定承担工程的实施、完成及缺陷修复。</w:t>
      </w:r>
    </w:p>
    <w:p w14:paraId="230A5E21">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8．发包人承诺按合同约定的条件向承包人支付合同价款；承包人承诺按时支付民工工资、机械费、材料款等。</w:t>
      </w:r>
    </w:p>
    <w:p w14:paraId="03DCF190">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 承包人必须在工地现场组建工地试验室，试验设备和组成人员须上报市公路工程质量监督站审核批准，上报批准的设备和人员作为承包人有关人员、设备投入的承诺。</w:t>
      </w:r>
    </w:p>
    <w:p w14:paraId="7EF397C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10、若因招标人上级部门资金拨付不到位和其他原因不能及时拨付时，承包人不得以资金不到位为由停止施工。</w:t>
      </w:r>
    </w:p>
    <w:p w14:paraId="3A78843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11、承包人应接受政府各级部门的检查和监督，按照行政主管部门的规定和指导进行项目实施及项目交竣工验收等工作。</w:t>
      </w:r>
    </w:p>
    <w:p w14:paraId="3590FA8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 发包人承诺按合同约定的条件、时间和方式向承包人支付合同价款。</w:t>
      </w:r>
    </w:p>
    <w:p w14:paraId="03A9DF9E">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13. 承包人应按照监理人指示开工，工期为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个月。</w:t>
      </w:r>
    </w:p>
    <w:p w14:paraId="75CDB2A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14. 本协议书由双方法定代表人或其委托代理人签署与加盖公章后生效。全部工程完工后经交工验收合格、缺陷责任期满签发缺陷责任终止证书后失效。</w:t>
      </w:r>
    </w:p>
    <w:p w14:paraId="26BBD44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15. 本协议书正本二份、副本____份，合同双方各执正本一份，副本____份，当正本与副本的内容不一致时，以正本为准。</w:t>
      </w:r>
    </w:p>
    <w:p w14:paraId="4D76E04C">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16. 合同未尽事宜，双方另行签订补充协议。补充协议是合同的组成部分。</w:t>
      </w:r>
    </w:p>
    <w:p w14:paraId="7DA3EE5F">
      <w:pPr>
        <w:keepNext w:val="0"/>
        <w:keepLines w:val="0"/>
        <w:pageBreakBefore w:val="0"/>
        <w:widowControl/>
        <w:kinsoku/>
        <w:wordWrap/>
        <w:overflowPunct/>
        <w:topLinePunct w:val="0"/>
        <w:autoSpaceDE/>
        <w:autoSpaceDN/>
        <w:bidi w:val="0"/>
        <w:adjustRightInd w:val="0"/>
        <w:snapToGrid w:val="0"/>
        <w:spacing w:line="360" w:lineRule="auto"/>
        <w:jc w:val="left"/>
        <w:textAlignment w:val="auto"/>
        <w:outlineLvl w:val="9"/>
        <w:rPr>
          <w:rFonts w:hint="eastAsia" w:asciiTheme="majorEastAsia" w:hAnsiTheme="majorEastAsia" w:eastAsiaTheme="majorEastAsia" w:cstheme="majorEastAsia"/>
          <w:sz w:val="24"/>
          <w:szCs w:val="24"/>
          <w:highlight w:val="none"/>
        </w:rPr>
      </w:pPr>
    </w:p>
    <w:p w14:paraId="38C6C42D">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   承包人：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w:t>
      </w:r>
    </w:p>
    <w:p w14:paraId="300B16B9">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Theme="majorEastAsia" w:hAnsiTheme="majorEastAsia" w:eastAsiaTheme="majorEastAsia" w:cstheme="majorEastAsia"/>
          <w:sz w:val="24"/>
          <w:szCs w:val="24"/>
          <w:highlight w:val="none"/>
        </w:rPr>
      </w:pPr>
    </w:p>
    <w:p w14:paraId="0A749F43">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   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w:t>
      </w:r>
    </w:p>
    <w:p w14:paraId="774C4259">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Theme="majorEastAsia" w:hAnsiTheme="majorEastAsia" w:eastAsiaTheme="majorEastAsia" w:cstheme="majorEastAsia"/>
          <w:sz w:val="24"/>
          <w:szCs w:val="24"/>
          <w:highlight w:val="none"/>
          <w:u w:val="single"/>
        </w:rPr>
      </w:pPr>
    </w:p>
    <w:p w14:paraId="25E5033A">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        </w:t>
      </w:r>
      <w:r>
        <w:rPr>
          <w:rFonts w:hint="eastAsia" w:asciiTheme="majorEastAsia" w:hAnsiTheme="majorEastAsia" w:eastAsiaTheme="majorEastAsia" w:cstheme="majorEastAsia"/>
          <w:sz w:val="24"/>
          <w:szCs w:val="24"/>
          <w:highlight w:val="none"/>
          <w:lang w:val="en-US" w:eastAsia="zh-CN"/>
        </w:rPr>
        <w:t xml:space="preserve">   </w:t>
      </w:r>
      <w:r>
        <w:rPr>
          <w:rFonts w:hint="eastAsia" w:asciiTheme="majorEastAsia" w:hAnsiTheme="majorEastAsia" w:eastAsiaTheme="majorEastAsia" w:cstheme="majorEastAsia"/>
          <w:sz w:val="24"/>
          <w:szCs w:val="24"/>
          <w:highlight w:val="none"/>
        </w:rPr>
        <w:t xml:space="preserve">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w:t>
      </w:r>
    </w:p>
    <w:p w14:paraId="185A04A2">
      <w:pPr>
        <w:widowControl/>
        <w:spacing w:line="360" w:lineRule="auto"/>
        <w:jc w:val="left"/>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br w:type="page"/>
      </w:r>
      <w:bookmarkStart w:id="100" w:name="_Toc511982466"/>
      <w:bookmarkStart w:id="101" w:name="_Toc23503"/>
      <w:bookmarkStart w:id="102" w:name="_Toc17447"/>
      <w:bookmarkStart w:id="103" w:name="_Toc22625"/>
      <w:bookmarkStart w:id="104" w:name="_Toc261595485"/>
      <w:bookmarkStart w:id="105" w:name="_Toc261599423"/>
      <w:bookmarkStart w:id="106" w:name="_Toc270598300"/>
      <w:bookmarkStart w:id="107" w:name="_Toc261157176"/>
      <w:bookmarkStart w:id="108" w:name="_Toc261165044"/>
      <w:bookmarkStart w:id="109" w:name="_Toc261855245"/>
      <w:bookmarkStart w:id="110" w:name="_Toc270598007"/>
      <w:bookmarkStart w:id="111" w:name="_Toc270598589"/>
      <w:bookmarkStart w:id="112" w:name="_Toc261853994"/>
      <w:bookmarkStart w:id="113" w:name="_Toc261854300"/>
      <w:bookmarkStart w:id="114" w:name="_Toc261594262"/>
      <w:bookmarkStart w:id="115" w:name="_Toc261793028"/>
      <w:bookmarkStart w:id="116" w:name="_Toc261854956"/>
      <w:bookmarkStart w:id="117" w:name="_Toc261165801"/>
      <w:bookmarkStart w:id="118" w:name="_Toc261165542"/>
      <w:bookmarkStart w:id="119" w:name="_Toc270597706"/>
      <w:bookmarkStart w:id="120" w:name="_Toc261166484"/>
      <w:bookmarkStart w:id="121" w:name="_Toc261855534"/>
      <w:bookmarkStart w:id="122" w:name="_Toc261854663"/>
      <w:bookmarkStart w:id="123" w:name="_Toc234382949"/>
      <w:r>
        <w:rPr>
          <w:rFonts w:hint="eastAsia" w:asciiTheme="majorEastAsia" w:hAnsiTheme="majorEastAsia" w:eastAsiaTheme="majorEastAsia" w:cstheme="majorEastAsia"/>
          <w:b/>
          <w:bCs/>
          <w:sz w:val="28"/>
          <w:szCs w:val="28"/>
          <w:highlight w:val="none"/>
        </w:rPr>
        <w:t>附件二：廉政合同</w:t>
      </w:r>
      <w:bookmarkEnd w:id="100"/>
      <w:bookmarkEnd w:id="101"/>
      <w:bookmarkEnd w:id="102"/>
      <w:bookmarkEnd w:id="103"/>
    </w:p>
    <w:p w14:paraId="57118A8F">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廉 政 合 同</w:t>
      </w:r>
    </w:p>
    <w:p w14:paraId="2411D49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（项目名称）的项目法人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(项目法人名称，以下简称“发包人”)与该项目的施工单位</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(施工单位名称，以下简称“承包人”)，特订立如下合同。</w:t>
      </w:r>
    </w:p>
    <w:p w14:paraId="15DDB832">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发包人和承包人双方的权利和义务</w:t>
      </w:r>
    </w:p>
    <w:p w14:paraId="5DF24C8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严格遵守党的政策规定和国家有关法律法规及交通运输部的有关规定。</w:t>
      </w:r>
    </w:p>
    <w:p w14:paraId="0956132A">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严格执行</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（项目名称）施工合同文件，自觉按合同办事。</w:t>
      </w:r>
    </w:p>
    <w:p w14:paraId="315B68F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双方的业务活动坚持公开、公正、诚信、透明的原则(法律认定的商业秘密和合同文件另有规定除外)，不得损害国家和集体利益，不得违反工程建设管理规章制度。</w:t>
      </w:r>
    </w:p>
    <w:p w14:paraId="35D9800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建立健全廉政制度，开展廉政教育，设立廉政告示牌，公布举报电话，监督并认真查处违法违纪行为。</w:t>
      </w:r>
    </w:p>
    <w:p w14:paraId="74379C46">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发现对方在业务活动中有违反廉政规定的行为，有及时提醒对方纠正的权利和义务。</w:t>
      </w:r>
    </w:p>
    <w:p w14:paraId="01BCD682">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 发现对方严重违反本合同义务条款的行为，有向其上级有关部门举报、建议给予处理并要求告知处理结果的权利。</w:t>
      </w:r>
    </w:p>
    <w:p w14:paraId="35CF80BD">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发包人的义务</w:t>
      </w:r>
    </w:p>
    <w:p w14:paraId="68D4F74B">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发包人及其工作人员不得索要或接受承包人的礼金、有价证券和贵重物品，不得让承包人报销任何应由发包人或发包人工作人员个人支付的费用等。</w:t>
      </w:r>
    </w:p>
    <w:p w14:paraId="2AC47EB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发包人工作人员不得参加承包人安排的超标准宴请和娱乐活动；不得接受承包人提供的通讯工具、交通工具和高档办公用品等。</w:t>
      </w:r>
    </w:p>
    <w:p w14:paraId="490B9391">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发包人及其工作人员不得要求或者接受承包人为其住房装修、婚丧嫁娶活动、配偶子女的工作安排以及出国出境、旅游等提供方便等。</w:t>
      </w:r>
    </w:p>
    <w:p w14:paraId="3C28C7D4">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发包人工作人员及其配偶、子女不得从事与发包人工程有关的材料设备供应、工程分包、劳务等经济活动等。</w:t>
      </w:r>
    </w:p>
    <w:p w14:paraId="3727C3B6">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发包人及其工作人员不得以任何理由向承包人推荐分包单位或推销材料，不得要求承包人购买合同规定外的材料和设备。</w:t>
      </w:r>
    </w:p>
    <w:p w14:paraId="6F52E3DE">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 发包人工作人员要秉公办事，不准营私舞弊，不准利用职权从事各种个人有偿中介活动和安排个人施工队伍。</w:t>
      </w:r>
    </w:p>
    <w:p w14:paraId="5C452C1E">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3. 承包人的义务</w:t>
      </w:r>
    </w:p>
    <w:p w14:paraId="1C0EDB60">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承包人不得以任何理由向发包人及其工作人员行贿或馈赠礼金、有价证券、贵重礼品。</w:t>
      </w:r>
    </w:p>
    <w:p w14:paraId="798E7D5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承包人不得以任何名义为发包人及其工作人员报销应由发包人单位或个人支付的任何费用。</w:t>
      </w:r>
    </w:p>
    <w:p w14:paraId="4EFE7AF1">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承包人不得以任何理由安排发包人工作人员参加超标准宴请及娱乐活动。</w:t>
      </w:r>
    </w:p>
    <w:p w14:paraId="5B299EC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承包人不得为发包人单位和个人购置或提供通信工具、交通工具和高档办公用品等。</w:t>
      </w:r>
    </w:p>
    <w:p w14:paraId="4B6B4CEC">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违约责任</w:t>
      </w:r>
    </w:p>
    <w:p w14:paraId="57227D90">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发包人及其工作人员违反本合同第1、2条，按管理权限，依据有关规定给予党纪、政纪或组织处理；涉嫌犯罪的，移交司法机关追究刑事责任；给承包人单位造成经济损失的，应予以赔偿。</w:t>
      </w:r>
    </w:p>
    <w:p w14:paraId="3E79DA7D">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375DC717">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FD1413E">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 本合同有效期为发包人和承包人签署之日起至该工程项目竣工验收后止。</w:t>
      </w:r>
    </w:p>
    <w:p w14:paraId="3A9371BB">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 本合同作为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（项目名称）施工合同的附件，与工程施工合同具有同等的法律效力，经合同双方签署后立即生效。</w:t>
      </w:r>
    </w:p>
    <w:p w14:paraId="757C6C5F">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 本合同一式四份，由发包人和承包人各执一份，送交发包人和承包人的监督单位各一份。</w:t>
      </w:r>
    </w:p>
    <w:p w14:paraId="45ECFEE5">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     承包人：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w:t>
      </w:r>
    </w:p>
    <w:p w14:paraId="3D5A242D">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  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w:t>
      </w:r>
    </w:p>
    <w:p w14:paraId="7EC19413">
      <w:pPr>
        <w:keepNext w:val="0"/>
        <w:keepLines w:val="0"/>
        <w:pageBreakBefore w:val="0"/>
        <w:widowControl/>
        <w:kinsoku/>
        <w:wordWrap/>
        <w:overflowPunct/>
        <w:topLinePunct w:val="0"/>
        <w:autoSpaceDE/>
        <w:autoSpaceDN/>
        <w:bidi w:val="0"/>
        <w:adjustRightInd w:val="0"/>
        <w:snapToGrid w:val="0"/>
        <w:spacing w:line="312" w:lineRule="auto"/>
        <w:ind w:firstLine="360" w:firstLineChars="150"/>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w:t>
      </w:r>
    </w:p>
    <w:p w14:paraId="62933F03">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Theme="majorEastAsia" w:hAnsiTheme="majorEastAsia" w:eastAsiaTheme="majorEastAsia" w:cstheme="majorEastAsia"/>
          <w:sz w:val="24"/>
          <w:szCs w:val="24"/>
          <w:highlight w:val="none"/>
          <w:u w:val="single"/>
        </w:rPr>
      </w:pPr>
      <w:bookmarkStart w:id="124" w:name="_Toc29806"/>
      <w:bookmarkStart w:id="125" w:name="_Toc18587"/>
      <w:bookmarkStart w:id="126" w:name="_Toc511982467"/>
      <w:bookmarkStart w:id="127" w:name="_Toc8818"/>
      <w:r>
        <w:rPr>
          <w:rFonts w:hint="eastAsia" w:asciiTheme="majorEastAsia" w:hAnsiTheme="majorEastAsia" w:eastAsiaTheme="majorEastAsia" w:cstheme="majorEastAsia"/>
          <w:sz w:val="24"/>
          <w:szCs w:val="24"/>
          <w:highlight w:val="none"/>
        </w:rPr>
        <w:t>发包人监督单位：</w:t>
      </w:r>
      <w:r>
        <w:rPr>
          <w:rFonts w:hint="eastAsia" w:asciiTheme="majorEastAsia" w:hAnsiTheme="majorEastAsia" w:eastAsiaTheme="majorEastAsia" w:cstheme="majorEastAsia"/>
          <w:sz w:val="24"/>
          <w:szCs w:val="24"/>
          <w:highlight w:val="none"/>
          <w:u w:val="single"/>
        </w:rPr>
        <w:t>(全称)  (盖单位章)</w:t>
      </w:r>
      <w:r>
        <w:rPr>
          <w:rFonts w:hint="eastAsia" w:asciiTheme="majorEastAsia" w:hAnsiTheme="majorEastAsia" w:eastAsiaTheme="majorEastAsia" w:cstheme="majorEastAsia"/>
          <w:sz w:val="24"/>
          <w:szCs w:val="24"/>
          <w:highlight w:val="none"/>
        </w:rPr>
        <w:t xml:space="preserve">     承包人监督单位：</w:t>
      </w:r>
      <w:r>
        <w:rPr>
          <w:rFonts w:hint="eastAsia" w:asciiTheme="majorEastAsia" w:hAnsiTheme="majorEastAsia" w:eastAsiaTheme="majorEastAsia" w:cstheme="majorEastAsia"/>
          <w:sz w:val="24"/>
          <w:szCs w:val="24"/>
          <w:highlight w:val="none"/>
          <w:u w:val="single"/>
        </w:rPr>
        <w:t>(全称)  (盖单位章)</w:t>
      </w:r>
    </w:p>
    <w:p w14:paraId="45D996D1">
      <w:pPr>
        <w:keepNext w:val="0"/>
        <w:keepLines w:val="0"/>
        <w:pageBreakBefore w:val="0"/>
        <w:widowControl/>
        <w:kinsoku/>
        <w:wordWrap/>
        <w:overflowPunct/>
        <w:topLinePunct w:val="0"/>
        <w:autoSpaceDE/>
        <w:autoSpaceDN/>
        <w:bidi w:val="0"/>
        <w:adjustRightInd/>
        <w:snapToGrid/>
        <w:spacing w:line="420" w:lineRule="exact"/>
        <w:jc w:val="left"/>
        <w:textAlignment w:val="auto"/>
        <w:outlineLvl w:val="9"/>
        <w:rPr>
          <w:rFonts w:hint="eastAsia" w:asciiTheme="majorEastAsia" w:hAnsiTheme="majorEastAsia" w:eastAsiaTheme="majorEastAsia" w:cstheme="majorEastAsia"/>
          <w:sz w:val="24"/>
          <w:szCs w:val="24"/>
          <w:highlight w:val="none"/>
          <w:u w:val="single"/>
        </w:rPr>
      </w:pPr>
      <w:r>
        <w:rPr>
          <w:rFonts w:hint="eastAsia" w:asciiTheme="majorEastAsia" w:hAnsiTheme="majorEastAsia" w:eastAsiaTheme="majorEastAsia" w:cstheme="majorEastAsia"/>
          <w:sz w:val="21"/>
          <w:szCs w:val="21"/>
          <w:highlight w:val="none"/>
        </w:rPr>
        <w:br w:type="page"/>
      </w:r>
      <w:bookmarkStart w:id="128" w:name="_Toc511982468"/>
      <w:r>
        <w:rPr>
          <w:rFonts w:hint="eastAsia" w:asciiTheme="majorEastAsia" w:hAnsiTheme="majorEastAsia" w:eastAsiaTheme="majorEastAsia" w:cstheme="majorEastAsia"/>
          <w:b/>
          <w:bCs/>
          <w:sz w:val="28"/>
          <w:szCs w:val="28"/>
          <w:highlight w:val="none"/>
        </w:rPr>
        <w:t>附件三：安全生产合同</w:t>
      </w:r>
      <w:bookmarkEnd w:id="124"/>
      <w:bookmarkEnd w:id="125"/>
      <w:bookmarkEnd w:id="126"/>
      <w:bookmarkEnd w:id="127"/>
      <w:bookmarkEnd w:id="128"/>
    </w:p>
    <w:p w14:paraId="65900C56">
      <w:pPr>
        <w:keepNext w:val="0"/>
        <w:keepLines w:val="0"/>
        <w:pageBreakBefore w:val="0"/>
        <w:widowControl/>
        <w:kinsoku/>
        <w:wordWrap/>
        <w:overflowPunct/>
        <w:topLinePunct w:val="0"/>
        <w:autoSpaceDE/>
        <w:autoSpaceDN/>
        <w:bidi w:val="0"/>
        <w:adjustRightInd w:val="0"/>
        <w:snapToGrid w:val="0"/>
        <w:spacing w:line="288" w:lineRule="auto"/>
        <w:jc w:val="center"/>
        <w:textAlignment w:val="auto"/>
        <w:outlineLvl w:val="9"/>
        <w:rPr>
          <w:rFonts w:hint="eastAsia"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安全生产合同</w:t>
      </w:r>
    </w:p>
    <w:p w14:paraId="0445FD24">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Theme="majorEastAsia" w:hAnsiTheme="majorEastAsia" w:eastAsiaTheme="majorEastAsia" w:cstheme="majorEastAsia"/>
          <w:b/>
          <w:sz w:val="24"/>
          <w:szCs w:val="24"/>
          <w:highlight w:val="none"/>
        </w:rPr>
      </w:pPr>
    </w:p>
    <w:p w14:paraId="5DBB8EA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为在</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(项目名称)施工合同的实施过程中创造安全、高效的施工环境，切实搞好本项目的安全管理工作，本项目发包人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(发包人名称，以下简称“发包人”)与承包人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(承包人名称，以下简称“承包人”)特此签订安全生产合同：</w:t>
      </w:r>
    </w:p>
    <w:p w14:paraId="58490FFD">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1.发包人职责</w:t>
      </w:r>
    </w:p>
    <w:p w14:paraId="7E49400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严格遵守国家有关安全生产的法律法规，认真执行工程承包合同中的有关安全要求。</w:t>
      </w:r>
    </w:p>
    <w:p w14:paraId="170E7CE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按照“安全第一、预防为主”和坚持“管生产必须管安全”的原则进行安全生产管理，做到生产与安全工作同时计划、布置、检查、总结和评比。</w:t>
      </w:r>
    </w:p>
    <w:p w14:paraId="3FB0D11C">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重要的安全设施必须坚持与主体工程“三同时”的原则，即：同时设计、审批，同时施工，同时验收，投入使用。</w:t>
      </w:r>
    </w:p>
    <w:p w14:paraId="06174B5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定期召开安全生产调度会，及时传达中央及地方有关安全生产的精神。</w:t>
      </w:r>
    </w:p>
    <w:p w14:paraId="2566D3B9">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组织对承包人施工现场进行安全生产检查，监督承包人及时处理发现的各种安全隐患。</w:t>
      </w:r>
    </w:p>
    <w:p w14:paraId="3A14AA7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2.承包人职责</w:t>
      </w:r>
    </w:p>
    <w:p w14:paraId="51111B52">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 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089A601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 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746B91F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 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1BAF7881">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承包人在任何时候都应采取各种合理的预防措施，防止其员工发生任何违法、违禁、暴力或妨碍治安的行为。</w:t>
      </w:r>
    </w:p>
    <w:p w14:paraId="753EBB17">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81A875D">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 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DCC5230">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 操作人员上岗，必须按规定穿戴防护用品。施工负责人和安全检查员应随时检查劳动防护用品的穿戴情况，不按规定穿戴防护用品的人员不得上岗。</w:t>
      </w:r>
    </w:p>
    <w:p w14:paraId="178E032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 所有施工机具设备和高空作业的设备均应定期检查，并有安全员的签字记录，保证其经常处于完好状态；不合格的机具、设备和劳动保护用品严禁使用。</w:t>
      </w:r>
    </w:p>
    <w:p w14:paraId="35E76F79">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 施工中采用新技术、新工艺、新设备、新材料时，必须制定相应的安全技术措施，施工现场必须具有相关的安全标志牌。</w:t>
      </w:r>
    </w:p>
    <w:p w14:paraId="414766EB">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(10) 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46D4E903">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 安全生产费用按照</w:t>
      </w:r>
      <w:bookmarkStart w:id="129" w:name="_Toc187470650"/>
      <w:r>
        <w:rPr>
          <w:rFonts w:hint="eastAsia" w:asciiTheme="majorEastAsia" w:hAnsiTheme="majorEastAsia" w:eastAsiaTheme="majorEastAsia" w:cstheme="majorEastAsia"/>
          <w:sz w:val="24"/>
          <w:szCs w:val="24"/>
          <w:highlight w:val="none"/>
        </w:rPr>
        <w:t>《公路水运工程安全生产监督管理办法</w:t>
      </w:r>
      <w:bookmarkEnd w:id="129"/>
      <w:r>
        <w:rPr>
          <w:rFonts w:hint="eastAsia" w:asciiTheme="majorEastAsia" w:hAnsiTheme="majorEastAsia" w:eastAsiaTheme="majorEastAsia" w:cstheme="majorEastAsia"/>
          <w:sz w:val="24"/>
          <w:szCs w:val="24"/>
          <w:highlight w:val="none"/>
        </w:rPr>
        <w:t>》的相关规定使用和管理。</w:t>
      </w:r>
    </w:p>
    <w:p w14:paraId="70271292">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3.违约责任</w:t>
      </w:r>
    </w:p>
    <w:p w14:paraId="42305ED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如因发包人或承包人违约造成安全事故，将依法追究责任。</w:t>
      </w:r>
    </w:p>
    <w:p w14:paraId="1D290F7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 本合同由双方法定代表人或其授权的代理人签署并加盖单位章后生效，全部工程竣工验收后失效。</w:t>
      </w:r>
    </w:p>
    <w:p w14:paraId="51F79B4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 本合同正本二份、副本____份，合同双方各执正本一份，副本____份，当正本与副本的内容不一致时，以正本为准。</w:t>
      </w:r>
    </w:p>
    <w:p w14:paraId="2CC91161">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     承包人：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(盖单位章)</w:t>
      </w:r>
    </w:p>
    <w:p w14:paraId="0FB58E7D">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  法定代表人或其委托代理人：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签字)</w:t>
      </w:r>
    </w:p>
    <w:p w14:paraId="655DCA54">
      <w:pPr>
        <w:pStyle w:val="4"/>
        <w:keepNext w:val="0"/>
        <w:keepLines w:val="0"/>
        <w:pageBreakBefore w:val="0"/>
        <w:kinsoku/>
        <w:wordWrap/>
        <w:overflowPunct/>
        <w:topLinePunct w:val="0"/>
        <w:autoSpaceDE/>
        <w:autoSpaceDN/>
        <w:bidi w:val="0"/>
        <w:adjustRightInd w:val="0"/>
        <w:snapToGrid w:val="0"/>
        <w:spacing w:after="0" w:line="288" w:lineRule="auto"/>
        <w:ind w:left="44"/>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         </w:t>
      </w:r>
      <w:r>
        <w:rPr>
          <w:rFonts w:hint="eastAsia" w:asciiTheme="majorEastAsia" w:hAnsiTheme="majorEastAsia" w:eastAsiaTheme="majorEastAsia" w:cstheme="majorEastAsia"/>
          <w:sz w:val="24"/>
          <w:szCs w:val="24"/>
          <w:highlight w:val="none"/>
          <w:lang w:val="en-US" w:eastAsia="zh-CN"/>
        </w:rPr>
        <w:t xml:space="preserve">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年</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月 </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 xml:space="preserve"> 日</w:t>
      </w:r>
    </w:p>
    <w:p w14:paraId="061825BB">
      <w:pPr>
        <w:pStyle w:val="4"/>
        <w:spacing w:before="91" w:line="219" w:lineRule="auto"/>
        <w:ind w:left="44"/>
        <w:outlineLvl w:val="9"/>
        <w:rPr>
          <w:rFonts w:hint="eastAsia"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2"/>
          <w:szCs w:val="22"/>
          <w:highlight w:val="none"/>
        </w:rPr>
        <w:br w:type="page"/>
      </w:r>
      <w:bookmarkStart w:id="130" w:name="_Toc6862"/>
      <w:bookmarkStart w:id="131" w:name="_Toc511982469"/>
      <w:bookmarkStart w:id="132" w:name="_Toc309285503"/>
      <w:bookmarkStart w:id="133" w:name="_Toc271613273"/>
      <w:bookmarkStart w:id="134" w:name="_Toc309282395"/>
      <w:bookmarkStart w:id="135" w:name="_Toc271621130"/>
      <w:bookmarkStart w:id="136" w:name="_Toc309285747"/>
      <w:bookmarkStart w:id="137" w:name="_Toc309282823"/>
      <w:bookmarkStart w:id="138" w:name="_Toc309285990"/>
      <w:bookmarkStart w:id="139" w:name="_Toc380494495"/>
      <w:bookmarkStart w:id="140" w:name="_Toc271550585"/>
      <w:r>
        <w:rPr>
          <w:rFonts w:hint="eastAsia" w:asciiTheme="majorEastAsia" w:hAnsiTheme="majorEastAsia" w:eastAsiaTheme="majorEastAsia" w:cstheme="majorEastAsia"/>
          <w:b/>
          <w:bCs/>
          <w:kern w:val="2"/>
          <w:sz w:val="28"/>
          <w:szCs w:val="28"/>
          <w:highlight w:val="none"/>
          <w:lang w:val="en-US" w:eastAsia="zh-CN" w:bidi="ar-SA"/>
        </w:rPr>
        <w:t>附件四  其他管理和技术人员</w:t>
      </w:r>
      <w:bookmarkEnd w:id="130"/>
    </w:p>
    <w:p w14:paraId="49C4153C">
      <w:pPr>
        <w:spacing w:line="257" w:lineRule="auto"/>
        <w:outlineLvl w:val="9"/>
        <w:rPr>
          <w:rFonts w:hint="eastAsia" w:asciiTheme="majorEastAsia" w:hAnsiTheme="majorEastAsia" w:eastAsiaTheme="majorEastAsia" w:cstheme="majorEastAsia"/>
          <w:sz w:val="21"/>
          <w:highlight w:val="none"/>
        </w:rPr>
      </w:pPr>
    </w:p>
    <w:p w14:paraId="7F80BF55">
      <w:pPr>
        <w:spacing w:line="258" w:lineRule="auto"/>
        <w:outlineLvl w:val="9"/>
        <w:rPr>
          <w:rFonts w:hint="eastAsia" w:asciiTheme="majorEastAsia" w:hAnsiTheme="majorEastAsia" w:eastAsiaTheme="majorEastAsia" w:cstheme="majorEastAsia"/>
          <w:sz w:val="21"/>
          <w:highlight w:val="none"/>
        </w:rPr>
      </w:pPr>
    </w:p>
    <w:p w14:paraId="7B303997">
      <w:pPr>
        <w:spacing w:line="258" w:lineRule="auto"/>
        <w:outlineLvl w:val="9"/>
        <w:rPr>
          <w:rFonts w:hint="eastAsia" w:asciiTheme="majorEastAsia" w:hAnsiTheme="majorEastAsia" w:eastAsiaTheme="majorEastAsia" w:cstheme="majorEastAsia"/>
          <w:sz w:val="21"/>
          <w:highlight w:val="none"/>
        </w:rPr>
      </w:pPr>
    </w:p>
    <w:p w14:paraId="56774BEF">
      <w:pPr>
        <w:pStyle w:val="4"/>
        <w:spacing w:before="91" w:line="219" w:lineRule="auto"/>
        <w:ind w:left="44"/>
        <w:jc w:val="center"/>
        <w:outlineLvl w:val="9"/>
        <w:rPr>
          <w:rFonts w:hint="eastAsia" w:asciiTheme="majorEastAsia" w:hAnsiTheme="majorEastAsia" w:eastAsiaTheme="majorEastAsia" w:cstheme="majorEastAsia"/>
          <w:b/>
          <w:bCs/>
          <w:kern w:val="2"/>
          <w:sz w:val="28"/>
          <w:szCs w:val="28"/>
          <w:highlight w:val="none"/>
          <w:lang w:val="en-US" w:eastAsia="zh-CN" w:bidi="ar-SA"/>
        </w:rPr>
      </w:pPr>
      <w:r>
        <w:rPr>
          <w:rFonts w:hint="eastAsia" w:asciiTheme="majorEastAsia" w:hAnsiTheme="majorEastAsia" w:eastAsiaTheme="majorEastAsia" w:cstheme="majorEastAsia"/>
          <w:b/>
          <w:bCs/>
          <w:kern w:val="2"/>
          <w:sz w:val="28"/>
          <w:szCs w:val="28"/>
          <w:highlight w:val="none"/>
          <w:lang w:val="en-US" w:eastAsia="zh-CN" w:bidi="ar-SA"/>
        </w:rPr>
        <w:t>其他管理和技术人员最低要求</w:t>
      </w:r>
    </w:p>
    <w:tbl>
      <w:tblPr>
        <w:tblStyle w:val="7"/>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05381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6C1D03DE">
            <w:pPr>
              <w:pStyle w:val="12"/>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lang w:eastAsia="zh-CN"/>
              </w:rPr>
              <w:t>序号</w:t>
            </w:r>
          </w:p>
        </w:tc>
        <w:tc>
          <w:tcPr>
            <w:tcW w:w="719" w:type="dxa"/>
            <w:vMerge w:val="restart"/>
            <w:vAlign w:val="center"/>
          </w:tcPr>
          <w:p w14:paraId="112822F3">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姓名</w:t>
            </w:r>
          </w:p>
        </w:tc>
        <w:tc>
          <w:tcPr>
            <w:tcW w:w="719" w:type="dxa"/>
            <w:vMerge w:val="restart"/>
            <w:vAlign w:val="center"/>
          </w:tcPr>
          <w:p w14:paraId="0320BAAB">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性别</w:t>
            </w:r>
          </w:p>
        </w:tc>
        <w:tc>
          <w:tcPr>
            <w:tcW w:w="719" w:type="dxa"/>
            <w:vMerge w:val="restart"/>
            <w:vAlign w:val="center"/>
          </w:tcPr>
          <w:p w14:paraId="4D68587A">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职称</w:t>
            </w:r>
          </w:p>
        </w:tc>
        <w:tc>
          <w:tcPr>
            <w:tcW w:w="1764" w:type="dxa"/>
            <w:vMerge w:val="restart"/>
            <w:vAlign w:val="center"/>
          </w:tcPr>
          <w:p w14:paraId="4927DDB0">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lang w:eastAsia="zh-CN"/>
              </w:rPr>
              <w:t>本项目</w:t>
            </w:r>
            <w:r>
              <w:rPr>
                <w:rFonts w:hint="eastAsia" w:asciiTheme="majorEastAsia" w:hAnsiTheme="majorEastAsia" w:eastAsiaTheme="majorEastAsia" w:cstheme="majorEastAsia"/>
                <w:b/>
                <w:color w:val="auto"/>
                <w:sz w:val="24"/>
                <w:szCs w:val="24"/>
                <w:highlight w:val="none"/>
              </w:rPr>
              <w:t>职务</w:t>
            </w:r>
          </w:p>
        </w:tc>
        <w:tc>
          <w:tcPr>
            <w:tcW w:w="719" w:type="dxa"/>
            <w:vMerge w:val="restart"/>
            <w:vAlign w:val="center"/>
          </w:tcPr>
          <w:p w14:paraId="32354E79">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专业</w:t>
            </w:r>
          </w:p>
        </w:tc>
        <w:tc>
          <w:tcPr>
            <w:tcW w:w="3158" w:type="dxa"/>
            <w:gridSpan w:val="3"/>
            <w:vAlign w:val="center"/>
          </w:tcPr>
          <w:p w14:paraId="7DB2CE8C">
            <w:pPr>
              <w:pStyle w:val="12"/>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执业或职业资格证明</w:t>
            </w:r>
          </w:p>
        </w:tc>
        <w:tc>
          <w:tcPr>
            <w:tcW w:w="721" w:type="dxa"/>
            <w:vMerge w:val="restart"/>
            <w:vAlign w:val="center"/>
          </w:tcPr>
          <w:p w14:paraId="5060BE2C">
            <w:pPr>
              <w:pStyle w:val="12"/>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lang w:eastAsia="zh-CN"/>
              </w:rPr>
              <w:t>备注</w:t>
            </w:r>
          </w:p>
        </w:tc>
      </w:tr>
      <w:tr w14:paraId="2CA25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26BEB6B2">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4AF70635">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5800AA82">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7BA3297F">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1764" w:type="dxa"/>
            <w:vMerge w:val="continue"/>
            <w:vAlign w:val="center"/>
          </w:tcPr>
          <w:p w14:paraId="563C0F63">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693557FC">
            <w:pPr>
              <w:pStyle w:val="13"/>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2DF4F8FD">
            <w:pPr>
              <w:pStyle w:val="12"/>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证书名称</w:t>
            </w:r>
          </w:p>
        </w:tc>
        <w:tc>
          <w:tcPr>
            <w:tcW w:w="793" w:type="dxa"/>
            <w:vAlign w:val="center"/>
          </w:tcPr>
          <w:p w14:paraId="0AA07718">
            <w:pPr>
              <w:pStyle w:val="12"/>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级别</w:t>
            </w:r>
          </w:p>
        </w:tc>
        <w:tc>
          <w:tcPr>
            <w:tcW w:w="808" w:type="dxa"/>
            <w:vAlign w:val="center"/>
          </w:tcPr>
          <w:p w14:paraId="1F1DAA85">
            <w:pPr>
              <w:pStyle w:val="12"/>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证号</w:t>
            </w:r>
          </w:p>
        </w:tc>
        <w:tc>
          <w:tcPr>
            <w:tcW w:w="721" w:type="dxa"/>
            <w:vMerge w:val="continue"/>
          </w:tcPr>
          <w:p w14:paraId="73E6BB90">
            <w:pPr>
              <w:pStyle w:val="12"/>
              <w:spacing w:before="1"/>
              <w:jc w:val="center"/>
              <w:outlineLvl w:val="9"/>
              <w:rPr>
                <w:rFonts w:hint="eastAsia" w:asciiTheme="majorEastAsia" w:hAnsiTheme="majorEastAsia" w:eastAsiaTheme="majorEastAsia" w:cstheme="majorEastAsia"/>
                <w:b/>
                <w:color w:val="auto"/>
                <w:sz w:val="24"/>
                <w:szCs w:val="24"/>
                <w:highlight w:val="none"/>
              </w:rPr>
            </w:pPr>
          </w:p>
        </w:tc>
      </w:tr>
      <w:tr w14:paraId="45690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7029EF97">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0960B123">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045CE406">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470C3C3">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40B797C4">
            <w:pPr>
              <w:pStyle w:val="13"/>
              <w:numPr>
                <w:ilvl w:val="2"/>
                <w:numId w:val="0"/>
              </w:numPr>
              <w:tabs>
                <w:tab w:val="left" w:pos="415"/>
              </w:tabs>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B3488A6">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p w14:paraId="1C311DA7">
            <w:pPr>
              <w:outlineLvl w:val="9"/>
              <w:rPr>
                <w:rFonts w:hint="eastAsia" w:asciiTheme="majorEastAsia" w:hAnsiTheme="majorEastAsia" w:eastAsiaTheme="majorEastAsia" w:cstheme="majorEastAsia"/>
                <w:color w:val="auto"/>
                <w:highlight w:val="none"/>
              </w:rPr>
            </w:pPr>
          </w:p>
        </w:tc>
        <w:tc>
          <w:tcPr>
            <w:tcW w:w="1557" w:type="dxa"/>
            <w:vAlign w:val="center"/>
          </w:tcPr>
          <w:p w14:paraId="3F765374">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5CE3FF88">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7312B256">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3166104B">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38DBE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2AA1B28">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721E7115">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19509FE6">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71F51137">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2D900779">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893BE5E">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23E0F792">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22FBA0BC">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1E42620A">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3D389917">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4EEC1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06C462C">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121F777E">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6AC5636F">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69091630">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6510EDAF">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65B72D94">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29DD6E2D">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56E30B9C">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696698FB">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31507265">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1C832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6BB605F">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5AB725B8">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485EDEB">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13DA022E">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61EA7ECA">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635588C">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0642DA78">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4208A0C4">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271646C0">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143243AA">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2FA57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02DF36A">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2B19050">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50251BA6">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05E0CEE7">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37F88526">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DEE9470">
            <w:pPr>
              <w:pStyle w:val="13"/>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37C81052">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02050F90">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79B73477">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2A45D6AE">
            <w:pPr>
              <w:pStyle w:val="12"/>
              <w:jc w:val="center"/>
              <w:outlineLvl w:val="9"/>
              <w:rPr>
                <w:rFonts w:hint="eastAsia" w:asciiTheme="majorEastAsia" w:hAnsiTheme="majorEastAsia" w:eastAsiaTheme="majorEastAsia" w:cstheme="majorEastAsia"/>
                <w:color w:val="auto"/>
                <w:kern w:val="2"/>
                <w:sz w:val="24"/>
                <w:szCs w:val="24"/>
                <w:highlight w:val="none"/>
                <w:lang w:eastAsia="zh-CN"/>
              </w:rPr>
            </w:pPr>
          </w:p>
        </w:tc>
      </w:tr>
    </w:tbl>
    <w:p w14:paraId="015BCAD8">
      <w:pPr>
        <w:pStyle w:val="3"/>
        <w:rPr>
          <w:rFonts w:hint="eastAsia" w:asciiTheme="majorEastAsia" w:hAnsiTheme="majorEastAsia" w:eastAsiaTheme="majorEastAsia" w:cstheme="majorEastAsia"/>
          <w:highlight w:val="none"/>
          <w:lang w:val="en-US" w:eastAsia="zh-CN"/>
        </w:rPr>
      </w:pPr>
    </w:p>
    <w:p w14:paraId="53820B25">
      <w:pPr>
        <w:spacing w:line="67" w:lineRule="exact"/>
        <w:outlineLvl w:val="9"/>
        <w:rPr>
          <w:rFonts w:hint="eastAsia" w:asciiTheme="majorEastAsia" w:hAnsiTheme="majorEastAsia" w:eastAsiaTheme="majorEastAsia" w:cstheme="majorEastAsia"/>
          <w:sz w:val="22"/>
          <w:szCs w:val="22"/>
          <w:highlight w:val="none"/>
        </w:rPr>
      </w:pPr>
    </w:p>
    <w:p w14:paraId="5FFE0E3A">
      <w:pPr>
        <w:spacing w:line="264" w:lineRule="auto"/>
        <w:outlineLvl w:val="9"/>
        <w:rPr>
          <w:rFonts w:hint="eastAsia" w:asciiTheme="majorEastAsia" w:hAnsiTheme="majorEastAsia" w:eastAsiaTheme="majorEastAsia" w:cstheme="majorEastAsia"/>
          <w:sz w:val="22"/>
          <w:szCs w:val="22"/>
          <w:highlight w:val="none"/>
        </w:rPr>
      </w:pPr>
    </w:p>
    <w:p w14:paraId="627EC2F4">
      <w:pPr>
        <w:pStyle w:val="4"/>
        <w:spacing w:before="91" w:line="219" w:lineRule="auto"/>
        <w:ind w:left="325"/>
        <w:outlineLvl w:val="9"/>
        <w:rPr>
          <w:rFonts w:hint="eastAsia" w:asciiTheme="majorEastAsia" w:hAnsiTheme="majorEastAsia" w:eastAsiaTheme="majorEastAsia" w:cstheme="majorEastAsia"/>
          <w:spacing w:val="-2"/>
          <w:sz w:val="22"/>
          <w:szCs w:val="22"/>
          <w:highlight w:val="none"/>
        </w:rPr>
      </w:pPr>
    </w:p>
    <w:p w14:paraId="4BF3B7F8">
      <w:pPr>
        <w:pStyle w:val="4"/>
        <w:keepNext w:val="0"/>
        <w:keepLines w:val="0"/>
        <w:pageBreakBefore w:val="0"/>
        <w:widowControl w:val="0"/>
        <w:kinsoku/>
        <w:wordWrap/>
        <w:overflowPunct/>
        <w:topLinePunct w:val="0"/>
        <w:autoSpaceDE/>
        <w:autoSpaceDN/>
        <w:bidi w:val="0"/>
        <w:adjustRightInd/>
        <w:snapToGrid/>
        <w:spacing w:before="211" w:after="240" w:line="360" w:lineRule="auto"/>
        <w:ind w:left="323"/>
        <w:textAlignment w:val="auto"/>
        <w:outlineLvl w:val="9"/>
        <w:rPr>
          <w:rFonts w:hint="eastAsia" w:asciiTheme="majorEastAsia" w:hAnsiTheme="majorEastAsia" w:eastAsiaTheme="majorEastAsia" w:cstheme="majorEastAsia"/>
          <w:b/>
          <w:bCs/>
          <w:kern w:val="2"/>
          <w:sz w:val="28"/>
          <w:szCs w:val="28"/>
          <w:highlight w:val="none"/>
          <w:lang w:val="en-US" w:eastAsia="zh-CN" w:bidi="ar-SA"/>
        </w:rPr>
        <w:sectPr>
          <w:headerReference r:id="rId5" w:type="first"/>
          <w:headerReference r:id="rId3" w:type="default"/>
          <w:footerReference r:id="rId6" w:type="default"/>
          <w:headerReference r:id="rId4" w:type="even"/>
          <w:footnotePr>
            <w:numFmt w:val="decimalEnclosedCircleChinese"/>
            <w:numRestart w:val="eachPage"/>
          </w:footnotePr>
          <w:pgSz w:w="11907" w:h="16840"/>
          <w:pgMar w:top="1440" w:right="1417" w:bottom="1417" w:left="1417" w:header="1134" w:footer="1134" w:gutter="0"/>
          <w:pgBorders>
            <w:top w:val="none" w:sz="0" w:space="0"/>
            <w:left w:val="none" w:sz="0" w:space="0"/>
            <w:bottom w:val="none" w:sz="0" w:space="0"/>
            <w:right w:val="none" w:sz="0" w:space="0"/>
          </w:pgBorders>
          <w:pgNumType w:fmt="decimal"/>
          <w:cols w:space="720" w:num="1"/>
        </w:sectPr>
      </w:pPr>
    </w:p>
    <w:p w14:paraId="029F13D7">
      <w:pPr>
        <w:pStyle w:val="4"/>
        <w:keepNext w:val="0"/>
        <w:keepLines w:val="0"/>
        <w:pageBreakBefore w:val="0"/>
        <w:widowControl w:val="0"/>
        <w:kinsoku/>
        <w:wordWrap/>
        <w:overflowPunct/>
        <w:topLinePunct w:val="0"/>
        <w:autoSpaceDE/>
        <w:autoSpaceDN/>
        <w:bidi w:val="0"/>
        <w:adjustRightInd/>
        <w:snapToGrid/>
        <w:spacing w:before="211" w:after="240" w:line="360" w:lineRule="auto"/>
        <w:ind w:left="323"/>
        <w:textAlignment w:val="auto"/>
        <w:outlineLvl w:val="9"/>
        <w:rPr>
          <w:rFonts w:hint="eastAsia"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b/>
          <w:bCs/>
          <w:kern w:val="2"/>
          <w:sz w:val="28"/>
          <w:szCs w:val="28"/>
          <w:highlight w:val="none"/>
          <w:lang w:val="en-US" w:eastAsia="zh-CN" w:bidi="ar-SA"/>
        </w:rPr>
        <w:t>附件五  主要机械设备和试验检测设备最低要求</w:t>
      </w:r>
    </w:p>
    <w:tbl>
      <w:tblPr>
        <w:tblStyle w:val="7"/>
        <w:tblW w:w="863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016"/>
        <w:gridCol w:w="902"/>
        <w:gridCol w:w="644"/>
        <w:gridCol w:w="1031"/>
        <w:gridCol w:w="1031"/>
        <w:gridCol w:w="1676"/>
        <w:gridCol w:w="1547"/>
      </w:tblGrid>
      <w:tr w14:paraId="3A040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89" w:type="dxa"/>
            <w:vAlign w:val="center"/>
          </w:tcPr>
          <w:p w14:paraId="76F8F692">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序号</w:t>
            </w:r>
          </w:p>
        </w:tc>
        <w:tc>
          <w:tcPr>
            <w:tcW w:w="1016" w:type="dxa"/>
            <w:vAlign w:val="center"/>
          </w:tcPr>
          <w:p w14:paraId="3D09C10C">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设备</w:t>
            </w:r>
          </w:p>
          <w:p w14:paraId="06BFAF83">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名称</w:t>
            </w:r>
          </w:p>
        </w:tc>
        <w:tc>
          <w:tcPr>
            <w:tcW w:w="902" w:type="dxa"/>
            <w:vAlign w:val="center"/>
          </w:tcPr>
          <w:p w14:paraId="2D3F8655">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型号</w:t>
            </w:r>
          </w:p>
          <w:p w14:paraId="3798BF38">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规格</w:t>
            </w:r>
          </w:p>
        </w:tc>
        <w:tc>
          <w:tcPr>
            <w:tcW w:w="644" w:type="dxa"/>
            <w:vAlign w:val="center"/>
          </w:tcPr>
          <w:p w14:paraId="0486DBC6">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数量</w:t>
            </w:r>
          </w:p>
        </w:tc>
        <w:tc>
          <w:tcPr>
            <w:tcW w:w="1031" w:type="dxa"/>
            <w:vAlign w:val="center"/>
          </w:tcPr>
          <w:p w14:paraId="4A2C3604">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国别</w:t>
            </w:r>
          </w:p>
          <w:p w14:paraId="3379839B">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产地</w:t>
            </w:r>
          </w:p>
        </w:tc>
        <w:tc>
          <w:tcPr>
            <w:tcW w:w="1031" w:type="dxa"/>
            <w:vAlign w:val="center"/>
          </w:tcPr>
          <w:p w14:paraId="5007D3BE">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额定功率</w:t>
            </w:r>
          </w:p>
          <w:p w14:paraId="6E882841">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（KW）</w:t>
            </w:r>
          </w:p>
        </w:tc>
        <w:tc>
          <w:tcPr>
            <w:tcW w:w="1676" w:type="dxa"/>
            <w:vAlign w:val="center"/>
          </w:tcPr>
          <w:p w14:paraId="47C68324">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用于施工部位</w:t>
            </w:r>
          </w:p>
        </w:tc>
        <w:tc>
          <w:tcPr>
            <w:tcW w:w="1547" w:type="dxa"/>
            <w:vAlign w:val="center"/>
          </w:tcPr>
          <w:p w14:paraId="5BFFA4C1">
            <w:pPr>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备注</w:t>
            </w:r>
          </w:p>
        </w:tc>
      </w:tr>
      <w:tr w14:paraId="26DBE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20B4378E">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357CB672">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2FAB461D">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25B01836">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51293761">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9572F0F">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31DBAFE5">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72582A5A">
            <w:pPr>
              <w:jc w:val="center"/>
              <w:outlineLvl w:val="9"/>
              <w:rPr>
                <w:rFonts w:hint="eastAsia" w:asciiTheme="majorEastAsia" w:hAnsiTheme="majorEastAsia" w:eastAsiaTheme="majorEastAsia" w:cstheme="majorEastAsia"/>
                <w:sz w:val="24"/>
                <w:szCs w:val="24"/>
                <w:highlight w:val="none"/>
              </w:rPr>
            </w:pPr>
          </w:p>
        </w:tc>
      </w:tr>
      <w:tr w14:paraId="7922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27D2983">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34BDD539">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3F8B6890">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3F66FA5B">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64696A60">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06DEC6B6">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56799C54">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20B5CCC1">
            <w:pPr>
              <w:jc w:val="center"/>
              <w:outlineLvl w:val="9"/>
              <w:rPr>
                <w:rFonts w:hint="eastAsia" w:asciiTheme="majorEastAsia" w:hAnsiTheme="majorEastAsia" w:eastAsiaTheme="majorEastAsia" w:cstheme="majorEastAsia"/>
                <w:sz w:val="24"/>
                <w:szCs w:val="24"/>
                <w:highlight w:val="none"/>
              </w:rPr>
            </w:pPr>
          </w:p>
        </w:tc>
      </w:tr>
      <w:tr w14:paraId="474A1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3DEA0C7D">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64D389AD">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310F35F9">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062274A1">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770BE5C5">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78E3A490">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1BF96B57">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71086348">
            <w:pPr>
              <w:jc w:val="center"/>
              <w:outlineLvl w:val="9"/>
              <w:rPr>
                <w:rFonts w:hint="eastAsia" w:asciiTheme="majorEastAsia" w:hAnsiTheme="majorEastAsia" w:eastAsiaTheme="majorEastAsia" w:cstheme="majorEastAsia"/>
                <w:sz w:val="24"/>
                <w:szCs w:val="24"/>
                <w:highlight w:val="none"/>
              </w:rPr>
            </w:pPr>
          </w:p>
        </w:tc>
      </w:tr>
      <w:tr w14:paraId="540FD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7A24FA60">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7730612D">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7AD3387B">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27F62711">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546EBBEB">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1848AEA8">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1A5ED883">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4A2492FD">
            <w:pPr>
              <w:jc w:val="center"/>
              <w:outlineLvl w:val="9"/>
              <w:rPr>
                <w:rFonts w:hint="eastAsia" w:asciiTheme="majorEastAsia" w:hAnsiTheme="majorEastAsia" w:eastAsiaTheme="majorEastAsia" w:cstheme="majorEastAsia"/>
                <w:sz w:val="24"/>
                <w:szCs w:val="24"/>
                <w:highlight w:val="none"/>
              </w:rPr>
            </w:pPr>
          </w:p>
        </w:tc>
      </w:tr>
      <w:tr w14:paraId="26613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E27A111">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1579AAE8">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5AE01390">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7D70265F">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4B435619">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032C2F8B">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1E1092C4">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2006B4AD">
            <w:pPr>
              <w:jc w:val="center"/>
              <w:outlineLvl w:val="9"/>
              <w:rPr>
                <w:rFonts w:hint="eastAsia" w:asciiTheme="majorEastAsia" w:hAnsiTheme="majorEastAsia" w:eastAsiaTheme="majorEastAsia" w:cstheme="majorEastAsia"/>
                <w:sz w:val="24"/>
                <w:szCs w:val="24"/>
                <w:highlight w:val="none"/>
              </w:rPr>
            </w:pPr>
          </w:p>
        </w:tc>
      </w:tr>
      <w:tr w14:paraId="546C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B90E9D2">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47E2A1E9">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504D42F4">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3526AB2A">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526D2DFF">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105DC908">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7B75FD8C">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3D10F627">
            <w:pPr>
              <w:jc w:val="center"/>
              <w:outlineLvl w:val="9"/>
              <w:rPr>
                <w:rFonts w:hint="eastAsia" w:asciiTheme="majorEastAsia" w:hAnsiTheme="majorEastAsia" w:eastAsiaTheme="majorEastAsia" w:cstheme="majorEastAsia"/>
                <w:sz w:val="24"/>
                <w:szCs w:val="24"/>
                <w:highlight w:val="none"/>
              </w:rPr>
            </w:pPr>
          </w:p>
        </w:tc>
      </w:tr>
      <w:tr w14:paraId="3D46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5756D837">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3547A34F">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23CCEF12">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4E4C4C00">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2CE4892">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3B23BCC">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2803B8AD">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6D186592">
            <w:pPr>
              <w:jc w:val="center"/>
              <w:outlineLvl w:val="9"/>
              <w:rPr>
                <w:rFonts w:hint="eastAsia" w:asciiTheme="majorEastAsia" w:hAnsiTheme="majorEastAsia" w:eastAsiaTheme="majorEastAsia" w:cstheme="majorEastAsia"/>
                <w:sz w:val="24"/>
                <w:szCs w:val="24"/>
                <w:highlight w:val="none"/>
              </w:rPr>
            </w:pPr>
          </w:p>
        </w:tc>
      </w:tr>
      <w:tr w14:paraId="556F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81671F9">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58562D2F">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41406EF2">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22ED1333">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175C5117">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7435BE8">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3290AF44">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6E5F60F1">
            <w:pPr>
              <w:jc w:val="center"/>
              <w:outlineLvl w:val="9"/>
              <w:rPr>
                <w:rFonts w:hint="eastAsia" w:asciiTheme="majorEastAsia" w:hAnsiTheme="majorEastAsia" w:eastAsiaTheme="majorEastAsia" w:cstheme="majorEastAsia"/>
                <w:sz w:val="24"/>
                <w:szCs w:val="24"/>
                <w:highlight w:val="none"/>
              </w:rPr>
            </w:pPr>
          </w:p>
        </w:tc>
      </w:tr>
      <w:tr w14:paraId="4D7D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02144AF8">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2078305C">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0448F42C">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7DF373B6">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262A1BD3">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58D122C">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03E201C5">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2E086441">
            <w:pPr>
              <w:jc w:val="center"/>
              <w:outlineLvl w:val="9"/>
              <w:rPr>
                <w:rFonts w:hint="eastAsia" w:asciiTheme="majorEastAsia" w:hAnsiTheme="majorEastAsia" w:eastAsiaTheme="majorEastAsia" w:cstheme="majorEastAsia"/>
                <w:sz w:val="24"/>
                <w:szCs w:val="24"/>
                <w:highlight w:val="none"/>
              </w:rPr>
            </w:pPr>
          </w:p>
        </w:tc>
      </w:tr>
      <w:tr w14:paraId="25C1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3AC51406">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6D92676E">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23251167">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2EE8ED5C">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3C7D866D">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5D056A7A">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6D556CBD">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2EB4FF6A">
            <w:pPr>
              <w:jc w:val="center"/>
              <w:outlineLvl w:val="9"/>
              <w:rPr>
                <w:rFonts w:hint="eastAsia" w:asciiTheme="majorEastAsia" w:hAnsiTheme="majorEastAsia" w:eastAsiaTheme="majorEastAsia" w:cstheme="majorEastAsia"/>
                <w:sz w:val="24"/>
                <w:szCs w:val="24"/>
                <w:highlight w:val="none"/>
              </w:rPr>
            </w:pPr>
          </w:p>
        </w:tc>
      </w:tr>
      <w:tr w14:paraId="7B2CC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F92F975">
            <w:pPr>
              <w:jc w:val="center"/>
              <w:outlineLvl w:val="9"/>
              <w:rPr>
                <w:rFonts w:hint="eastAsia" w:asciiTheme="majorEastAsia" w:hAnsiTheme="majorEastAsia" w:eastAsiaTheme="majorEastAsia" w:cstheme="majorEastAsia"/>
                <w:sz w:val="24"/>
                <w:szCs w:val="24"/>
                <w:highlight w:val="none"/>
              </w:rPr>
            </w:pPr>
          </w:p>
        </w:tc>
        <w:tc>
          <w:tcPr>
            <w:tcW w:w="1016" w:type="dxa"/>
            <w:vAlign w:val="center"/>
          </w:tcPr>
          <w:p w14:paraId="1BE323AF">
            <w:pPr>
              <w:jc w:val="center"/>
              <w:outlineLvl w:val="9"/>
              <w:rPr>
                <w:rFonts w:hint="eastAsia" w:asciiTheme="majorEastAsia" w:hAnsiTheme="majorEastAsia" w:eastAsiaTheme="majorEastAsia" w:cstheme="majorEastAsia"/>
                <w:sz w:val="24"/>
                <w:szCs w:val="24"/>
                <w:highlight w:val="none"/>
              </w:rPr>
            </w:pPr>
          </w:p>
        </w:tc>
        <w:tc>
          <w:tcPr>
            <w:tcW w:w="902" w:type="dxa"/>
            <w:vAlign w:val="center"/>
          </w:tcPr>
          <w:p w14:paraId="34333202">
            <w:pPr>
              <w:jc w:val="center"/>
              <w:outlineLvl w:val="9"/>
              <w:rPr>
                <w:rFonts w:hint="eastAsia" w:asciiTheme="majorEastAsia" w:hAnsiTheme="majorEastAsia" w:eastAsiaTheme="majorEastAsia" w:cstheme="majorEastAsia"/>
                <w:sz w:val="24"/>
                <w:szCs w:val="24"/>
                <w:highlight w:val="none"/>
              </w:rPr>
            </w:pPr>
          </w:p>
        </w:tc>
        <w:tc>
          <w:tcPr>
            <w:tcW w:w="644" w:type="dxa"/>
            <w:vAlign w:val="center"/>
          </w:tcPr>
          <w:p w14:paraId="650F061B">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66F4230D">
            <w:pPr>
              <w:jc w:val="center"/>
              <w:outlineLvl w:val="9"/>
              <w:rPr>
                <w:rFonts w:hint="eastAsia" w:asciiTheme="majorEastAsia" w:hAnsiTheme="majorEastAsia" w:eastAsiaTheme="majorEastAsia" w:cstheme="majorEastAsia"/>
                <w:sz w:val="24"/>
                <w:szCs w:val="24"/>
                <w:highlight w:val="none"/>
              </w:rPr>
            </w:pPr>
          </w:p>
        </w:tc>
        <w:tc>
          <w:tcPr>
            <w:tcW w:w="1031" w:type="dxa"/>
            <w:vAlign w:val="center"/>
          </w:tcPr>
          <w:p w14:paraId="047A5E05">
            <w:pPr>
              <w:jc w:val="center"/>
              <w:outlineLvl w:val="9"/>
              <w:rPr>
                <w:rFonts w:hint="eastAsia" w:asciiTheme="majorEastAsia" w:hAnsiTheme="majorEastAsia" w:eastAsiaTheme="majorEastAsia" w:cstheme="majorEastAsia"/>
                <w:sz w:val="24"/>
                <w:szCs w:val="24"/>
                <w:highlight w:val="none"/>
              </w:rPr>
            </w:pPr>
          </w:p>
        </w:tc>
        <w:tc>
          <w:tcPr>
            <w:tcW w:w="1676" w:type="dxa"/>
            <w:vAlign w:val="center"/>
          </w:tcPr>
          <w:p w14:paraId="6899BE76">
            <w:pPr>
              <w:jc w:val="center"/>
              <w:outlineLvl w:val="9"/>
              <w:rPr>
                <w:rFonts w:hint="eastAsia" w:asciiTheme="majorEastAsia" w:hAnsiTheme="majorEastAsia" w:eastAsiaTheme="majorEastAsia" w:cstheme="majorEastAsia"/>
                <w:sz w:val="24"/>
                <w:szCs w:val="24"/>
                <w:highlight w:val="none"/>
              </w:rPr>
            </w:pPr>
          </w:p>
        </w:tc>
        <w:tc>
          <w:tcPr>
            <w:tcW w:w="1547" w:type="dxa"/>
            <w:vAlign w:val="center"/>
          </w:tcPr>
          <w:p w14:paraId="4B5A3864">
            <w:pPr>
              <w:jc w:val="center"/>
              <w:outlineLvl w:val="9"/>
              <w:rPr>
                <w:rFonts w:hint="eastAsia" w:asciiTheme="majorEastAsia" w:hAnsiTheme="majorEastAsia" w:eastAsiaTheme="majorEastAsia" w:cstheme="majorEastAsia"/>
                <w:sz w:val="24"/>
                <w:szCs w:val="24"/>
                <w:highlight w:val="none"/>
              </w:rPr>
            </w:pPr>
          </w:p>
        </w:tc>
      </w:tr>
    </w:tbl>
    <w:p w14:paraId="490ECF71">
      <w:pPr>
        <w:pStyle w:val="4"/>
        <w:spacing w:before="1" w:line="219" w:lineRule="auto"/>
        <w:ind w:left="24"/>
        <w:outlineLvl w:val="9"/>
        <w:rPr>
          <w:rFonts w:hint="eastAsia" w:asciiTheme="majorEastAsia" w:hAnsiTheme="majorEastAsia" w:eastAsiaTheme="majorEastAsia" w:cstheme="majorEastAsia"/>
          <w:spacing w:val="-2"/>
          <w:position w:val="19"/>
          <w:sz w:val="21"/>
          <w:szCs w:val="21"/>
          <w:highlight w:val="none"/>
        </w:rPr>
      </w:pPr>
    </w:p>
    <w:p w14:paraId="341BD5F6">
      <w:pPr>
        <w:pStyle w:val="4"/>
        <w:spacing w:before="1" w:line="219" w:lineRule="auto"/>
        <w:ind w:left="24"/>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2"/>
          <w:szCs w:val="22"/>
          <w:highlight w:val="none"/>
        </w:rPr>
        <w:br w:type="page"/>
      </w:r>
      <w:r>
        <w:rPr>
          <w:rFonts w:hint="eastAsia" w:asciiTheme="majorEastAsia" w:hAnsiTheme="majorEastAsia" w:eastAsiaTheme="majorEastAsia" w:cstheme="majorEastAsia"/>
          <w:b/>
          <w:bCs/>
          <w:sz w:val="28"/>
          <w:szCs w:val="28"/>
          <w:highlight w:val="none"/>
        </w:rPr>
        <w:t>附件</w:t>
      </w:r>
      <w:r>
        <w:rPr>
          <w:rFonts w:hint="eastAsia" w:asciiTheme="majorEastAsia" w:hAnsiTheme="majorEastAsia" w:eastAsiaTheme="majorEastAsia" w:cstheme="majorEastAsia"/>
          <w:b/>
          <w:bCs/>
          <w:sz w:val="28"/>
          <w:szCs w:val="28"/>
          <w:highlight w:val="none"/>
          <w:lang w:eastAsia="zh-CN"/>
        </w:rPr>
        <w:t>六</w:t>
      </w:r>
      <w:r>
        <w:rPr>
          <w:rFonts w:hint="eastAsia" w:asciiTheme="majorEastAsia" w:hAnsiTheme="majorEastAsia" w:eastAsiaTheme="majorEastAsia" w:cstheme="majorEastAsia"/>
          <w:b/>
          <w:bCs/>
          <w:sz w:val="28"/>
          <w:szCs w:val="28"/>
          <w:highlight w:val="none"/>
        </w:rPr>
        <w:t xml:space="preserve">   项目经理委托书</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31"/>
      <w:bookmarkEnd w:id="132"/>
      <w:bookmarkEnd w:id="133"/>
      <w:bookmarkEnd w:id="134"/>
      <w:bookmarkEnd w:id="135"/>
      <w:bookmarkEnd w:id="136"/>
      <w:bookmarkEnd w:id="137"/>
      <w:bookmarkEnd w:id="138"/>
      <w:bookmarkEnd w:id="139"/>
      <w:bookmarkEnd w:id="140"/>
    </w:p>
    <w:p w14:paraId="50A57003">
      <w:pPr>
        <w:kinsoku w:val="0"/>
        <w:overflowPunct w:val="0"/>
        <w:spacing w:line="560" w:lineRule="exact"/>
        <w:outlineLvl w:val="9"/>
        <w:rPr>
          <w:rFonts w:hint="eastAsia" w:asciiTheme="majorEastAsia" w:hAnsiTheme="majorEastAsia" w:eastAsiaTheme="majorEastAsia" w:cstheme="majorEastAsia"/>
          <w:sz w:val="24"/>
          <w:szCs w:val="24"/>
          <w:highlight w:val="none"/>
        </w:rPr>
      </w:pPr>
    </w:p>
    <w:p w14:paraId="102F2B0A">
      <w:pPr>
        <w:kinsoku w:val="0"/>
        <w:overflowPunct w:val="0"/>
        <w:spacing w:line="560" w:lineRule="exact"/>
        <w:jc w:val="left"/>
        <w:outlineLvl w:val="9"/>
        <w:rPr>
          <w:rFonts w:hint="eastAsia" w:asciiTheme="majorEastAsia" w:hAnsiTheme="majorEastAsia" w:eastAsiaTheme="majorEastAsia" w:cstheme="majorEastAsia"/>
          <w:sz w:val="22"/>
          <w:szCs w:val="22"/>
          <w:highlight w:val="none"/>
          <w:u w:val="single"/>
        </w:rPr>
      </w:pPr>
      <w:r>
        <w:rPr>
          <w:rFonts w:hint="eastAsia" w:asciiTheme="majorEastAsia" w:hAnsiTheme="majorEastAsia" w:eastAsiaTheme="majorEastAsia" w:cstheme="majorEastAsia"/>
          <w:sz w:val="22"/>
          <w:szCs w:val="22"/>
          <w:highlight w:val="none"/>
        </w:rPr>
        <w:t>抄送：</w:t>
      </w:r>
      <w:r>
        <w:rPr>
          <w:rFonts w:hint="eastAsia" w:asciiTheme="majorEastAsia" w:hAnsiTheme="majorEastAsia" w:eastAsiaTheme="majorEastAsia" w:cstheme="majorEastAsia"/>
          <w:sz w:val="22"/>
          <w:szCs w:val="22"/>
          <w:highlight w:val="none"/>
          <w:u w:val="single"/>
        </w:rPr>
        <w:t xml:space="preserve">  （监理人）</w:t>
      </w:r>
    </w:p>
    <w:p w14:paraId="107595E2">
      <w:pPr>
        <w:pStyle w:val="4"/>
        <w:outlineLvl w:val="9"/>
        <w:rPr>
          <w:rFonts w:hint="eastAsia" w:asciiTheme="majorEastAsia" w:hAnsiTheme="majorEastAsia" w:eastAsiaTheme="majorEastAsia" w:cstheme="majorEastAsia"/>
          <w:sz w:val="22"/>
          <w:szCs w:val="22"/>
          <w:highlight w:val="none"/>
          <w:u w:val="single"/>
        </w:rPr>
      </w:pPr>
    </w:p>
    <w:p w14:paraId="2CC392B7">
      <w:pPr>
        <w:pStyle w:val="11"/>
        <w:outlineLvl w:val="9"/>
        <w:rPr>
          <w:rFonts w:hint="eastAsia" w:asciiTheme="majorEastAsia" w:hAnsiTheme="majorEastAsia" w:eastAsiaTheme="majorEastAsia" w:cstheme="majorEastAsia"/>
          <w:sz w:val="22"/>
          <w:szCs w:val="22"/>
          <w:highlight w:val="none"/>
          <w:u w:val="single"/>
        </w:rPr>
      </w:pPr>
    </w:p>
    <w:p w14:paraId="79B4066A">
      <w:pPr>
        <w:pStyle w:val="11"/>
        <w:outlineLvl w:val="9"/>
        <w:rPr>
          <w:rFonts w:hint="eastAsia" w:asciiTheme="majorEastAsia" w:hAnsiTheme="majorEastAsia" w:eastAsiaTheme="majorEastAsia" w:cstheme="majorEastAsia"/>
          <w:sz w:val="22"/>
          <w:szCs w:val="22"/>
          <w:highlight w:val="none"/>
          <w:u w:val="single"/>
        </w:rPr>
      </w:pPr>
    </w:p>
    <w:p w14:paraId="5221ED1A">
      <w:pPr>
        <w:pStyle w:val="11"/>
        <w:outlineLvl w:val="9"/>
        <w:rPr>
          <w:rFonts w:hint="eastAsia" w:asciiTheme="majorEastAsia" w:hAnsiTheme="majorEastAsia" w:eastAsiaTheme="majorEastAsia" w:cstheme="majorEastAsia"/>
          <w:sz w:val="22"/>
          <w:szCs w:val="22"/>
          <w:highlight w:val="none"/>
          <w:u w:val="none"/>
        </w:rPr>
      </w:pPr>
      <w:r>
        <w:rPr>
          <w:rFonts w:hint="eastAsia" w:asciiTheme="majorEastAsia" w:hAnsiTheme="majorEastAsia" w:eastAsiaTheme="majorEastAsia" w:cstheme="majorEastAsia"/>
          <w:sz w:val="22"/>
          <w:szCs w:val="22"/>
          <w:highlight w:val="none"/>
          <w:u w:val="none"/>
          <w:lang w:val="zh-TW" w:eastAsia="zh-TW"/>
        </w:rPr>
        <w:t>附件</w:t>
      </w:r>
      <w:r>
        <w:rPr>
          <w:rFonts w:hint="eastAsia" w:asciiTheme="majorEastAsia" w:hAnsiTheme="majorEastAsia" w:eastAsiaTheme="majorEastAsia" w:cstheme="majorEastAsia"/>
          <w:sz w:val="22"/>
          <w:szCs w:val="22"/>
          <w:highlight w:val="none"/>
          <w:u w:val="none"/>
          <w:lang w:val="zh-TW" w:eastAsia="zh-CN"/>
        </w:rPr>
        <w:t>七</w:t>
      </w:r>
      <w:r>
        <w:rPr>
          <w:rFonts w:hint="eastAsia" w:asciiTheme="majorEastAsia" w:hAnsiTheme="majorEastAsia" w:eastAsiaTheme="majorEastAsia" w:cstheme="majorEastAsia"/>
          <w:sz w:val="22"/>
          <w:szCs w:val="22"/>
          <w:highlight w:val="none"/>
          <w:u w:val="none"/>
          <w:lang w:val="zh-TW" w:eastAsia="zh-TW"/>
        </w:rPr>
        <w:t>：履约保证金格式</w:t>
      </w:r>
    </w:p>
    <w:p w14:paraId="07BC4FF8">
      <w:pPr>
        <w:pStyle w:val="11"/>
        <w:outlineLvl w:val="9"/>
        <w:rPr>
          <w:rFonts w:hint="eastAsia" w:asciiTheme="majorEastAsia" w:hAnsiTheme="majorEastAsia" w:eastAsiaTheme="majorEastAsia" w:cstheme="majorEastAsia"/>
          <w:sz w:val="22"/>
          <w:szCs w:val="22"/>
          <w:highlight w:val="none"/>
          <w:u w:val="single"/>
        </w:rPr>
      </w:pPr>
    </w:p>
    <w:p w14:paraId="72D54C5F">
      <w:pPr>
        <w:pStyle w:val="11"/>
        <w:outlineLvl w:val="9"/>
        <w:rPr>
          <w:rFonts w:hint="eastAsia" w:asciiTheme="majorEastAsia" w:hAnsiTheme="majorEastAsia" w:eastAsiaTheme="majorEastAsia" w:cstheme="majorEastAsia"/>
          <w:sz w:val="22"/>
          <w:szCs w:val="22"/>
          <w:highlight w:val="none"/>
          <w:u w:val="single"/>
        </w:rPr>
      </w:pPr>
    </w:p>
    <w:p w14:paraId="56FDB8C5">
      <w:pPr>
        <w:pStyle w:val="11"/>
        <w:outlineLvl w:val="9"/>
        <w:rPr>
          <w:rFonts w:hint="eastAsia" w:asciiTheme="majorEastAsia" w:hAnsiTheme="majorEastAsia" w:eastAsiaTheme="majorEastAsia" w:cstheme="majorEastAsia"/>
          <w:sz w:val="22"/>
          <w:szCs w:val="22"/>
          <w:highlight w:val="none"/>
          <w:u w:val="single"/>
        </w:rPr>
      </w:pPr>
    </w:p>
    <w:p w14:paraId="6D7FAA8C">
      <w:pPr>
        <w:pStyle w:val="11"/>
        <w:outlineLvl w:val="9"/>
        <w:rPr>
          <w:rFonts w:hint="eastAsia" w:asciiTheme="majorEastAsia" w:hAnsiTheme="majorEastAsia" w:eastAsiaTheme="majorEastAsia" w:cstheme="majorEastAsia"/>
          <w:sz w:val="22"/>
          <w:szCs w:val="22"/>
          <w:highlight w:val="none"/>
          <w:u w:val="single"/>
        </w:rPr>
      </w:pPr>
    </w:p>
    <w:p w14:paraId="2EB4F286">
      <w:pPr>
        <w:pStyle w:val="11"/>
        <w:outlineLvl w:val="9"/>
        <w:rPr>
          <w:rFonts w:hint="eastAsia" w:asciiTheme="majorEastAsia" w:hAnsiTheme="majorEastAsia" w:eastAsiaTheme="majorEastAsia" w:cstheme="majorEastAsia"/>
          <w:sz w:val="22"/>
          <w:szCs w:val="22"/>
          <w:highlight w:val="none"/>
          <w:u w:val="single"/>
        </w:rPr>
      </w:pPr>
    </w:p>
    <w:p w14:paraId="7C10F75E">
      <w:pPr>
        <w:pStyle w:val="11"/>
        <w:outlineLvl w:val="9"/>
        <w:rPr>
          <w:rFonts w:hint="eastAsia" w:asciiTheme="majorEastAsia" w:hAnsiTheme="majorEastAsia" w:eastAsiaTheme="majorEastAsia" w:cstheme="majorEastAsia"/>
          <w:sz w:val="22"/>
          <w:szCs w:val="22"/>
          <w:highlight w:val="none"/>
          <w:u w:val="single"/>
        </w:rPr>
      </w:pPr>
    </w:p>
    <w:p w14:paraId="2C089A7D">
      <w:pPr>
        <w:pStyle w:val="11"/>
        <w:outlineLvl w:val="9"/>
        <w:rPr>
          <w:rFonts w:hint="eastAsia" w:asciiTheme="majorEastAsia" w:hAnsiTheme="majorEastAsia" w:eastAsiaTheme="majorEastAsia" w:cstheme="majorEastAsia"/>
          <w:sz w:val="22"/>
          <w:szCs w:val="22"/>
          <w:highlight w:val="none"/>
          <w:u w:val="single"/>
        </w:rPr>
      </w:pPr>
    </w:p>
    <w:p w14:paraId="1AAAA845">
      <w:pPr>
        <w:pStyle w:val="11"/>
        <w:outlineLvl w:val="9"/>
        <w:rPr>
          <w:rFonts w:hint="eastAsia" w:asciiTheme="majorEastAsia" w:hAnsiTheme="majorEastAsia" w:eastAsiaTheme="majorEastAsia" w:cstheme="majorEastAsia"/>
          <w:sz w:val="22"/>
          <w:szCs w:val="22"/>
          <w:highlight w:val="none"/>
          <w:u w:val="single"/>
        </w:rPr>
      </w:pPr>
    </w:p>
    <w:p w14:paraId="30A7411B">
      <w:pPr>
        <w:pStyle w:val="11"/>
        <w:outlineLvl w:val="9"/>
        <w:rPr>
          <w:rFonts w:hint="eastAsia" w:asciiTheme="majorEastAsia" w:hAnsiTheme="majorEastAsia" w:eastAsiaTheme="majorEastAsia" w:cstheme="majorEastAsia"/>
          <w:sz w:val="22"/>
          <w:szCs w:val="22"/>
          <w:highlight w:val="none"/>
          <w:u w:val="single"/>
        </w:rPr>
      </w:pPr>
    </w:p>
    <w:p w14:paraId="39C594D5">
      <w:pPr>
        <w:pStyle w:val="11"/>
        <w:outlineLvl w:val="9"/>
        <w:rPr>
          <w:rFonts w:hint="eastAsia" w:asciiTheme="majorEastAsia" w:hAnsiTheme="majorEastAsia" w:eastAsiaTheme="majorEastAsia" w:cstheme="majorEastAsia"/>
          <w:sz w:val="22"/>
          <w:szCs w:val="22"/>
          <w:highlight w:val="none"/>
          <w:u w:val="single"/>
        </w:rPr>
      </w:pPr>
    </w:p>
    <w:p w14:paraId="16AFABE9">
      <w:pPr>
        <w:pStyle w:val="11"/>
        <w:outlineLvl w:val="9"/>
        <w:rPr>
          <w:rFonts w:hint="eastAsia" w:asciiTheme="majorEastAsia" w:hAnsiTheme="majorEastAsia" w:eastAsiaTheme="majorEastAsia" w:cstheme="majorEastAsia"/>
          <w:sz w:val="22"/>
          <w:szCs w:val="22"/>
          <w:highlight w:val="none"/>
          <w:u w:val="single"/>
        </w:rPr>
      </w:pPr>
    </w:p>
    <w:p w14:paraId="029F5D6A">
      <w:pPr>
        <w:pStyle w:val="14"/>
        <w:spacing w:before="120" w:beforeLines="50" w:after="0" w:line="360" w:lineRule="auto"/>
        <w:outlineLvl w:val="9"/>
        <w:rPr>
          <w:rFonts w:hint="eastAsia" w:asciiTheme="majorEastAsia" w:hAnsiTheme="majorEastAsia" w:eastAsiaTheme="majorEastAsia" w:cstheme="majorEastAsia"/>
          <w:sz w:val="28"/>
          <w:szCs w:val="28"/>
          <w:highlight w:val="none"/>
          <w:lang w:val="zh-TW" w:eastAsia="zh-TW"/>
        </w:rPr>
      </w:pPr>
      <w:r>
        <w:rPr>
          <w:rFonts w:hint="eastAsia" w:asciiTheme="majorEastAsia" w:hAnsiTheme="majorEastAsia" w:eastAsiaTheme="majorEastAsia" w:cstheme="majorEastAsia"/>
          <w:sz w:val="28"/>
          <w:szCs w:val="28"/>
          <w:highlight w:val="none"/>
          <w:lang w:val="zh-TW" w:eastAsia="zh-TW"/>
        </w:rPr>
        <w:br w:type="page"/>
      </w:r>
    </w:p>
    <w:p w14:paraId="11DAB85C">
      <w:pPr>
        <w:pStyle w:val="4"/>
        <w:spacing w:before="1" w:line="219" w:lineRule="auto"/>
        <w:ind w:left="24"/>
        <w:outlineLvl w:val="9"/>
        <w:rPr>
          <w:rFonts w:hint="eastAsia" w:asciiTheme="majorEastAsia" w:hAnsiTheme="majorEastAsia" w:eastAsiaTheme="majorEastAsia" w:cstheme="majorEastAsia"/>
          <w:color w:val="000000"/>
          <w:sz w:val="24"/>
          <w:highlight w:val="none"/>
          <w:lang w:val="zh-TW" w:eastAsia="zh-TW"/>
        </w:rPr>
      </w:pPr>
      <w:r>
        <w:rPr>
          <w:rFonts w:hint="eastAsia" w:asciiTheme="majorEastAsia" w:hAnsiTheme="majorEastAsia" w:eastAsiaTheme="majorEastAsia" w:cstheme="majorEastAsia"/>
          <w:b/>
          <w:bCs/>
          <w:sz w:val="28"/>
          <w:szCs w:val="28"/>
          <w:highlight w:val="none"/>
          <w:lang w:val="zh-TW" w:eastAsia="zh-TW"/>
        </w:rPr>
        <w:t>附件</w:t>
      </w:r>
      <w:r>
        <w:rPr>
          <w:rFonts w:hint="eastAsia" w:asciiTheme="majorEastAsia" w:hAnsiTheme="majorEastAsia" w:eastAsiaTheme="majorEastAsia" w:cstheme="majorEastAsia"/>
          <w:b/>
          <w:bCs/>
          <w:sz w:val="28"/>
          <w:szCs w:val="28"/>
          <w:highlight w:val="none"/>
          <w:lang w:val="zh-TW" w:eastAsia="zh-CN"/>
        </w:rPr>
        <w:t>七</w:t>
      </w:r>
      <w:r>
        <w:rPr>
          <w:rFonts w:hint="eastAsia" w:asciiTheme="majorEastAsia" w:hAnsiTheme="majorEastAsia" w:eastAsiaTheme="majorEastAsia" w:cstheme="majorEastAsia"/>
          <w:b/>
          <w:bCs/>
          <w:sz w:val="28"/>
          <w:szCs w:val="28"/>
          <w:highlight w:val="none"/>
          <w:lang w:val="zh-TW" w:eastAsia="zh-TW"/>
        </w:rPr>
        <w:t>：履约保证金格式</w:t>
      </w:r>
    </w:p>
    <w:p w14:paraId="3566864E">
      <w:pPr>
        <w:pStyle w:val="4"/>
        <w:spacing w:after="0" w:line="797" w:lineRule="exact"/>
        <w:ind w:left="20"/>
        <w:outlineLvl w:val="9"/>
        <w:rPr>
          <w:rFonts w:hint="eastAsia" w:asciiTheme="majorEastAsia" w:hAnsiTheme="majorEastAsia" w:eastAsiaTheme="majorEastAsia" w:cstheme="majorEastAsia"/>
          <w:color w:val="000000"/>
          <w:sz w:val="24"/>
          <w:highlight w:val="none"/>
          <w:lang w:val="zh-TW" w:eastAsia="zh-TW"/>
        </w:rPr>
      </w:pPr>
      <w:r>
        <w:rPr>
          <w:rFonts w:hint="eastAsia" w:asciiTheme="majorEastAsia" w:hAnsiTheme="majorEastAsia" w:eastAsiaTheme="majorEastAsia" w:cstheme="majorEastAsia"/>
          <w:color w:val="000000"/>
          <w:sz w:val="24"/>
          <w:highlight w:val="none"/>
          <w:lang w:val="zh-TW" w:eastAsia="zh-TW"/>
        </w:rPr>
        <w:t>如釆用银行保函，格式如下。</w:t>
      </w:r>
    </w:p>
    <w:p w14:paraId="4283D446">
      <w:pPr>
        <w:pStyle w:val="4"/>
        <w:spacing w:after="0" w:line="797" w:lineRule="exact"/>
        <w:ind w:left="20"/>
        <w:jc w:val="center"/>
        <w:outlineLvl w:val="9"/>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b/>
          <w:bCs/>
          <w:color w:val="000000"/>
          <w:sz w:val="30"/>
          <w:szCs w:val="30"/>
          <w:highlight w:val="none"/>
          <w:lang w:val="zh-TW" w:eastAsia="zh-TW"/>
        </w:rPr>
        <w:t>履约保证金</w:t>
      </w:r>
      <w:bookmarkStart w:id="141" w:name="_GoBack"/>
      <w:bookmarkEnd w:id="141"/>
    </w:p>
    <w:p w14:paraId="4797EF32">
      <w:pPr>
        <w:pStyle w:val="4"/>
        <w:tabs>
          <w:tab w:val="left" w:leader="underscore" w:pos="2242"/>
        </w:tabs>
        <w:spacing w:after="0" w:line="797" w:lineRule="exact"/>
        <w:ind w:left="20"/>
        <w:outlineLvl w:val="9"/>
        <w:rPr>
          <w:rFonts w:hint="eastAsia" w:asciiTheme="majorEastAsia" w:hAnsiTheme="majorEastAsia" w:eastAsiaTheme="majorEastAsia" w:cstheme="majorEastAsia"/>
          <w:sz w:val="22"/>
          <w:szCs w:val="22"/>
          <w:highlight w:val="none"/>
        </w:rPr>
      </w:pPr>
      <w:r>
        <w:rPr>
          <w:rStyle w:val="15"/>
          <w:rFonts w:hint="eastAsia" w:asciiTheme="majorEastAsia" w:hAnsiTheme="majorEastAsia" w:eastAsiaTheme="majorEastAsia" w:cstheme="majorEastAsia"/>
          <w:color w:val="000000"/>
          <w:sz w:val="22"/>
          <w:szCs w:val="22"/>
          <w:highlight w:val="none"/>
          <w:lang w:val="zh-TW" w:eastAsia="zh-TW"/>
        </w:rPr>
        <w:tab/>
      </w:r>
      <w:r>
        <w:rPr>
          <w:rStyle w:val="15"/>
          <w:rFonts w:hint="eastAsia" w:asciiTheme="majorEastAsia" w:hAnsiTheme="majorEastAsia" w:eastAsiaTheme="majorEastAsia" w:cstheme="majorEastAsia"/>
          <w:color w:val="000000"/>
          <w:sz w:val="22"/>
          <w:szCs w:val="22"/>
          <w:highlight w:val="none"/>
          <w:lang w:val="zh-TW" w:eastAsia="zh-TW"/>
        </w:rPr>
        <w:t xml:space="preserve"> </w:t>
      </w:r>
      <w:r>
        <w:rPr>
          <w:rFonts w:hint="eastAsia" w:asciiTheme="majorEastAsia" w:hAnsiTheme="majorEastAsia" w:eastAsiaTheme="majorEastAsia" w:cstheme="majorEastAsia"/>
          <w:color w:val="000000"/>
          <w:sz w:val="22"/>
          <w:szCs w:val="22"/>
          <w:highlight w:val="none"/>
          <w:lang w:val="zh-TW" w:eastAsia="zh-TW"/>
        </w:rPr>
        <w:t>(发包人名称</w:t>
      </w:r>
    </w:p>
    <w:p w14:paraId="47EB959B">
      <w:pPr>
        <w:pStyle w:val="4"/>
        <w:tabs>
          <w:tab w:val="left" w:leader="underscore" w:pos="2935"/>
          <w:tab w:val="right" w:leader="underscore" w:pos="8622"/>
        </w:tabs>
        <w:spacing w:after="0" w:line="398" w:lineRule="exact"/>
        <w:ind w:left="20" w:firstLine="50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zh-TW" w:eastAsia="zh-TW"/>
        </w:rPr>
        <w:t>鉴于</w:t>
      </w:r>
      <w:r>
        <w:rPr>
          <w:rStyle w:val="15"/>
          <w:rFonts w:hint="eastAsia" w:asciiTheme="majorEastAsia" w:hAnsiTheme="majorEastAsia" w:eastAsiaTheme="majorEastAsia" w:cstheme="majorEastAsia"/>
          <w:color w:val="000000"/>
          <w:sz w:val="22"/>
          <w:szCs w:val="22"/>
          <w:highlight w:val="none"/>
          <w:lang w:val="zh-TW" w:eastAsia="zh-TW"/>
        </w:rPr>
        <w:tab/>
      </w:r>
      <w:r>
        <w:rPr>
          <w:rStyle w:val="15"/>
          <w:rFonts w:hint="eastAsia" w:asciiTheme="majorEastAsia" w:hAnsiTheme="majorEastAsia" w:eastAsiaTheme="majorEastAsia" w:cstheme="majorEastAsia"/>
          <w:color w:val="000000"/>
          <w:sz w:val="22"/>
          <w:szCs w:val="22"/>
          <w:highlight w:val="none"/>
          <w:lang w:val="zh-TW" w:eastAsia="zh-TW"/>
        </w:rPr>
        <w:t xml:space="preserve"> </w:t>
      </w:r>
      <w:r>
        <w:rPr>
          <w:rStyle w:val="15"/>
          <w:rFonts w:hint="eastAsia" w:asciiTheme="majorEastAsia" w:hAnsiTheme="majorEastAsia" w:eastAsiaTheme="majorEastAsia" w:cstheme="majorEastAsia"/>
          <w:color w:val="000000"/>
          <w:sz w:val="22"/>
          <w:szCs w:val="22"/>
          <w:highlight w:val="none"/>
        </w:rPr>
        <w:t>(</w:t>
      </w:r>
      <w:r>
        <w:rPr>
          <w:rFonts w:hint="eastAsia" w:asciiTheme="majorEastAsia" w:hAnsiTheme="majorEastAsia" w:eastAsiaTheme="majorEastAsia" w:cstheme="majorEastAsia"/>
          <w:color w:val="000000"/>
          <w:sz w:val="22"/>
          <w:szCs w:val="22"/>
          <w:highlight w:val="none"/>
          <w:lang w:val="zh-TW" w:eastAsia="zh-TW"/>
        </w:rPr>
        <w:t>发包人名称，以下简称</w:t>
      </w:r>
      <w:r>
        <w:rPr>
          <w:rStyle w:val="15"/>
          <w:rFonts w:hint="eastAsia" w:asciiTheme="majorEastAsia" w:hAnsiTheme="majorEastAsia" w:eastAsiaTheme="majorEastAsia" w:cstheme="majorEastAsia"/>
          <w:color w:val="000000"/>
          <w:sz w:val="22"/>
          <w:szCs w:val="22"/>
          <w:highlight w:val="none"/>
          <w:lang w:val="zh-TW" w:eastAsia="zh-TW"/>
        </w:rPr>
        <w:t>“</w:t>
      </w:r>
      <w:r>
        <w:rPr>
          <w:rStyle w:val="17"/>
          <w:rFonts w:hint="eastAsia" w:asciiTheme="majorEastAsia" w:hAnsiTheme="majorEastAsia" w:eastAsiaTheme="majorEastAsia" w:cstheme="majorEastAsia"/>
          <w:color w:val="000000"/>
          <w:sz w:val="22"/>
          <w:szCs w:val="22"/>
          <w:highlight w:val="none"/>
          <w:lang w:val="zh-TW" w:eastAsia="zh-TW"/>
        </w:rPr>
        <w:t>发包人”）接受</w:t>
      </w:r>
      <w:r>
        <w:rPr>
          <w:rStyle w:val="15"/>
          <w:rFonts w:hint="eastAsia" w:asciiTheme="majorEastAsia" w:hAnsiTheme="majorEastAsia" w:eastAsiaTheme="majorEastAsia" w:cstheme="majorEastAsia"/>
          <w:color w:val="000000"/>
          <w:sz w:val="22"/>
          <w:szCs w:val="22"/>
          <w:highlight w:val="none"/>
          <w:lang w:val="zh-TW" w:eastAsia="zh-TW"/>
        </w:rPr>
        <w:tab/>
      </w:r>
      <w:r>
        <w:rPr>
          <w:rStyle w:val="15"/>
          <w:rFonts w:hint="eastAsia" w:asciiTheme="majorEastAsia" w:hAnsiTheme="majorEastAsia" w:eastAsiaTheme="majorEastAsia" w:cstheme="majorEastAsia"/>
          <w:color w:val="000000"/>
          <w:sz w:val="22"/>
          <w:szCs w:val="22"/>
          <w:highlight w:val="none"/>
          <w:lang w:val="zh-TW" w:eastAsia="zh-TW"/>
        </w:rPr>
        <w:t xml:space="preserve"> </w:t>
      </w:r>
      <w:r>
        <w:rPr>
          <w:rFonts w:hint="eastAsia" w:asciiTheme="majorEastAsia" w:hAnsiTheme="majorEastAsia" w:eastAsiaTheme="majorEastAsia" w:cstheme="majorEastAsia"/>
          <w:color w:val="000000"/>
          <w:sz w:val="22"/>
          <w:szCs w:val="22"/>
          <w:highlight w:val="none"/>
          <w:lang w:val="zh-TW" w:eastAsia="zh-TW"/>
        </w:rPr>
        <w:t>(承</w:t>
      </w:r>
    </w:p>
    <w:p w14:paraId="20352ABB">
      <w:pPr>
        <w:pStyle w:val="4"/>
        <w:tabs>
          <w:tab w:val="left" w:leader="underscore" w:pos="4215"/>
          <w:tab w:val="left" w:leader="underscore" w:pos="7819"/>
        </w:tabs>
        <w:spacing w:after="0" w:line="398" w:lineRule="exact"/>
        <w:ind w:left="2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zh-TW" w:eastAsia="zh-TW"/>
        </w:rPr>
        <w:t>包人名称，以下简称</w:t>
      </w:r>
      <w:r>
        <w:rPr>
          <w:rStyle w:val="15"/>
          <w:rFonts w:hint="eastAsia" w:asciiTheme="majorEastAsia" w:hAnsiTheme="majorEastAsia" w:eastAsiaTheme="majorEastAsia" w:cstheme="majorEastAsia"/>
          <w:color w:val="000000"/>
          <w:sz w:val="22"/>
          <w:szCs w:val="22"/>
          <w:highlight w:val="none"/>
          <w:lang w:val="zh-TW" w:eastAsia="zh-TW"/>
        </w:rPr>
        <w:t>“</w:t>
      </w:r>
      <w:r>
        <w:rPr>
          <w:rStyle w:val="17"/>
          <w:rFonts w:hint="eastAsia" w:asciiTheme="majorEastAsia" w:hAnsiTheme="majorEastAsia" w:eastAsiaTheme="majorEastAsia" w:cstheme="majorEastAsia"/>
          <w:color w:val="000000"/>
          <w:sz w:val="22"/>
          <w:szCs w:val="22"/>
          <w:highlight w:val="none"/>
          <w:lang w:val="zh-TW" w:eastAsia="zh-TW"/>
        </w:rPr>
        <w:t>承包人”）于</w:t>
      </w:r>
      <w:r>
        <w:rPr>
          <w:rStyle w:val="15"/>
          <w:rFonts w:hint="eastAsia" w:asciiTheme="majorEastAsia" w:hAnsiTheme="majorEastAsia" w:eastAsiaTheme="majorEastAsia" w:cstheme="majorEastAsia"/>
          <w:color w:val="000000"/>
          <w:sz w:val="22"/>
          <w:szCs w:val="22"/>
          <w:highlight w:val="none"/>
          <w:lang w:val="zh-TW" w:eastAsia="zh-TW"/>
        </w:rPr>
        <w:tab/>
      </w:r>
      <w:r>
        <w:rPr>
          <w:rFonts w:hint="eastAsia" w:asciiTheme="majorEastAsia" w:hAnsiTheme="majorEastAsia" w:eastAsiaTheme="majorEastAsia" w:cstheme="majorEastAsia"/>
          <w:color w:val="000000"/>
          <w:sz w:val="22"/>
          <w:szCs w:val="22"/>
          <w:highlight w:val="none"/>
          <w:lang w:val="zh-TW" w:eastAsia="zh-TW"/>
        </w:rPr>
        <w:t>年</w:t>
      </w:r>
      <w:r>
        <w:rPr>
          <w:rStyle w:val="15"/>
          <w:rFonts w:hint="eastAsia" w:asciiTheme="majorEastAsia" w:hAnsiTheme="majorEastAsia" w:eastAsiaTheme="majorEastAsia" w:cstheme="majorEastAsia"/>
          <w:color w:val="000000"/>
          <w:sz w:val="22"/>
          <w:szCs w:val="22"/>
          <w:highlight w:val="none"/>
        </w:rPr>
        <w:t>—</w:t>
      </w:r>
      <w:r>
        <w:rPr>
          <w:rFonts w:hint="eastAsia" w:asciiTheme="majorEastAsia" w:hAnsiTheme="majorEastAsia" w:eastAsiaTheme="majorEastAsia" w:cstheme="majorEastAsia"/>
          <w:color w:val="000000"/>
          <w:sz w:val="22"/>
          <w:szCs w:val="22"/>
          <w:highlight w:val="none"/>
          <w:lang w:val="zh-TW" w:eastAsia="zh-TW"/>
        </w:rPr>
        <w:t>月</w:t>
      </w:r>
      <w:r>
        <w:rPr>
          <w:rFonts w:hint="eastAsia" w:asciiTheme="majorEastAsia" w:hAnsiTheme="majorEastAsia" w:eastAsiaTheme="majorEastAsia" w:cstheme="majorEastAsia"/>
          <w:color w:val="000000"/>
          <w:sz w:val="22"/>
          <w:szCs w:val="22"/>
          <w:highlight w:val="none"/>
          <w:lang w:eastAsia="en-US"/>
        </w:rPr>
        <w:t>—</w:t>
      </w:r>
      <w:r>
        <w:rPr>
          <w:rFonts w:hint="eastAsia" w:asciiTheme="majorEastAsia" w:hAnsiTheme="majorEastAsia" w:eastAsiaTheme="majorEastAsia" w:cstheme="majorEastAsia"/>
          <w:color w:val="000000"/>
          <w:sz w:val="22"/>
          <w:szCs w:val="22"/>
          <w:highlight w:val="none"/>
          <w:lang w:val="zh-TW" w:eastAsia="zh-TW"/>
        </w:rPr>
        <w:t>日参加</w:t>
      </w:r>
      <w:r>
        <w:rPr>
          <w:rStyle w:val="15"/>
          <w:rFonts w:hint="eastAsia" w:asciiTheme="majorEastAsia" w:hAnsiTheme="majorEastAsia" w:eastAsiaTheme="majorEastAsia" w:cstheme="majorEastAsia"/>
          <w:color w:val="000000"/>
          <w:sz w:val="22"/>
          <w:szCs w:val="22"/>
          <w:highlight w:val="none"/>
          <w:lang w:val="zh-TW" w:eastAsia="zh-TW"/>
        </w:rPr>
        <w:tab/>
      </w:r>
      <w:r>
        <w:rPr>
          <w:rStyle w:val="15"/>
          <w:rFonts w:hint="eastAsia" w:asciiTheme="majorEastAsia" w:hAnsiTheme="majorEastAsia" w:eastAsiaTheme="majorEastAsia" w:cstheme="majorEastAsia"/>
          <w:color w:val="000000"/>
          <w:sz w:val="22"/>
          <w:szCs w:val="22"/>
          <w:highlight w:val="none"/>
          <w:lang w:val="zh-TW" w:eastAsia="zh-TW"/>
        </w:rPr>
        <w:t xml:space="preserve"> </w:t>
      </w:r>
      <w:r>
        <w:rPr>
          <w:rFonts w:hint="eastAsia" w:asciiTheme="majorEastAsia" w:hAnsiTheme="majorEastAsia" w:eastAsiaTheme="majorEastAsia" w:cstheme="majorEastAsia"/>
          <w:color w:val="000000"/>
          <w:sz w:val="22"/>
          <w:szCs w:val="22"/>
          <w:highlight w:val="none"/>
          <w:lang w:eastAsia="en-US"/>
        </w:rPr>
        <w:t>(</w:t>
      </w:r>
      <w:r>
        <w:rPr>
          <w:rFonts w:hint="eastAsia" w:asciiTheme="majorEastAsia" w:hAnsiTheme="majorEastAsia" w:eastAsiaTheme="majorEastAsia" w:cstheme="majorEastAsia"/>
          <w:color w:val="000000"/>
          <w:sz w:val="22"/>
          <w:szCs w:val="22"/>
          <w:highlight w:val="none"/>
          <w:lang w:val="zh-TW" w:eastAsia="zh-TW"/>
        </w:rPr>
        <w:t>项目名</w:t>
      </w:r>
    </w:p>
    <w:p w14:paraId="0FF2B8FA">
      <w:pPr>
        <w:pStyle w:val="4"/>
        <w:tabs>
          <w:tab w:val="left" w:leader="underscore" w:pos="1682"/>
        </w:tabs>
        <w:spacing w:after="0" w:line="398" w:lineRule="exact"/>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zh-TW" w:eastAsia="zh-TW"/>
        </w:rPr>
        <w:t>称）</w:t>
      </w:r>
      <w:r>
        <w:rPr>
          <w:rStyle w:val="15"/>
          <w:rFonts w:hint="eastAsia" w:asciiTheme="majorEastAsia" w:hAnsiTheme="majorEastAsia" w:eastAsiaTheme="majorEastAsia" w:cstheme="majorEastAsia"/>
          <w:color w:val="000000"/>
          <w:sz w:val="22"/>
          <w:szCs w:val="22"/>
          <w:highlight w:val="none"/>
          <w:lang w:val="zh-TW" w:eastAsia="zh-TW"/>
        </w:rPr>
        <w:tab/>
      </w:r>
      <w:r>
        <w:rPr>
          <w:rFonts w:hint="eastAsia" w:asciiTheme="majorEastAsia" w:hAnsiTheme="majorEastAsia" w:eastAsiaTheme="majorEastAsia" w:cstheme="majorEastAsia"/>
          <w:color w:val="000000"/>
          <w:sz w:val="22"/>
          <w:szCs w:val="22"/>
          <w:highlight w:val="none"/>
          <w:lang w:val="zh-TW" w:eastAsia="zh-TW"/>
        </w:rPr>
        <w:t>标段施工的投标。我方愿意无条件地、不可撤销地就承包人履行与</w:t>
      </w:r>
    </w:p>
    <w:p w14:paraId="567FA41E">
      <w:pPr>
        <w:pStyle w:val="4"/>
        <w:spacing w:after="0" w:line="398" w:lineRule="exact"/>
        <w:ind w:left="2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zh-TW" w:eastAsia="zh-TW"/>
        </w:rPr>
        <w:t>你方订立的合同，向你方提供担保。</w:t>
      </w:r>
    </w:p>
    <w:p w14:paraId="08A2CCEE">
      <w:pPr>
        <w:pStyle w:val="4"/>
        <w:tabs>
          <w:tab w:val="left" w:leader="underscore" w:pos="7912"/>
        </w:tabs>
        <w:spacing w:after="0" w:line="398" w:lineRule="exact"/>
        <w:ind w:left="20" w:firstLine="50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en-US"/>
        </w:rPr>
        <w:t>1.</w:t>
      </w:r>
      <w:r>
        <w:rPr>
          <w:rFonts w:hint="eastAsia" w:asciiTheme="majorEastAsia" w:hAnsiTheme="majorEastAsia" w:eastAsiaTheme="majorEastAsia" w:cstheme="majorEastAsia"/>
          <w:color w:val="000000"/>
          <w:sz w:val="22"/>
          <w:szCs w:val="22"/>
          <w:highlight w:val="none"/>
          <w:lang w:val="zh-TW" w:eastAsia="zh-TW"/>
        </w:rPr>
        <w:t>担保金额人民币（大写</w:t>
      </w:r>
      <w:r>
        <w:rPr>
          <w:rFonts w:hint="eastAsia" w:asciiTheme="majorEastAsia" w:hAnsiTheme="majorEastAsia" w:eastAsiaTheme="majorEastAsia" w:cstheme="majorEastAsia"/>
          <w:color w:val="000000"/>
          <w:sz w:val="22"/>
          <w:szCs w:val="22"/>
          <w:highlight w:val="none"/>
        </w:rPr>
        <w:t xml:space="preserve"> </w:t>
      </w:r>
      <w:r>
        <w:rPr>
          <w:rFonts w:hint="eastAsia" w:asciiTheme="majorEastAsia" w:hAnsiTheme="majorEastAsia" w:eastAsiaTheme="majorEastAsia" w:cstheme="majorEastAsia"/>
          <w:color w:val="000000"/>
          <w:sz w:val="22"/>
          <w:szCs w:val="22"/>
          <w:highlight w:val="none"/>
          <w:lang w:eastAsia="en-US"/>
        </w:rPr>
        <w:t>）</w:t>
      </w:r>
      <w:r>
        <w:rPr>
          <w:rFonts w:hint="eastAsia" w:asciiTheme="majorEastAsia" w:hAnsiTheme="majorEastAsia" w:eastAsiaTheme="majorEastAsia" w:cstheme="majorEastAsia"/>
          <w:color w:val="000000"/>
          <w:sz w:val="22"/>
          <w:szCs w:val="22"/>
          <w:highlight w:val="none"/>
          <w:u w:val="single"/>
          <w:lang w:val="en-US"/>
        </w:rPr>
        <w:t xml:space="preserve">               </w:t>
      </w:r>
      <w:r>
        <w:rPr>
          <w:rFonts w:hint="eastAsia" w:asciiTheme="majorEastAsia" w:hAnsiTheme="majorEastAsia" w:eastAsiaTheme="majorEastAsia" w:cstheme="majorEastAsia"/>
          <w:color w:val="000000"/>
          <w:sz w:val="22"/>
          <w:szCs w:val="22"/>
          <w:highlight w:val="none"/>
          <w:lang w:val="zh-TW" w:eastAsia="zh-TW"/>
        </w:rPr>
        <w:t>元</w:t>
      </w:r>
      <w:r>
        <w:rPr>
          <w:rStyle w:val="15"/>
          <w:rFonts w:hint="eastAsia" w:asciiTheme="majorEastAsia" w:hAnsiTheme="majorEastAsia" w:eastAsiaTheme="majorEastAsia" w:cstheme="majorEastAsia"/>
          <w:color w:val="000000"/>
          <w:sz w:val="22"/>
          <w:szCs w:val="22"/>
          <w:highlight w:val="none"/>
        </w:rPr>
        <w:t>（¥</w:t>
      </w:r>
      <w:r>
        <w:rPr>
          <w:rStyle w:val="15"/>
          <w:rFonts w:hint="eastAsia" w:asciiTheme="majorEastAsia" w:hAnsiTheme="majorEastAsia" w:eastAsiaTheme="majorEastAsia" w:cstheme="majorEastAsia"/>
          <w:color w:val="000000"/>
          <w:sz w:val="22"/>
          <w:szCs w:val="22"/>
          <w:highlight w:val="none"/>
          <w:lang w:val="zh-TW" w:eastAsia="zh-TW"/>
        </w:rPr>
        <w:tab/>
      </w:r>
      <w:r>
        <w:rPr>
          <w:rFonts w:hint="eastAsia" w:asciiTheme="majorEastAsia" w:hAnsiTheme="majorEastAsia" w:eastAsiaTheme="majorEastAsia" w:cstheme="majorEastAsia"/>
          <w:color w:val="000000"/>
          <w:sz w:val="22"/>
          <w:szCs w:val="22"/>
          <w:highlight w:val="none"/>
          <w:lang w:val="zh-TW" w:eastAsia="zh-TW"/>
        </w:rPr>
        <w:t>)。</w:t>
      </w:r>
    </w:p>
    <w:p w14:paraId="4EAC1C32">
      <w:pPr>
        <w:pStyle w:val="4"/>
        <w:spacing w:after="0" w:line="398" w:lineRule="exact"/>
        <w:ind w:left="20" w:right="40" w:firstLine="50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en-US"/>
        </w:rPr>
        <w:t>2.</w:t>
      </w:r>
      <w:r>
        <w:rPr>
          <w:rFonts w:hint="eastAsia" w:asciiTheme="majorEastAsia" w:hAnsiTheme="majorEastAsia" w:eastAsiaTheme="majorEastAsia" w:cstheme="majorEastAsia"/>
          <w:color w:val="000000"/>
          <w:sz w:val="22"/>
          <w:szCs w:val="22"/>
          <w:highlight w:val="none"/>
          <w:lang w:val="zh-TW" w:eastAsia="zh-TW"/>
        </w:rPr>
        <w:t>担保有效期自发包人与承包人签订的合同生效之日起至发包人签发交工验 收证书且承包人按照合同约定缴纳质量保证金之日止。</w:t>
      </w:r>
    </w:p>
    <w:p w14:paraId="59C6C0A0">
      <w:pPr>
        <w:pStyle w:val="4"/>
        <w:spacing w:after="0" w:line="398" w:lineRule="exact"/>
        <w:ind w:left="20" w:right="40" w:firstLine="500"/>
        <w:outlineLvl w:val="9"/>
        <w:rPr>
          <w:rFonts w:hint="eastAsia" w:asciiTheme="majorEastAsia" w:hAnsiTheme="majorEastAsia" w:eastAsiaTheme="majorEastAsia" w:cstheme="majorEastAsia"/>
          <w:sz w:val="22"/>
          <w:szCs w:val="22"/>
          <w:highlight w:val="none"/>
        </w:rPr>
      </w:pPr>
      <w:r>
        <w:rPr>
          <w:rFonts w:hint="eastAsia" w:asciiTheme="majorEastAsia" w:hAnsiTheme="majorEastAsia" w:eastAsiaTheme="majorEastAsia" w:cstheme="majorEastAsia"/>
          <w:color w:val="000000"/>
          <w:sz w:val="22"/>
          <w:szCs w:val="22"/>
          <w:highlight w:val="none"/>
          <w:lang w:val="en-US"/>
        </w:rPr>
        <w:t>3.</w:t>
      </w:r>
      <w:r>
        <w:rPr>
          <w:rFonts w:hint="eastAsia" w:asciiTheme="majorEastAsia" w:hAnsiTheme="majorEastAsia" w:eastAsiaTheme="majorEastAsia" w:cstheme="majorEastAsia"/>
          <w:color w:val="000000"/>
          <w:sz w:val="22"/>
          <w:szCs w:val="22"/>
          <w:highlight w:val="none"/>
          <w:lang w:val="zh-TW" w:eastAsia="zh-TW"/>
        </w:rPr>
        <w:t>在本担保有效期内，因承包人违反合同约定的义务给你方造成经济损失时， 我方在收到你方以书面形式提出的在担保金额内的赔偿要求后，在</w:t>
      </w:r>
      <w:r>
        <w:rPr>
          <w:rStyle w:val="15"/>
          <w:rFonts w:hint="eastAsia" w:asciiTheme="majorEastAsia" w:hAnsiTheme="majorEastAsia" w:eastAsiaTheme="majorEastAsia" w:cstheme="majorEastAsia"/>
          <w:color w:val="000000"/>
          <w:sz w:val="22"/>
          <w:szCs w:val="22"/>
          <w:highlight w:val="none"/>
          <w:lang w:val="zh-TW" w:eastAsia="zh-TW"/>
        </w:rPr>
        <w:t>7</w:t>
      </w:r>
      <w:r>
        <w:rPr>
          <w:rFonts w:hint="eastAsia" w:asciiTheme="majorEastAsia" w:hAnsiTheme="majorEastAsia" w:eastAsiaTheme="majorEastAsia" w:cstheme="majorEastAsia"/>
          <w:color w:val="000000"/>
          <w:sz w:val="22"/>
          <w:szCs w:val="22"/>
          <w:highlight w:val="none"/>
          <w:lang w:val="zh-TW" w:eastAsia="zh-TW"/>
        </w:rPr>
        <w:t>日内无条件支 付，无须你方出具证明或陈述理由。</w:t>
      </w:r>
    </w:p>
    <w:p w14:paraId="56A8453A">
      <w:pPr>
        <w:pStyle w:val="4"/>
        <w:spacing w:after="784" w:line="398" w:lineRule="exact"/>
        <w:ind w:left="20" w:right="40" w:firstLine="500"/>
        <w:outlineLvl w:val="9"/>
        <w:rPr>
          <w:rFonts w:hint="eastAsia" w:asciiTheme="majorEastAsia" w:hAnsiTheme="majorEastAsia" w:eastAsiaTheme="majorEastAsia" w:cstheme="majorEastAsia"/>
          <w:color w:val="000000"/>
          <w:sz w:val="22"/>
          <w:szCs w:val="22"/>
          <w:highlight w:val="none"/>
          <w:lang w:val="zh-TW" w:eastAsia="zh-TW"/>
        </w:rPr>
      </w:pPr>
      <w:r>
        <w:rPr>
          <w:rFonts w:hint="eastAsia" w:asciiTheme="majorEastAsia" w:hAnsiTheme="majorEastAsia" w:eastAsiaTheme="majorEastAsia" w:cstheme="majorEastAsia"/>
          <w:color w:val="000000"/>
          <w:sz w:val="22"/>
          <w:szCs w:val="22"/>
          <w:highlight w:val="none"/>
          <w:lang w:val="en-US"/>
        </w:rPr>
        <w:t>4.</w:t>
      </w:r>
      <w:r>
        <w:rPr>
          <w:rFonts w:hint="eastAsia" w:asciiTheme="majorEastAsia" w:hAnsiTheme="majorEastAsia" w:eastAsiaTheme="majorEastAsia" w:cstheme="majorEastAsia"/>
          <w:color w:val="000000"/>
          <w:sz w:val="22"/>
          <w:szCs w:val="22"/>
          <w:highlight w:val="none"/>
          <w:lang w:val="zh-TW" w:eastAsia="zh-TW"/>
        </w:rPr>
        <w:t>发包人和承包人按合同条款第</w:t>
      </w:r>
      <w:r>
        <w:rPr>
          <w:rStyle w:val="15"/>
          <w:rFonts w:hint="eastAsia" w:asciiTheme="majorEastAsia" w:hAnsiTheme="majorEastAsia" w:eastAsiaTheme="majorEastAsia" w:cstheme="majorEastAsia"/>
          <w:color w:val="000000"/>
          <w:sz w:val="22"/>
          <w:szCs w:val="22"/>
          <w:highlight w:val="none"/>
          <w:lang w:val="zh-TW" w:eastAsia="zh-TW"/>
        </w:rPr>
        <w:t>15</w:t>
      </w:r>
      <w:r>
        <w:rPr>
          <w:rFonts w:hint="eastAsia" w:asciiTheme="majorEastAsia" w:hAnsiTheme="majorEastAsia" w:eastAsiaTheme="majorEastAsia" w:cstheme="majorEastAsia"/>
          <w:color w:val="000000"/>
          <w:sz w:val="22"/>
          <w:szCs w:val="22"/>
          <w:highlight w:val="none"/>
          <w:lang w:val="zh-TW" w:eastAsia="zh-TW"/>
        </w:rPr>
        <w:t>条变更合同时，无论我方是否收到该变更， 我方承担本担保规定的义务不变。</w:t>
      </w:r>
    </w:p>
    <w:p w14:paraId="444CB04C">
      <w:pPr>
        <w:pStyle w:val="4"/>
        <w:spacing w:after="0" w:line="360" w:lineRule="auto"/>
        <w:ind w:left="23" w:right="40" w:firstLine="499"/>
        <w:outlineLvl w:val="9"/>
        <w:rPr>
          <w:rFonts w:hint="eastAsia" w:asciiTheme="majorEastAsia" w:hAnsiTheme="majorEastAsia" w:eastAsiaTheme="majorEastAsia" w:cstheme="majorEastAsia"/>
          <w:color w:val="000000"/>
          <w:sz w:val="22"/>
          <w:szCs w:val="22"/>
          <w:highlight w:val="none"/>
          <w:lang w:val="en-US"/>
        </w:rPr>
      </w:pPr>
      <w:r>
        <w:rPr>
          <w:rFonts w:hint="eastAsia" w:asciiTheme="majorEastAsia" w:hAnsiTheme="majorEastAsia" w:eastAsiaTheme="majorEastAsia" w:cstheme="majorEastAsia"/>
          <w:color w:val="000000"/>
          <w:sz w:val="22"/>
          <w:szCs w:val="22"/>
          <w:highlight w:val="none"/>
          <w:lang w:val="en-US"/>
        </w:rPr>
        <w:t xml:space="preserve">                                  担保人名称：</w:t>
      </w:r>
      <w:r>
        <w:rPr>
          <w:rFonts w:hint="eastAsia" w:asciiTheme="majorEastAsia" w:hAnsiTheme="majorEastAsia" w:eastAsiaTheme="majorEastAsia" w:cstheme="majorEastAsia"/>
          <w:color w:val="000000"/>
          <w:sz w:val="22"/>
          <w:szCs w:val="22"/>
          <w:highlight w:val="none"/>
          <w:u w:val="single"/>
          <w:lang w:val="en-US"/>
        </w:rPr>
        <w:t xml:space="preserve">             </w:t>
      </w:r>
      <w:r>
        <w:rPr>
          <w:rFonts w:hint="eastAsia" w:asciiTheme="majorEastAsia" w:hAnsiTheme="majorEastAsia" w:eastAsiaTheme="majorEastAsia" w:cstheme="majorEastAsia"/>
          <w:color w:val="000000"/>
          <w:sz w:val="22"/>
          <w:szCs w:val="22"/>
          <w:highlight w:val="none"/>
          <w:lang w:val="en-US"/>
        </w:rPr>
        <w:t>（盖单位章）</w:t>
      </w:r>
    </w:p>
    <w:p w14:paraId="0809D407">
      <w:pPr>
        <w:pStyle w:val="4"/>
        <w:spacing w:after="0" w:line="360" w:lineRule="auto"/>
        <w:ind w:left="23" w:right="40" w:firstLine="499"/>
        <w:outlineLvl w:val="9"/>
        <w:rPr>
          <w:rFonts w:hint="eastAsia" w:asciiTheme="majorEastAsia" w:hAnsiTheme="majorEastAsia" w:eastAsiaTheme="majorEastAsia" w:cstheme="majorEastAsia"/>
          <w:color w:val="000000"/>
          <w:sz w:val="22"/>
          <w:szCs w:val="22"/>
          <w:highlight w:val="none"/>
          <w:lang w:val="en-US"/>
        </w:rPr>
      </w:pPr>
      <w:r>
        <w:rPr>
          <w:rFonts w:hint="eastAsia" w:asciiTheme="majorEastAsia" w:hAnsiTheme="majorEastAsia" w:eastAsiaTheme="majorEastAsia" w:cstheme="majorEastAsia"/>
          <w:color w:val="000000"/>
          <w:sz w:val="22"/>
          <w:szCs w:val="22"/>
          <w:highlight w:val="none"/>
          <w:lang w:val="en-US"/>
        </w:rPr>
        <w:t xml:space="preserve">                                  法定代表人或其委托代理人：</w:t>
      </w:r>
      <w:r>
        <w:rPr>
          <w:rFonts w:hint="eastAsia" w:asciiTheme="majorEastAsia" w:hAnsiTheme="majorEastAsia" w:eastAsiaTheme="majorEastAsia" w:cstheme="majorEastAsia"/>
          <w:color w:val="000000"/>
          <w:sz w:val="22"/>
          <w:szCs w:val="22"/>
          <w:highlight w:val="none"/>
          <w:u w:val="single"/>
          <w:lang w:val="en-US"/>
        </w:rPr>
        <w:t xml:space="preserve">     </w:t>
      </w:r>
      <w:r>
        <w:rPr>
          <w:rFonts w:hint="eastAsia" w:asciiTheme="majorEastAsia" w:hAnsiTheme="majorEastAsia" w:eastAsiaTheme="majorEastAsia" w:cstheme="majorEastAsia"/>
          <w:color w:val="000000"/>
          <w:sz w:val="22"/>
          <w:szCs w:val="22"/>
          <w:highlight w:val="none"/>
          <w:lang w:val="en-US"/>
        </w:rPr>
        <w:t>（签字）</w:t>
      </w:r>
    </w:p>
    <w:p w14:paraId="65B2458E">
      <w:pPr>
        <w:kinsoku w:val="0"/>
        <w:overflowPunct w:val="0"/>
        <w:spacing w:line="360" w:lineRule="auto"/>
        <w:outlineLvl w:val="9"/>
        <w:rPr>
          <w:rFonts w:hint="eastAsia" w:asciiTheme="majorEastAsia" w:hAnsiTheme="majorEastAsia" w:eastAsiaTheme="majorEastAsia" w:cstheme="majorEastAsia"/>
          <w:color w:val="000000"/>
          <w:kern w:val="0"/>
          <w:sz w:val="22"/>
          <w:szCs w:val="22"/>
          <w:highlight w:val="none"/>
        </w:rPr>
      </w:pPr>
      <w:r>
        <w:rPr>
          <w:rFonts w:hint="eastAsia" w:asciiTheme="majorEastAsia" w:hAnsiTheme="majorEastAsia" w:eastAsiaTheme="majorEastAsia" w:cstheme="majorEastAsia"/>
          <w:sz w:val="20"/>
          <w:szCs w:val="22"/>
          <w:highlight w:val="none"/>
        </w:rPr>
        <w:t xml:space="preserve">                                         </w:t>
      </w:r>
      <w:r>
        <w:rPr>
          <w:rFonts w:hint="eastAsia" w:asciiTheme="majorEastAsia" w:hAnsiTheme="majorEastAsia" w:eastAsiaTheme="majorEastAsia" w:cstheme="majorEastAsia"/>
          <w:color w:val="000000"/>
          <w:kern w:val="0"/>
          <w:sz w:val="22"/>
          <w:szCs w:val="22"/>
          <w:highlight w:val="none"/>
        </w:rPr>
        <w:t xml:space="preserve">  地址：</w:t>
      </w:r>
      <w:r>
        <w:rPr>
          <w:rFonts w:hint="eastAsia" w:asciiTheme="majorEastAsia" w:hAnsiTheme="majorEastAsia" w:eastAsiaTheme="majorEastAsia" w:cstheme="majorEastAsia"/>
          <w:color w:val="000000"/>
          <w:kern w:val="0"/>
          <w:sz w:val="22"/>
          <w:szCs w:val="22"/>
          <w:highlight w:val="none"/>
          <w:u w:val="single"/>
        </w:rPr>
        <w:t xml:space="preserve">              </w:t>
      </w:r>
      <w:r>
        <w:rPr>
          <w:rFonts w:hint="eastAsia" w:asciiTheme="majorEastAsia" w:hAnsiTheme="majorEastAsia" w:eastAsiaTheme="majorEastAsia" w:cstheme="majorEastAsia"/>
          <w:color w:val="000000"/>
          <w:kern w:val="0"/>
          <w:sz w:val="22"/>
          <w:szCs w:val="22"/>
          <w:highlight w:val="none"/>
          <w:u w:val="single"/>
          <w:lang w:val="en-US" w:eastAsia="zh-CN"/>
        </w:rPr>
        <w:t xml:space="preserve"> </w:t>
      </w:r>
      <w:r>
        <w:rPr>
          <w:rFonts w:hint="eastAsia" w:asciiTheme="majorEastAsia" w:hAnsiTheme="majorEastAsia" w:eastAsiaTheme="majorEastAsia" w:cstheme="majorEastAsia"/>
          <w:color w:val="000000"/>
          <w:kern w:val="0"/>
          <w:sz w:val="22"/>
          <w:szCs w:val="22"/>
          <w:highlight w:val="none"/>
          <w:u w:val="single"/>
        </w:rPr>
        <w:t xml:space="preserve">                </w:t>
      </w:r>
    </w:p>
    <w:p w14:paraId="525DB164">
      <w:pPr>
        <w:kinsoku w:val="0"/>
        <w:overflowPunct w:val="0"/>
        <w:spacing w:line="360" w:lineRule="auto"/>
        <w:outlineLvl w:val="9"/>
        <w:rPr>
          <w:rFonts w:hint="eastAsia" w:asciiTheme="majorEastAsia" w:hAnsiTheme="majorEastAsia" w:eastAsiaTheme="majorEastAsia" w:cstheme="majorEastAsia"/>
          <w:color w:val="000000"/>
          <w:kern w:val="0"/>
          <w:sz w:val="22"/>
          <w:szCs w:val="22"/>
          <w:highlight w:val="none"/>
        </w:rPr>
      </w:pPr>
      <w:r>
        <w:rPr>
          <w:rFonts w:hint="eastAsia" w:asciiTheme="majorEastAsia" w:hAnsiTheme="majorEastAsia" w:eastAsiaTheme="majorEastAsia" w:cstheme="majorEastAsia"/>
          <w:color w:val="000000"/>
          <w:kern w:val="0"/>
          <w:sz w:val="22"/>
          <w:szCs w:val="22"/>
          <w:highlight w:val="none"/>
        </w:rPr>
        <w:t xml:space="preserve">                                       邮政编码：</w:t>
      </w:r>
      <w:r>
        <w:rPr>
          <w:rFonts w:hint="eastAsia" w:asciiTheme="majorEastAsia" w:hAnsiTheme="majorEastAsia" w:eastAsiaTheme="majorEastAsia" w:cstheme="majorEastAsia"/>
          <w:color w:val="000000"/>
          <w:kern w:val="0"/>
          <w:sz w:val="22"/>
          <w:szCs w:val="22"/>
          <w:highlight w:val="none"/>
          <w:u w:val="single"/>
        </w:rPr>
        <w:t xml:space="preserve">                           </w:t>
      </w:r>
    </w:p>
    <w:p w14:paraId="3BC3819E">
      <w:pPr>
        <w:kinsoku w:val="0"/>
        <w:overflowPunct w:val="0"/>
        <w:spacing w:line="360" w:lineRule="auto"/>
        <w:outlineLvl w:val="9"/>
        <w:rPr>
          <w:rFonts w:hint="eastAsia" w:asciiTheme="majorEastAsia" w:hAnsiTheme="majorEastAsia" w:eastAsiaTheme="majorEastAsia" w:cstheme="majorEastAsia"/>
          <w:color w:val="000000"/>
          <w:kern w:val="0"/>
          <w:sz w:val="22"/>
          <w:szCs w:val="22"/>
          <w:highlight w:val="none"/>
        </w:rPr>
      </w:pPr>
      <w:r>
        <w:rPr>
          <w:rFonts w:hint="eastAsia" w:asciiTheme="majorEastAsia" w:hAnsiTheme="majorEastAsia" w:eastAsiaTheme="majorEastAsia" w:cstheme="majorEastAsia"/>
          <w:color w:val="000000"/>
          <w:kern w:val="0"/>
          <w:sz w:val="22"/>
          <w:szCs w:val="22"/>
          <w:highlight w:val="none"/>
        </w:rPr>
        <w:t xml:space="preserve">                                       电话：</w:t>
      </w:r>
      <w:r>
        <w:rPr>
          <w:rFonts w:hint="eastAsia" w:asciiTheme="majorEastAsia" w:hAnsiTheme="majorEastAsia" w:eastAsiaTheme="majorEastAsia" w:cstheme="majorEastAsia"/>
          <w:color w:val="000000"/>
          <w:kern w:val="0"/>
          <w:sz w:val="22"/>
          <w:szCs w:val="22"/>
          <w:highlight w:val="none"/>
          <w:u w:val="single"/>
        </w:rPr>
        <w:t xml:space="preserve">                               </w:t>
      </w:r>
    </w:p>
    <w:p w14:paraId="2A9DF192">
      <w:pPr>
        <w:kinsoku w:val="0"/>
        <w:overflowPunct w:val="0"/>
        <w:spacing w:line="360" w:lineRule="auto"/>
        <w:outlineLvl w:val="9"/>
        <w:rPr>
          <w:rFonts w:hint="eastAsia" w:asciiTheme="majorEastAsia" w:hAnsiTheme="majorEastAsia" w:eastAsiaTheme="majorEastAsia" w:cstheme="majorEastAsia"/>
          <w:color w:val="000000"/>
          <w:kern w:val="0"/>
          <w:sz w:val="24"/>
          <w:szCs w:val="24"/>
          <w:highlight w:val="none"/>
        </w:rPr>
      </w:pPr>
      <w:r>
        <w:rPr>
          <w:rFonts w:hint="eastAsia" w:asciiTheme="majorEastAsia" w:hAnsiTheme="majorEastAsia" w:eastAsiaTheme="majorEastAsia" w:cstheme="majorEastAsia"/>
          <w:color w:val="000000"/>
          <w:kern w:val="0"/>
          <w:sz w:val="22"/>
          <w:szCs w:val="22"/>
          <w:highlight w:val="none"/>
        </w:rPr>
        <w:t xml:space="preserve">                                       传真：</w:t>
      </w:r>
      <w:r>
        <w:rPr>
          <w:rFonts w:hint="eastAsia" w:asciiTheme="majorEastAsia" w:hAnsiTheme="majorEastAsia" w:eastAsiaTheme="majorEastAsia" w:cstheme="majorEastAsia"/>
          <w:color w:val="000000"/>
          <w:kern w:val="0"/>
          <w:sz w:val="22"/>
          <w:szCs w:val="22"/>
          <w:highlight w:val="none"/>
          <w:u w:val="single"/>
        </w:rPr>
        <w:t xml:space="preserve">                               </w:t>
      </w:r>
    </w:p>
    <w:p w14:paraId="7B0F7067">
      <w:pPr>
        <w:kinsoku w:val="0"/>
        <w:overflowPunct w:val="0"/>
        <w:outlineLvl w:val="9"/>
        <w:rPr>
          <w:rFonts w:hint="eastAsia" w:asciiTheme="majorEastAsia" w:hAnsiTheme="majorEastAsia" w:eastAsiaTheme="majorEastAsia" w:cstheme="majorEastAsia"/>
          <w:szCs w:val="24"/>
          <w:highlight w:val="none"/>
        </w:rPr>
      </w:pPr>
    </w:p>
    <w:p w14:paraId="583E7C5A">
      <w:pPr>
        <w:kinsoku w:val="0"/>
        <w:overflowPunct w:val="0"/>
        <w:outlineLvl w:val="9"/>
        <w:rPr>
          <w:rFonts w:hint="eastAsia" w:asciiTheme="majorEastAsia" w:hAnsiTheme="majorEastAsia" w:eastAsiaTheme="majorEastAsia" w:cstheme="majorEastAsia"/>
          <w:sz w:val="22"/>
          <w:szCs w:val="28"/>
          <w:highlight w:val="none"/>
        </w:rPr>
      </w:pPr>
      <w:r>
        <w:rPr>
          <w:rFonts w:hint="eastAsia" w:asciiTheme="majorEastAsia" w:hAnsiTheme="majorEastAsia" w:eastAsiaTheme="majorEastAsia" w:cstheme="majorEastAsia"/>
          <w:szCs w:val="24"/>
          <w:highlight w:val="none"/>
        </w:rPr>
        <w:t xml:space="preserve">                                                 </w:t>
      </w:r>
      <w:r>
        <w:rPr>
          <w:rFonts w:hint="eastAsia" w:asciiTheme="majorEastAsia" w:hAnsiTheme="majorEastAsia" w:eastAsiaTheme="majorEastAsia" w:cstheme="majorEastAsia"/>
          <w:sz w:val="24"/>
          <w:szCs w:val="32"/>
          <w:highlight w:val="none"/>
        </w:rPr>
        <w:t xml:space="preserve">    </w:t>
      </w:r>
      <w:r>
        <w:rPr>
          <w:rFonts w:hint="eastAsia" w:asciiTheme="majorEastAsia" w:hAnsiTheme="majorEastAsia" w:eastAsiaTheme="majorEastAsia" w:cstheme="majorEastAsia"/>
          <w:sz w:val="22"/>
          <w:szCs w:val="28"/>
          <w:highlight w:val="none"/>
        </w:rPr>
        <w:t xml:space="preserve">   </w:t>
      </w:r>
      <w:r>
        <w:rPr>
          <w:rFonts w:hint="eastAsia" w:asciiTheme="majorEastAsia" w:hAnsiTheme="majorEastAsia" w:eastAsiaTheme="majorEastAsia" w:cstheme="majorEastAsia"/>
          <w:sz w:val="22"/>
          <w:szCs w:val="28"/>
          <w:highlight w:val="none"/>
          <w:u w:val="single"/>
        </w:rPr>
        <w:t xml:space="preserve">    </w:t>
      </w:r>
      <w:r>
        <w:rPr>
          <w:rFonts w:hint="eastAsia" w:asciiTheme="majorEastAsia" w:hAnsiTheme="majorEastAsia" w:eastAsiaTheme="majorEastAsia" w:cstheme="majorEastAsia"/>
          <w:sz w:val="22"/>
          <w:szCs w:val="28"/>
          <w:highlight w:val="none"/>
        </w:rPr>
        <w:t>年</w:t>
      </w:r>
      <w:r>
        <w:rPr>
          <w:rFonts w:hint="eastAsia" w:asciiTheme="majorEastAsia" w:hAnsiTheme="majorEastAsia" w:eastAsiaTheme="majorEastAsia" w:cstheme="majorEastAsia"/>
          <w:sz w:val="22"/>
          <w:szCs w:val="28"/>
          <w:highlight w:val="none"/>
          <w:u w:val="single"/>
        </w:rPr>
        <w:t xml:space="preserve">    </w:t>
      </w:r>
      <w:r>
        <w:rPr>
          <w:rFonts w:hint="eastAsia" w:asciiTheme="majorEastAsia" w:hAnsiTheme="majorEastAsia" w:eastAsiaTheme="majorEastAsia" w:cstheme="majorEastAsia"/>
          <w:sz w:val="22"/>
          <w:szCs w:val="28"/>
          <w:highlight w:val="none"/>
        </w:rPr>
        <w:t>月</w:t>
      </w:r>
      <w:r>
        <w:rPr>
          <w:rFonts w:hint="eastAsia" w:asciiTheme="majorEastAsia" w:hAnsiTheme="majorEastAsia" w:eastAsiaTheme="majorEastAsia" w:cstheme="majorEastAsia"/>
          <w:sz w:val="22"/>
          <w:szCs w:val="28"/>
          <w:highlight w:val="none"/>
          <w:u w:val="single"/>
        </w:rPr>
        <w:t xml:space="preserve">    </w:t>
      </w:r>
      <w:r>
        <w:rPr>
          <w:rFonts w:hint="eastAsia" w:asciiTheme="majorEastAsia" w:hAnsiTheme="majorEastAsia" w:eastAsiaTheme="majorEastAsia" w:cstheme="majorEastAsia"/>
          <w:sz w:val="22"/>
          <w:szCs w:val="28"/>
          <w:highlight w:val="none"/>
        </w:rPr>
        <w:t>日</w:t>
      </w:r>
    </w:p>
    <w:p w14:paraId="18CE3162">
      <w:pPr>
        <w:rPr>
          <w:rFonts w:hint="eastAsia" w:asciiTheme="majorEastAsia" w:hAnsiTheme="majorEastAsia" w:eastAsiaTheme="majorEastAsia" w:cstheme="majorEastAsia"/>
          <w:highlight w:val="none"/>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A900D55-2AD3-4148-AAA7-FB2119CC8403}"/>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3D0C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B0D777">
                          <w:pPr>
                            <w:pStyle w:val="5"/>
                          </w:pPr>
                          <w:r>
                            <w:fldChar w:fldCharType="begin"/>
                          </w:r>
                          <w:r>
                            <w:instrText xml:space="preserve"> PAGE  \* MERGEFORMAT </w:instrText>
                          </w:r>
                          <w:r>
                            <w:fldChar w:fldCharType="separate"/>
                          </w:r>
                          <w:r>
                            <w:t>43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AB0D777">
                    <w:pPr>
                      <w:pStyle w:val="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F171A">
    <w:pPr>
      <w:pStyle w:val="6"/>
      <w:pBdr>
        <w:bottom w:val="none" w:color="auto" w:sz="0" w:space="0"/>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564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5F500">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1D44BF"/>
    <w:multiLevelType w:val="singleLevel"/>
    <w:tmpl w:val="DE1D44BF"/>
    <w:lvl w:ilvl="0" w:tentative="0">
      <w:start w:val="2"/>
      <w:numFmt w:val="decimal"/>
      <w:suff w:val="nothing"/>
      <w:lvlText w:val="（%1）"/>
      <w:lvlJc w:val="left"/>
    </w:lvl>
  </w:abstractNum>
  <w:abstractNum w:abstractNumId="1">
    <w:nsid w:val="4517482C"/>
    <w:multiLevelType w:val="multilevel"/>
    <w:tmpl w:val="4517482C"/>
    <w:lvl w:ilvl="0" w:tentative="0">
      <w:start w:val="1"/>
      <w:numFmt w:val="decimal"/>
      <w:lvlText w:val="%1"/>
      <w:lvlJc w:val="left"/>
      <w:pPr>
        <w:tabs>
          <w:tab w:val="left" w:pos="390"/>
        </w:tabs>
        <w:ind w:left="390" w:hanging="390"/>
      </w:pPr>
      <w:rPr>
        <w:rFonts w:hint="default" w:cs="Times New Roman"/>
      </w:rPr>
    </w:lvl>
    <w:lvl w:ilvl="1" w:tentative="0">
      <w:start w:val="1"/>
      <w:numFmt w:val="decimal"/>
      <w:lvlText w:val="%1.%2"/>
      <w:lvlJc w:val="left"/>
      <w:pPr>
        <w:tabs>
          <w:tab w:val="left" w:pos="810"/>
        </w:tabs>
        <w:ind w:left="810" w:hanging="390"/>
      </w:pPr>
      <w:rPr>
        <w:rFonts w:hint="default" w:cs="Times New Roman"/>
      </w:rPr>
    </w:lvl>
    <w:lvl w:ilvl="2" w:tentative="0">
      <w:start w:val="1"/>
      <w:numFmt w:val="decimal"/>
      <w:lvlText w:val="%1.%2.%3"/>
      <w:lvlJc w:val="left"/>
      <w:pPr>
        <w:tabs>
          <w:tab w:val="left" w:pos="1560"/>
        </w:tabs>
        <w:ind w:left="1560" w:hanging="720"/>
      </w:pPr>
      <w:rPr>
        <w:rFonts w:hint="default" w:cs="Times New Roman"/>
      </w:rPr>
    </w:lvl>
    <w:lvl w:ilvl="3" w:tentative="0">
      <w:start w:val="1"/>
      <w:numFmt w:val="decimal"/>
      <w:lvlText w:val="%1.%2.%3.%4"/>
      <w:lvlJc w:val="left"/>
      <w:pPr>
        <w:tabs>
          <w:tab w:val="left" w:pos="1980"/>
        </w:tabs>
        <w:ind w:left="1980" w:hanging="720"/>
      </w:pPr>
      <w:rPr>
        <w:rFonts w:hint="default" w:cs="Times New Roman"/>
      </w:rPr>
    </w:lvl>
    <w:lvl w:ilvl="4" w:tentative="0">
      <w:start w:val="1"/>
      <w:numFmt w:val="decimal"/>
      <w:lvlText w:val="%1.%2.%3.%4.%5"/>
      <w:lvlJc w:val="left"/>
      <w:pPr>
        <w:tabs>
          <w:tab w:val="left" w:pos="2760"/>
        </w:tabs>
        <w:ind w:left="2760" w:hanging="1080"/>
      </w:pPr>
      <w:rPr>
        <w:rFonts w:hint="default" w:cs="Times New Roman"/>
      </w:rPr>
    </w:lvl>
    <w:lvl w:ilvl="5" w:tentative="0">
      <w:start w:val="1"/>
      <w:numFmt w:val="decimal"/>
      <w:lvlText w:val="%1.%2.%3.%4.%5.%6"/>
      <w:lvlJc w:val="left"/>
      <w:pPr>
        <w:tabs>
          <w:tab w:val="left" w:pos="3180"/>
        </w:tabs>
        <w:ind w:left="3180" w:hanging="1080"/>
      </w:pPr>
      <w:rPr>
        <w:rFonts w:hint="default" w:cs="Times New Roman"/>
      </w:rPr>
    </w:lvl>
    <w:lvl w:ilvl="6" w:tentative="0">
      <w:start w:val="1"/>
      <w:numFmt w:val="decimal"/>
      <w:lvlText w:val="%1.%2.%3.%4.%5.%6.%7"/>
      <w:lvlJc w:val="left"/>
      <w:pPr>
        <w:tabs>
          <w:tab w:val="left" w:pos="3600"/>
        </w:tabs>
        <w:ind w:left="3600" w:hanging="1080"/>
      </w:pPr>
      <w:rPr>
        <w:rFonts w:hint="default" w:cs="Times New Roman"/>
      </w:rPr>
    </w:lvl>
    <w:lvl w:ilvl="7" w:tentative="0">
      <w:start w:val="1"/>
      <w:numFmt w:val="decimal"/>
      <w:lvlText w:val="%1.%2.%3.%4.%5.%6.%7.%8"/>
      <w:lvlJc w:val="left"/>
      <w:pPr>
        <w:tabs>
          <w:tab w:val="left" w:pos="4380"/>
        </w:tabs>
        <w:ind w:left="4380" w:hanging="1440"/>
      </w:pPr>
      <w:rPr>
        <w:rFonts w:hint="default" w:cs="Times New Roman"/>
      </w:rPr>
    </w:lvl>
    <w:lvl w:ilvl="8" w:tentative="0">
      <w:start w:val="1"/>
      <w:numFmt w:val="decimal"/>
      <w:lvlText w:val="%1.%2.%3.%4.%5.%6.%7.%8.%9"/>
      <w:lvlJc w:val="left"/>
      <w:pPr>
        <w:tabs>
          <w:tab w:val="left" w:pos="4800"/>
        </w:tabs>
        <w:ind w:left="4800" w:hanging="1440"/>
      </w:pPr>
      <w:rPr>
        <w:rFonts w:hint="default"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E5DEF"/>
    <w:rsid w:val="200955C9"/>
    <w:rsid w:val="5CAB4116"/>
    <w:rsid w:val="735E5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index 5"/>
    <w:basedOn w:val="1"/>
    <w:next w:val="1"/>
    <w:semiHidden/>
    <w:qFormat/>
    <w:uiPriority w:val="99"/>
    <w:pPr>
      <w:ind w:left="1050" w:hanging="210"/>
      <w:jc w:val="left"/>
    </w:pPr>
    <w:rPr>
      <w:rFonts w:ascii="Times New Roman" w:hAnsi="Times New Roman"/>
      <w:sz w:val="20"/>
      <w:szCs w:val="20"/>
    </w:rPr>
  </w:style>
  <w:style w:type="paragraph" w:styleId="4">
    <w:name w:val="Body Text"/>
    <w:basedOn w:val="1"/>
    <w:next w:val="3"/>
    <w:unhideWhenUsed/>
    <w:qFormat/>
    <w:uiPriority w:val="0"/>
    <w:pPr>
      <w:spacing w:after="120"/>
    </w:pPr>
    <w:rPr>
      <w:rFonts w:ascii="Times New Roman" w:hAnsi="Times New Roman"/>
      <w:kern w:val="0"/>
      <w:sz w:val="20"/>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lang w:val="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宋体" w:hAnsi="宋体" w:eastAsia="宋体" w:cs="宋体"/>
      <w:sz w:val="21"/>
      <w:szCs w:val="21"/>
      <w:lang w:val="en-US" w:eastAsia="en-US" w:bidi="ar-SA"/>
    </w:rPr>
  </w:style>
  <w:style w:type="paragraph" w:customStyle="1" w:styleId="11">
    <w:name w:val="正文1"/>
    <w:basedOn w:val="1"/>
    <w:qFormat/>
    <w:uiPriority w:val="99"/>
    <w:pPr>
      <w:ind w:firstLine="357"/>
      <w:textAlignment w:val="baseline"/>
    </w:pPr>
    <w:rPr>
      <w:rFonts w:ascii="宋体" w:hAnsi="Times New Roman"/>
      <w:color w:val="000000"/>
      <w:spacing w:val="14"/>
      <w:szCs w:val="20"/>
    </w:rPr>
  </w:style>
  <w:style w:type="paragraph" w:customStyle="1" w:styleId="12">
    <w:name w:val="Table Paragraph"/>
    <w:basedOn w:val="1"/>
    <w:autoRedefine/>
    <w:qFormat/>
    <w:uiPriority w:val="1"/>
    <w:rPr>
      <w:rFonts w:ascii="Calibri" w:hAnsi="Calibri" w:eastAsia="宋体" w:cs="Times New Roman"/>
    </w:rPr>
  </w:style>
  <w:style w:type="paragraph" w:customStyle="1" w:styleId="13">
    <w:name w:val="监理公司样式3"/>
    <w:basedOn w:val="2"/>
    <w:autoRedefine/>
    <w:qFormat/>
    <w:uiPriority w:val="0"/>
    <w:pPr>
      <w:spacing w:before="260" w:after="260" w:line="415" w:lineRule="auto"/>
    </w:pPr>
  </w:style>
  <w:style w:type="paragraph" w:customStyle="1" w:styleId="14">
    <w:name w:val="正文文本 (18)1"/>
    <w:basedOn w:val="1"/>
    <w:unhideWhenUsed/>
    <w:qFormat/>
    <w:uiPriority w:val="99"/>
    <w:pPr>
      <w:shd w:val="clear" w:color="auto" w:fill="FFFFFF"/>
      <w:spacing w:before="60" w:beforeLines="0" w:after="300" w:afterLines="0" w:line="240" w:lineRule="atLeast"/>
      <w:jc w:val="both"/>
    </w:pPr>
    <w:rPr>
      <w:rFonts w:hint="eastAsia" w:ascii="黑体" w:hAnsi="黑体"/>
      <w:sz w:val="23"/>
      <w:lang w:val="en-US" w:eastAsia="zh-CN"/>
    </w:rPr>
  </w:style>
  <w:style w:type="character" w:customStyle="1" w:styleId="15">
    <w:name w:val="正文文本 + SimSun26"/>
    <w:basedOn w:val="16"/>
    <w:unhideWhenUsed/>
    <w:qFormat/>
    <w:uiPriority w:val="99"/>
    <w:rPr>
      <w:rFonts w:hint="default" w:ascii="宋体"/>
      <w:spacing w:val="20"/>
      <w:sz w:val="23"/>
      <w:lang w:val="en-US" w:eastAsia="en-US"/>
    </w:rPr>
  </w:style>
  <w:style w:type="character" w:customStyle="1" w:styleId="16">
    <w:name w:val="正文文本_"/>
    <w:basedOn w:val="8"/>
    <w:unhideWhenUsed/>
    <w:qFormat/>
    <w:locked/>
    <w:uiPriority w:val="99"/>
    <w:rPr>
      <w:rFonts w:hint="default" w:ascii="黑体"/>
      <w:sz w:val="24"/>
    </w:rPr>
  </w:style>
  <w:style w:type="character" w:customStyle="1" w:styleId="17">
    <w:name w:val="正文文本 + 间距 -1 pt1"/>
    <w:basedOn w:val="16"/>
    <w:unhideWhenUsed/>
    <w:qFormat/>
    <w:uiPriority w:val="99"/>
    <w:rPr>
      <w:rFonts w:hint="default"/>
      <w:spacing w:val="-3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22275</Words>
  <Characters>23338</Characters>
  <Lines>0</Lines>
  <Paragraphs>0</Paragraphs>
  <TotalTime>0</TotalTime>
  <ScaleCrop>false</ScaleCrop>
  <LinksUpToDate>false</LinksUpToDate>
  <CharactersWithSpaces>24614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2025-05-21T10:14:00Z</dcterms:created>
  <dc:creator>～果Fruit%Tiramisu</dc:creator>
  <cp:lastModifiedBy>～果Fruit%Tiramisu</cp:lastModifiedBy>
  <dcterms:modified xsi:type="dcterms:W3CDTF">2025-05-21T12:30:15Z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1499E3F9ACAA438A93AC52F49D6127D1_11</vt:lpwstr>
  </property>
  <property fmtid="{D5CDD505-2E9C-101B-9397-08002B2CF9AE}" pid="4" name="KSOTemplateDocerSaveRecord">
    <vt:lpwstr>eyJoZGlkIjoiZDNkN2Y0YjlmOGQ3YTdkYjkxM2MwODVhMzZkNWQ2MTQiLCJ1c2VySWQiOiIzMjM0OTg5NjAifQ==</vt:lpwstr>
  </property>
</Properties>
</file>