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版本号：YZZBCG-202500120250527001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高陵区马家村生产路及村内道路建设项目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YZZBCG-2025001</w:t>
      </w:r>
      <w:r>
        <w:br/>
      </w:r>
      <w:r>
        <w:br/>
      </w:r>
      <w:r>
        <w:br/>
      </w:r>
    </w:p>
    <w:p>
      <w:pPr>
        <w:pStyle w:val="null3"/>
        <w:jc w:val="center"/>
        <w:outlineLvl w:val="2"/>
      </w:pPr>
      <w:r>
        <w:rPr>
          <w:rFonts w:ascii="仿宋_GB2312" w:hAnsi="仿宋_GB2312" w:cs="仿宋_GB2312" w:eastAsia="仿宋_GB2312"/>
          <w:sz w:val="28"/>
          <w:b/>
        </w:rPr>
        <w:t>西安市高陵区农业农村和林业局</w:t>
      </w:r>
    </w:p>
    <w:p>
      <w:pPr>
        <w:pStyle w:val="null3"/>
        <w:jc w:val="center"/>
        <w:outlineLvl w:val="2"/>
      </w:pPr>
      <w:r>
        <w:rPr>
          <w:rFonts w:ascii="仿宋_GB2312" w:hAnsi="仿宋_GB2312" w:cs="仿宋_GB2312" w:eastAsia="仿宋_GB2312"/>
          <w:sz w:val="28"/>
          <w:b/>
        </w:rPr>
        <w:t>陕西誉泽工程咨询有限公司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陕西誉泽工程咨询有限公司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西安市高陵区农业农村和林业局</w:t>
      </w:r>
      <w:r>
        <w:rPr>
          <w:rFonts w:ascii="仿宋_GB2312" w:hAnsi="仿宋_GB2312" w:cs="仿宋_GB2312" w:eastAsia="仿宋_GB2312"/>
        </w:rPr>
        <w:t>委托，拟对</w:t>
      </w:r>
      <w:r>
        <w:rPr>
          <w:rFonts w:ascii="仿宋_GB2312" w:hAnsi="仿宋_GB2312" w:cs="仿宋_GB2312" w:eastAsia="仿宋_GB2312"/>
        </w:rPr>
        <w:t>高陵区马家村生产路及村内道路建设项目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YZZBCG-2025001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高陵区马家村生产路及村内道路建设项目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主要建设内容：修建道路共1025m。其中新修4.5m宽水泥道路399m，新修5m宽水泥道路626m，原有污水井盖配套34套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采购包1（高陵区马家村生产路及村内道路建设项目）：属于专门面向中小企业采购。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直接参加磋商的，须出具法定代表人身份证明、法定代表人身份证及近3个月的社保缴纳证明；法定代表人授权代表参加磋商的，须出具法定代表人授权书、授权代表身份证及近3个月的社保缴纳证明；</w:t>
      </w:r>
    </w:p>
    <w:p>
      <w:pPr>
        <w:pStyle w:val="null3"/>
      </w:pPr>
      <w:r>
        <w:rPr>
          <w:rFonts w:ascii="仿宋_GB2312" w:hAnsi="仿宋_GB2312" w:cs="仿宋_GB2312" w:eastAsia="仿宋_GB2312"/>
        </w:rPr>
        <w:t>3、企业资质：供应商应具备市政公用工程施工总承包叁级（含叁级）以上资质，具有建设行政主管部门颁发的安全生产许可证；</w:t>
      </w:r>
    </w:p>
    <w:p>
      <w:pPr>
        <w:pStyle w:val="null3"/>
      </w:pPr>
      <w:r>
        <w:rPr>
          <w:rFonts w:ascii="仿宋_GB2312" w:hAnsi="仿宋_GB2312" w:cs="仿宋_GB2312" w:eastAsia="仿宋_GB2312"/>
        </w:rPr>
        <w:t>4、项目经理要求：拟派项目经理须具有市政公用工程专业二级及以上注册建造师资质并具有安全生产考核合格证，在本单位注册且无在建工程（提供无在建承诺书）；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5、财务状况报告：供应商须提供2023年或2024年度经审计的财务报告或开标前六个月内其基本账户银行出具的资信证明或财政部门认可的政府采购专业担保机构出具的担保函；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6、依法缴纳税收的良好记录：提供截止至磋商时间前6个月任意1个月的缴费凭据或提供税务部门出具的纳税证明。依法免税的供应商提供相应文件证明其依法免税；</w:t>
      </w:r>
    </w:p>
    <w:p>
      <w:pPr>
        <w:pStyle w:val="null3"/>
      </w:pPr>
      <w:r>
        <w:rPr>
          <w:rFonts w:ascii="仿宋_GB2312" w:hAnsi="仿宋_GB2312" w:cs="仿宋_GB2312" w:eastAsia="仿宋_GB2312"/>
        </w:rPr>
        <w:t>7、社会保障资金缴纳证明：提供截止至磋商时间前6个月内任意1个月的缴费凭据或提供社保部门出具的社保证明；</w:t>
      </w:r>
    </w:p>
    <w:p>
      <w:pPr>
        <w:pStyle w:val="null3"/>
      </w:pPr>
      <w:r>
        <w:rPr>
          <w:rFonts w:ascii="仿宋_GB2312" w:hAnsi="仿宋_GB2312" w:cs="仿宋_GB2312" w:eastAsia="仿宋_GB2312"/>
        </w:rPr>
        <w:t>8、无重大违法记录声明：供应商参加采购活动近三年内经营活动中无重大违法记录声明；</w:t>
      </w:r>
    </w:p>
    <w:p>
      <w:pPr>
        <w:pStyle w:val="null3"/>
      </w:pPr>
      <w:r>
        <w:rPr>
          <w:rFonts w:ascii="仿宋_GB2312" w:hAnsi="仿宋_GB2312" w:cs="仿宋_GB2312" w:eastAsia="仿宋_GB2312"/>
        </w:rPr>
        <w:t>9、信用记录：不得为“信用中国”网站 (https://www.creditchina.gov.cn/)列入“失信被执行人或重大税收违法案件当事人名单或政府采购严重违法失信行为记录名单”的供应商;不得为中国政府采购网(http://www.ccgp.gov.cn/)“政府采购严重违法失信行为记录名单”中的供应商;(根据财库【2019】36号文规定，此项由代理机构在磋商响应載止日当天在“信用中国”网站和“中国政府采购网”网站进行查询，戴图留档;供应商仅须提供基本资格条件承诺函)；</w:t>
      </w:r>
    </w:p>
    <w:p>
      <w:pPr>
        <w:pStyle w:val="null3"/>
      </w:pPr>
      <w:r>
        <w:rPr>
          <w:rFonts w:ascii="仿宋_GB2312" w:hAnsi="仿宋_GB2312" w:cs="仿宋_GB2312" w:eastAsia="仿宋_GB2312"/>
        </w:rPr>
        <w:t>10、具有履行合同所必需的设备和专业技术能力的承诺：供应商须提供具有履行合同所必需的设备和专业技术能力的承诺；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11、本项目不接受联合体磋商：本项目不接受联合体磋商（提供书面声明材料）。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西安市高陵区东二环路与鹿鸣路十字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029-86922488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陕西誉泽工程咨询有限公司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陕西省咸阳市秦都区咸通北路8号（太平洋保险限公司）5楼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15667250012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采购包1：735,600.54元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西安市高陵区农业农村和林业局</w:t>
      </w:r>
      <w:r>
        <w:rPr>
          <w:rFonts w:ascii="仿宋_GB2312" w:hAnsi="仿宋_GB2312" w:cs="仿宋_GB2312" w:eastAsia="仿宋_GB2312"/>
        </w:rPr>
        <w:t>和</w:t>
      </w:r>
      <w:r>
        <w:rPr>
          <w:rFonts w:ascii="仿宋_GB2312" w:hAnsi="仿宋_GB2312" w:cs="仿宋_GB2312" w:eastAsia="仿宋_GB2312"/>
        </w:rPr>
        <w:t>陕西誉泽工程咨询有限公司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陕西誉泽工程咨询有限公司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陕西誉泽工程咨询有限公司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陕西誉泽工程咨询有限公司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陕西誉泽工程咨询有限公司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陕西誉泽工程咨询有限公司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联系电话：15667250012</w:t>
      </w:r>
    </w:p>
    <w:p>
      <w:pPr>
        <w:pStyle w:val="null3"/>
      </w:pPr>
      <w:r>
        <w:rPr>
          <w:rFonts w:ascii="仿宋_GB2312" w:hAnsi="仿宋_GB2312" w:cs="仿宋_GB2312" w:eastAsia="仿宋_GB2312"/>
        </w:rPr>
        <w:t>地址：陕西省咸阳市秦都区咸通北路8号（太平洋保险公司）5楼</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735,600.54</w:t>
      </w:r>
    </w:p>
    <w:p>
      <w:pPr>
        <w:pStyle w:val="null3"/>
      </w:pPr>
      <w:r>
        <w:rPr>
          <w:rFonts w:ascii="仿宋_GB2312" w:hAnsi="仿宋_GB2312" w:cs="仿宋_GB2312" w:eastAsia="仿宋_GB2312"/>
        </w:rPr>
        <w:t>采购包最高限价（元）: 735,600.54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735600.54</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735,600.54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标的名称：735600.54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项目位于高陵区鹿苑街道办马家村，主要建设内容：修建道路共1025m。其中新修4.5m宽水泥道路399m，新修5m宽水泥道路626m，原有污水井盖配套34套。</w:t>
            </w:r>
          </w:p>
          <w:p>
            <w:pPr>
              <w:pStyle w:val="null3"/>
              <w:jc w:val="left"/>
            </w:pPr>
            <w:r>
              <w:rPr>
                <w:rFonts w:ascii="仿宋_GB2312" w:hAnsi="仿宋_GB2312" w:cs="仿宋_GB2312" w:eastAsia="仿宋_GB2312"/>
                <w:sz w:val="24"/>
                <w:b/>
              </w:rPr>
              <w:t>二、工程内容:</w:t>
            </w:r>
          </w:p>
          <w:p>
            <w:pPr>
              <w:pStyle w:val="null3"/>
              <w:ind w:firstLine="480"/>
              <w:jc w:val="left"/>
            </w:pPr>
            <w:r>
              <w:rPr>
                <w:rFonts w:ascii="仿宋_GB2312" w:hAnsi="仿宋_GB2312" w:cs="仿宋_GB2312" w:eastAsia="仿宋_GB2312"/>
                <w:sz w:val="24"/>
              </w:rPr>
              <w:t>本项目建设内容:修建道路共1025m。其中新修4.5m宽水泥道路399m，新修5m宽水泥道路626m，原有污水井盖配套34套，具体内容详见竞争性磋商文件、工程量清单。</w:t>
            </w:r>
          </w:p>
          <w:p>
            <w:pPr>
              <w:pStyle w:val="null3"/>
              <w:jc w:val="left"/>
            </w:pPr>
            <w:r>
              <w:rPr>
                <w:rFonts w:ascii="仿宋_GB2312" w:hAnsi="仿宋_GB2312" w:cs="仿宋_GB2312" w:eastAsia="仿宋_GB2312"/>
                <w:sz w:val="24"/>
                <w:b/>
              </w:rPr>
              <w:t>三、施工地点:</w:t>
            </w:r>
          </w:p>
          <w:p>
            <w:pPr>
              <w:pStyle w:val="null3"/>
              <w:ind w:firstLine="480"/>
              <w:jc w:val="left"/>
            </w:pPr>
            <w:r>
              <w:rPr>
                <w:rFonts w:ascii="仿宋_GB2312" w:hAnsi="仿宋_GB2312" w:cs="仿宋_GB2312" w:eastAsia="仿宋_GB2312"/>
                <w:sz w:val="24"/>
              </w:rPr>
              <w:t>西安市高陵区鹿苑街道办马家村</w:t>
            </w:r>
          </w:p>
          <w:p>
            <w:pPr>
              <w:pStyle w:val="null3"/>
              <w:jc w:val="left"/>
            </w:pPr>
            <w:r>
              <w:rPr>
                <w:rFonts w:ascii="仿宋_GB2312" w:hAnsi="仿宋_GB2312" w:cs="仿宋_GB2312" w:eastAsia="仿宋_GB2312"/>
                <w:sz w:val="24"/>
                <w:b/>
              </w:rPr>
              <w:t>四、工程保修期:</w:t>
            </w:r>
          </w:p>
          <w:p>
            <w:pPr>
              <w:pStyle w:val="null3"/>
              <w:ind w:firstLine="480"/>
              <w:jc w:val="left"/>
            </w:pPr>
            <w:r>
              <w:rPr>
                <w:rFonts w:ascii="仿宋_GB2312" w:hAnsi="仿宋_GB2312" w:cs="仿宋_GB2312" w:eastAsia="仿宋_GB2312"/>
                <w:sz w:val="24"/>
              </w:rPr>
              <w:t>项目整体验收合格后1年。</w:t>
            </w:r>
          </w:p>
          <w:p>
            <w:pPr>
              <w:pStyle w:val="null3"/>
              <w:jc w:val="left"/>
            </w:pPr>
            <w:r>
              <w:rPr>
                <w:rFonts w:ascii="仿宋_GB2312" w:hAnsi="仿宋_GB2312" w:cs="仿宋_GB2312" w:eastAsia="仿宋_GB2312"/>
                <w:sz w:val="24"/>
                <w:b/>
              </w:rPr>
              <w:t>五、质量标准:</w:t>
            </w:r>
          </w:p>
          <w:p>
            <w:pPr>
              <w:pStyle w:val="null3"/>
              <w:ind w:firstLine="480"/>
              <w:jc w:val="left"/>
            </w:pPr>
            <w:r>
              <w:rPr>
                <w:rFonts w:ascii="仿宋_GB2312" w:hAnsi="仿宋_GB2312" w:cs="仿宋_GB2312" w:eastAsia="仿宋_GB2312"/>
                <w:sz w:val="24"/>
              </w:rPr>
              <w:t>合格。</w:t>
            </w:r>
          </w:p>
          <w:p>
            <w:pPr>
              <w:pStyle w:val="null3"/>
              <w:jc w:val="left"/>
            </w:pPr>
            <w:r>
              <w:rPr>
                <w:rFonts w:ascii="仿宋_GB2312" w:hAnsi="仿宋_GB2312" w:cs="仿宋_GB2312" w:eastAsia="仿宋_GB2312"/>
                <w:sz w:val="24"/>
                <w:b/>
              </w:rPr>
              <w:t>六、工期:</w:t>
            </w:r>
          </w:p>
          <w:p>
            <w:pPr>
              <w:pStyle w:val="null3"/>
              <w:ind w:firstLine="480"/>
              <w:jc w:val="left"/>
            </w:pPr>
            <w:r>
              <w:rPr>
                <w:rFonts w:ascii="仿宋_GB2312" w:hAnsi="仿宋_GB2312" w:cs="仿宋_GB2312" w:eastAsia="仿宋_GB2312"/>
                <w:sz w:val="24"/>
              </w:rPr>
              <w:t>自合同签订之日起45天。</w:t>
            </w:r>
          </w:p>
          <w:p>
            <w:pPr>
              <w:pStyle w:val="null3"/>
              <w:jc w:val="left"/>
            </w:pPr>
            <w:r>
              <w:rPr>
                <w:rFonts w:ascii="仿宋_GB2312" w:hAnsi="仿宋_GB2312" w:cs="仿宋_GB2312" w:eastAsia="仿宋_GB2312"/>
                <w:sz w:val="24"/>
                <w:b/>
              </w:rPr>
              <w:t>七、工程量清单编制说明:</w:t>
            </w:r>
          </w:p>
          <w:p>
            <w:pPr>
              <w:pStyle w:val="null3"/>
              <w:ind w:firstLine="480"/>
              <w:jc w:val="left"/>
            </w:pPr>
            <w:r>
              <w:rPr>
                <w:rFonts w:ascii="仿宋_GB2312" w:hAnsi="仿宋_GB2312" w:cs="仿宋_GB2312" w:eastAsia="仿宋_GB2312"/>
                <w:sz w:val="24"/>
              </w:rPr>
              <w:t>（1）依据《陕西省建设工程造价管理办法》(陕西省人民政府令第 133 号)、《陕西省建设工程工程量清单计价规则(2009))(简称《09 规则》)；</w:t>
            </w:r>
          </w:p>
          <w:p>
            <w:pPr>
              <w:pStyle w:val="null3"/>
              <w:ind w:firstLine="480"/>
              <w:jc w:val="left"/>
            </w:pPr>
            <w:r>
              <w:rPr>
                <w:rFonts w:ascii="仿宋_GB2312" w:hAnsi="仿宋_GB2312" w:cs="仿宋_GB2312" w:eastAsia="仿宋_GB2312"/>
                <w:sz w:val="24"/>
              </w:rPr>
              <w:t>（2）2004 年《陕西省建筑装饰工程消耗量定额》、2004 年《陕西省安装工程消耗量定额》；2009年《陕西省建筑装饰工程消耗量定额》、2009年《陕西省安装工程消耗量定额》；2009年《陕西省市政工程消耗量定额》；</w:t>
            </w:r>
          </w:p>
          <w:p>
            <w:pPr>
              <w:pStyle w:val="null3"/>
              <w:ind w:firstLine="480"/>
              <w:jc w:val="left"/>
            </w:pPr>
            <w:r>
              <w:rPr>
                <w:rFonts w:ascii="仿宋_GB2312" w:hAnsi="仿宋_GB2312" w:cs="仿宋_GB2312" w:eastAsia="仿宋_GB2312"/>
                <w:sz w:val="24"/>
              </w:rPr>
              <w:t>（3）陕西省建筑装饰工程价目表（2009）、陕西省安装工程价目表（2009）、陕西省市政工程价目表（2009）；</w:t>
            </w:r>
          </w:p>
          <w:p>
            <w:pPr>
              <w:pStyle w:val="null3"/>
              <w:ind w:firstLine="480"/>
              <w:jc w:val="left"/>
            </w:pPr>
            <w:r>
              <w:rPr>
                <w:rFonts w:ascii="仿宋_GB2312" w:hAnsi="仿宋_GB2312" w:cs="仿宋_GB2312" w:eastAsia="仿宋_GB2312"/>
                <w:sz w:val="24"/>
              </w:rPr>
              <w:t>（4）陕西省建设工程工程量清单计价费率（2009）；</w:t>
            </w:r>
          </w:p>
          <w:p>
            <w:pPr>
              <w:pStyle w:val="null3"/>
              <w:ind w:firstLine="480"/>
              <w:jc w:val="left"/>
            </w:pPr>
            <w:r>
              <w:rPr>
                <w:rFonts w:ascii="仿宋_GB2312" w:hAnsi="仿宋_GB2312" w:cs="仿宋_GB2312" w:eastAsia="仿宋_GB2312"/>
                <w:sz w:val="24"/>
              </w:rPr>
              <w:t>（5）施工图设计中采用的相关规范、标准、技术资料</w:t>
            </w:r>
          </w:p>
          <w:p>
            <w:pPr>
              <w:pStyle w:val="null3"/>
              <w:ind w:firstLine="480"/>
              <w:jc w:val="left"/>
            </w:pPr>
            <w:r>
              <w:rPr>
                <w:rFonts w:ascii="仿宋_GB2312" w:hAnsi="仿宋_GB2312" w:cs="仿宋_GB2312" w:eastAsia="仿宋_GB2312"/>
                <w:sz w:val="24"/>
              </w:rPr>
              <w:t>（6）陕西省住建厅“关于发布我省落实建筑工人实名制管理计价依据的通知”（陕建发〔2019〕1246 号文）；</w:t>
            </w:r>
          </w:p>
          <w:p>
            <w:pPr>
              <w:pStyle w:val="null3"/>
              <w:ind w:firstLine="480"/>
              <w:jc w:val="left"/>
            </w:pPr>
            <w:r>
              <w:rPr>
                <w:rFonts w:ascii="仿宋_GB2312" w:hAnsi="仿宋_GB2312" w:cs="仿宋_GB2312" w:eastAsia="仿宋_GB2312"/>
                <w:sz w:val="24"/>
              </w:rPr>
              <w:t>（7）陕西省住建厅“关于调整我省建设工程计价依据的通知”（陕建发］2019）45 号文）；</w:t>
            </w:r>
          </w:p>
          <w:p>
            <w:pPr>
              <w:pStyle w:val="null3"/>
              <w:ind w:firstLine="480"/>
              <w:jc w:val="left"/>
            </w:pPr>
            <w:r>
              <w:rPr>
                <w:rFonts w:ascii="仿宋_GB2312" w:hAnsi="仿宋_GB2312" w:cs="仿宋_GB2312" w:eastAsia="仿宋_GB2312"/>
                <w:sz w:val="24"/>
              </w:rPr>
              <w:t>（8）陕西省住建厅“关于调整房屋建筑和市政基础设施工程工程量清单计价综合人工单价的通知”（陕建发〔2021〕1097号文）；</w:t>
            </w:r>
          </w:p>
          <w:p>
            <w:pPr>
              <w:pStyle w:val="null3"/>
              <w:ind w:firstLine="480"/>
              <w:jc w:val="left"/>
            </w:pPr>
            <w:r>
              <w:rPr>
                <w:rFonts w:ascii="仿宋_GB2312" w:hAnsi="仿宋_GB2312" w:cs="仿宋_GB2312" w:eastAsia="仿宋_GB2312"/>
                <w:sz w:val="24"/>
              </w:rPr>
              <w:t>（9）陕西省住建厅“关于建筑施工安全生产责任保险费用计价的通知”（陕建发〔2020〕1097 号文）；</w:t>
            </w:r>
          </w:p>
          <w:p>
            <w:pPr>
              <w:pStyle w:val="null3"/>
              <w:ind w:firstLine="480"/>
              <w:jc w:val="left"/>
            </w:pPr>
            <w:r>
              <w:rPr>
                <w:rFonts w:ascii="仿宋_GB2312" w:hAnsi="仿宋_GB2312" w:cs="仿宋_GB2312" w:eastAsia="仿宋_GB2312"/>
                <w:sz w:val="24"/>
              </w:rPr>
              <w:t>（10）陕西省住建厅“关于全省统一停止收缴建筑业劳保费用的通知”（陕建发〔2021〕1021 号文）；</w:t>
            </w:r>
          </w:p>
          <w:p>
            <w:pPr>
              <w:pStyle w:val="null3"/>
              <w:ind w:firstLine="480"/>
              <w:jc w:val="left"/>
            </w:pPr>
            <w:r>
              <w:rPr>
                <w:rFonts w:ascii="仿宋_GB2312" w:hAnsi="仿宋_GB2312" w:cs="仿宋_GB2312" w:eastAsia="仿宋_GB2312"/>
                <w:sz w:val="24"/>
              </w:rPr>
              <w:t>（11）扬尘污染治理费执行陕建发（2017）270号文件《关于增加建设工程扬尘治理专项措施费及综合人工单价调整的通知》</w:t>
            </w:r>
          </w:p>
          <w:p>
            <w:pPr>
              <w:pStyle w:val="null3"/>
              <w:jc w:val="left"/>
            </w:pPr>
            <w:r>
              <w:rPr>
                <w:rFonts w:ascii="仿宋_GB2312" w:hAnsi="仿宋_GB2312" w:cs="仿宋_GB2312" w:eastAsia="仿宋_GB2312"/>
                <w:sz w:val="24"/>
              </w:rPr>
              <w:t xml:space="preserve">  （12）计价软件采用广联达GCCP6.0 （版本号：6.4100.23.122）</w:t>
            </w:r>
          </w:p>
          <w:p>
            <w:pPr>
              <w:pStyle w:val="null3"/>
              <w:jc w:val="left"/>
            </w:pPr>
            <w:r>
              <w:rPr>
                <w:rFonts w:ascii="仿宋_GB2312" w:hAnsi="仿宋_GB2312" w:cs="仿宋_GB2312" w:eastAsia="仿宋_GB2312"/>
                <w:sz w:val="24"/>
                <w:b/>
              </w:rPr>
              <w:t>八、工程量清单：</w:t>
            </w:r>
          </w:p>
          <w:p>
            <w:pPr>
              <w:pStyle w:val="null3"/>
              <w:ind w:firstLine="480"/>
              <w:jc w:val="left"/>
            </w:pPr>
            <w:r>
              <w:rPr>
                <w:rFonts w:ascii="仿宋_GB2312" w:hAnsi="仿宋_GB2312" w:cs="仿宋_GB2312" w:eastAsia="仿宋_GB2312"/>
                <w:sz w:val="24"/>
              </w:rPr>
              <w:t>详见采购文件</w:t>
            </w:r>
          </w:p>
          <w:p>
            <w:pPr>
              <w:pStyle w:val="null3"/>
              <w:jc w:val="left"/>
            </w:pPr>
            <w:r>
              <w:rPr>
                <w:rFonts w:ascii="仿宋_GB2312" w:hAnsi="仿宋_GB2312" w:cs="仿宋_GB2312" w:eastAsia="仿宋_GB2312"/>
                <w:sz w:val="24"/>
                <w:b/>
              </w:rPr>
              <w:t>九、其他</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、施工顺序由施工单位确定，施工过程中及时清理建筑垃圾。</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、严格执行国家现行规范、标准，严格按照设计要求组织施工。</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、明确职责，严格岗位责任，齐心协力做好工作。确保工程按计划进行。</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供应商认为需要提供的其它资料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或2024年度经审计的财务报告或开标前六个月内其基本账户银行出具的资信证明或财政部门认可的政府采购专业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供应商认为需要提供的其它资料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法定代表人直接参加磋商的，须出具法定代表人身份证明、法定代表人身份证及近3个月的社保缴纳证明；法定代表人授权代表参加磋商的，须出具法定代表人授权书、授权代表身份证及近3个月的社保缴纳证明；</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供应商应具备市政公用工程施工总承包叁级（含叁级）以上资质，具有建设行政主管部门颁发的安全生产许可证；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项目管理机构组成表 标的清单 供应商应提交的相关资格证明材料 供应商认为需要提供的其它资料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依法缴纳税收的良好记录</w:t>
            </w:r>
          </w:p>
        </w:tc>
        <w:tc>
          <w:tcPr>
            <w:tcW w:type="dxa" w:w="3322"/>
          </w:tcPr>
          <w:p>
            <w:pPr>
              <w:pStyle w:val="null3"/>
            </w:pPr>
            <w:r>
              <w:rPr>
                <w:rFonts w:ascii="仿宋_GB2312" w:hAnsi="仿宋_GB2312" w:cs="仿宋_GB2312" w:eastAsia="仿宋_GB2312"/>
              </w:rPr>
              <w:t>提供截止至磋商时间前6个月任意1个月的缴费凭据或提供税务部门出具的纳税证明。依法免税的供应商提供相应文件证明其依法免税；</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提供截止至磋商时间前6个月内任意1个月的缴费凭据或提供社保部门出具的社保证明；</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 (https://www.creditchina.gov.cn/)列入“失信被执行人或重大税收违法案件当事人名单或政府采购严重违法失信行为记录名单”的供应商;不得为中国政府采购网(http://www.ccgp.gov.cn/)“政府采购严重违法失信行为记录名单”中的供应商;(根据财库【2019】36号文规定，此项由代理机构在磋商响应載止日当天在“信用中国”网站和“中国政府采购网”网站进行查询，戴图留档;供应商仅须提供基本资格条件承诺函)；</w:t>
            </w:r>
          </w:p>
        </w:tc>
        <w:tc>
          <w:tcPr>
            <w:tcW w:type="dxa" w:w="1661"/>
          </w:tcPr>
          <w:p>
            <w:pPr>
              <w:pStyle w:val="null3"/>
            </w:pPr>
            <w:r>
              <w:rPr>
                <w:rFonts w:ascii="仿宋_GB2312" w:hAnsi="仿宋_GB2312" w:cs="仿宋_GB2312" w:eastAsia="仿宋_GB2312"/>
              </w:rPr>
              <w:t>供应商应提交的相关资格证明材料 供应商认为需要提供的其它资料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 供应商认为需要提供的其它资料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（2）磋商报价一览表填写符合要求； （3）计量单位、报价货币均符合磋商文件要求； （4）未超过采购预算或磋商文件规定的最高限价。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技术响应方案 报价函 标的清单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技术响应方案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响应文件的响应程度</w:t>
            </w:r>
          </w:p>
        </w:tc>
        <w:tc>
          <w:tcPr>
            <w:tcW w:type="dxa" w:w="3322"/>
          </w:tcPr>
          <w:p>
            <w:pPr>
              <w:pStyle w:val="null3"/>
            </w:pPr>
            <w:r>
              <w:rPr>
                <w:rFonts w:ascii="仿宋_GB2312" w:hAnsi="仿宋_GB2312" w:cs="仿宋_GB2312" w:eastAsia="仿宋_GB2312"/>
              </w:rPr>
              <w:t>要求实质性条款全部响应，不能有采购人不能接收的附加条件。</w:t>
            </w:r>
          </w:p>
        </w:tc>
        <w:tc>
          <w:tcPr>
            <w:tcW w:type="dxa" w:w="1661"/>
          </w:tcPr>
          <w:p>
            <w:pPr>
              <w:pStyle w:val="null3"/>
            </w:pPr>
            <w:r>
              <w:rPr>
                <w:rFonts w:ascii="仿宋_GB2312" w:hAnsi="仿宋_GB2312" w:cs="仿宋_GB2312" w:eastAsia="仿宋_GB2312"/>
              </w:rPr>
              <w:t>已标价工程量清单 技术响应方案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针对本项目提出合理可行的总体实施方案。 方案全面、合理、规范，可操作性强得12分； 方案比较合理和规范，有一定的可操作性得 9分； 方案比较合理，有可操作性得6分； 方案基本合理，可操作性不强得2分； 方案简单，可操作性差得1 分； 无内容不得分。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确保工程质量技术措施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措施内容全面、具体、科学，可行性强，得12分； 措施内容相对全面、具体、科学，可行性相对较强，得9分； 措施内容基本全面、具体，有一定的可行性，得 6分； 措施内容不够全面、具体，可行性相对较弱，得 4 分； 措施内容不全面、具体，可行性较差，得 2 分； 措施内容笼统，可行性有待考究的，得 1 分； 无内容不得分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确保安全施工技术措施</w:t>
            </w:r>
          </w:p>
        </w:tc>
        <w:tc>
          <w:tcPr>
            <w:tcW w:type="dxa" w:w="2492"/>
          </w:tcPr>
          <w:p>
            <w:pPr>
              <w:pStyle w:val="null3"/>
            </w:pPr>
            <w:r>
              <w:rPr>
                <w:rFonts w:ascii="仿宋_GB2312" w:hAnsi="仿宋_GB2312" w:cs="仿宋_GB2312" w:eastAsia="仿宋_GB2312"/>
              </w:rPr>
              <w:t>针对本项目的特点编制具体、可行的安全保证措施。 措施内容全面、具体、科学，可行性强，得12分；措施内容相对全面、具体、科学，可行性相对较强，得 9分； 措施内容基本全面、具体，有一定的可行性，得 6 分； 措施内容不够全面、具体，可行性相对较弱，得 4 分； 措施内容不全面、具体，可行性较差，得 2分； 措施内容笼统，可行性有待考究的，得 1 分； 无内容不得分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确保文明施工保证措施</w:t>
            </w:r>
          </w:p>
        </w:tc>
        <w:tc>
          <w:tcPr>
            <w:tcW w:type="dxa" w:w="2492"/>
          </w:tcPr>
          <w:p>
            <w:pPr>
              <w:pStyle w:val="null3"/>
            </w:pPr>
            <w:r>
              <w:rPr>
                <w:rFonts w:ascii="仿宋_GB2312" w:hAnsi="仿宋_GB2312" w:cs="仿宋_GB2312" w:eastAsia="仿宋_GB2312"/>
              </w:rPr>
              <w:t>针对本项目的特点编制具体、可行的文明施工措施。 措施内容全面、具体、科学，可行性强，得10分；措施内容相对全面、具体、科学，可行性相对较强，得 8 分； 措施内容基本全面、具体，有一定的可行性，得 6 分； 措施内容不够全面、具体，可行性相对较弱，得 4分； 措施内容不全面、具体，可行性较差，得 2 分； 措施内容笼统，可行性有待考究的，得 1 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1、项目负责人具有相关专业高级技术职称得2分，中级技术职称得1分。 2、项目组织管理机构人员配置合理，齐全得8分；供应商必须提供相关人员证书证明文件并加盖公章及社保，不提供不得分。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确保施工工期保证措施</w:t>
            </w:r>
          </w:p>
        </w:tc>
        <w:tc>
          <w:tcPr>
            <w:tcW w:type="dxa" w:w="2492"/>
          </w:tcPr>
          <w:p>
            <w:pPr>
              <w:pStyle w:val="null3"/>
            </w:pPr>
            <w:r>
              <w:rPr>
                <w:rFonts w:ascii="仿宋_GB2312" w:hAnsi="仿宋_GB2312" w:cs="仿宋_GB2312" w:eastAsia="仿宋_GB2312"/>
              </w:rPr>
              <w:t>针对本项目的特点编制具体、可行的施工进度计划及工期保证措施。 措施内容全面、具体、科学，可行性强，得10分；措施内容相对全面、具体、科学，可行性相对较强，得 8 分； 措施内容基本全面、具体，有一定的可行性，得 6 分； 措施内容不够全面、具体，可行性相对较弱，得 4分； 措施内容不全面、具体，可行性较差，得 2 分； 措施内容笼统，可行性有待考究的，得 1 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拟投入本项目主要施工机具、设备及劳动力配备情况</w:t>
            </w:r>
          </w:p>
        </w:tc>
        <w:tc>
          <w:tcPr>
            <w:tcW w:type="dxa" w:w="2492"/>
          </w:tcPr>
          <w:p>
            <w:pPr>
              <w:pStyle w:val="null3"/>
            </w:pPr>
            <w:r>
              <w:rPr>
                <w:rFonts w:ascii="仿宋_GB2312" w:hAnsi="仿宋_GB2312" w:cs="仿宋_GB2312" w:eastAsia="仿宋_GB2312"/>
              </w:rPr>
              <w:t>针对本项目拟投入的主要施工机具、设备及劳动力配备情况 配备施工机具、设备、劳动力合理科学、完全满足项目实际需求得10分； 配备施工机具、设备、劳动力相对合理科学，可以满足项目实际需求得6分； 配备施工机具、设备、劳动力基本合理科学，满足项目实际需求得3分； 配备施工机具、设备、劳动力较为简单，不能满足项目实际需求得1分； 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提供近三年（2022年05月至今）类似项目业绩，每提供一个类似项目业绩计2分，满分4分（以施工合同为准，时间以合同签订时间为准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1.满足磋商文件实质性要求且最终报价最低的供应商的价格为评标基准价，得20分。 2.磋商报价得分=（评标基准价/最终磋商报价）×20的公式计算得分。 3.磋商报价不完整的，不进入评标标准价的计算，本项得0分。 4.经磋商小组一致认定，供应商的磋商最终总报价低于公认市场成本，或超过采购预算,其响应将被拒绝。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详见附件：供应商认为需要提供的其它资料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