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版本号：ZXGJ-2025-02420250527001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高陵区高家村生产路及村内道路建设项目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ZXGJ-2025-024</w:t>
      </w:r>
      <w:r>
        <w:br/>
      </w:r>
      <w:r>
        <w:br/>
      </w:r>
      <w:r>
        <w:br/>
      </w:r>
    </w:p>
    <w:p>
      <w:pPr>
        <w:pStyle w:val="null3"/>
        <w:jc w:val="center"/>
        <w:outlineLvl w:val="2"/>
      </w:pPr>
      <w:r>
        <w:rPr>
          <w:rFonts w:ascii="仿宋_GB2312" w:hAnsi="仿宋_GB2312" w:cs="仿宋_GB2312" w:eastAsia="仿宋_GB2312"/>
          <w:sz w:val="28"/>
          <w:b/>
        </w:rPr>
        <w:t>西安市高陵区农业农村和林业局</w:t>
      </w:r>
    </w:p>
    <w:p>
      <w:pPr>
        <w:pStyle w:val="null3"/>
        <w:jc w:val="center"/>
        <w:outlineLvl w:val="2"/>
      </w:pPr>
      <w:r>
        <w:rPr>
          <w:rFonts w:ascii="仿宋_GB2312" w:hAnsi="仿宋_GB2312" w:cs="仿宋_GB2312" w:eastAsia="仿宋_GB2312"/>
          <w:sz w:val="28"/>
          <w:b/>
        </w:rPr>
        <w:t>中昕国际项目管理有限公司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中昕国际项目管理有限公司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西安市高陵区农业农村和林业局</w:t>
      </w:r>
      <w:r>
        <w:rPr>
          <w:rFonts w:ascii="仿宋_GB2312" w:hAnsi="仿宋_GB2312" w:cs="仿宋_GB2312" w:eastAsia="仿宋_GB2312"/>
        </w:rPr>
        <w:t>委托，拟对</w:t>
      </w:r>
      <w:r>
        <w:rPr>
          <w:rFonts w:ascii="仿宋_GB2312" w:hAnsi="仿宋_GB2312" w:cs="仿宋_GB2312" w:eastAsia="仿宋_GB2312"/>
        </w:rPr>
        <w:t>高陵区高家村生产路及村内道路建设项目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ZXGJ-2025-024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高陵区高家村生产路及村内道路建设项目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项目位于高陵区鹿苑街道办高家村，主要建设内容：修建道路总长为 933m，其中3m宽水泥道路299m；4.5m宽水泥道路87m，更换预制混凝土雨水箅子7套，配套混凝土道牙174m；5m宽水泥道路444m，更换预制混凝土雨水箅子16套，配套混凝土道牙626m；8.2m宽水泥道路103m，更换预制混凝土雨水箅子4套，配套混凝土道牙206m。具体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采购包1（高陵区高家村生产路及村内道路建设项目）：属于专门面向中小企业采购。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在中华人民共和国境内注册，并有效存续的营业执照/事业单位法人证书/非企业专业服务机构执业许可证/民办非企业单位登记证书、税务登记证、组织机构代码证，或“三证合一”后的注册登记证。</w:t>
      </w:r>
    </w:p>
    <w:p>
      <w:pPr>
        <w:pStyle w:val="null3"/>
      </w:pPr>
      <w:r>
        <w:rPr>
          <w:rFonts w:ascii="仿宋_GB2312" w:hAnsi="仿宋_GB2312" w:cs="仿宋_GB2312" w:eastAsia="仿宋_GB2312"/>
        </w:rPr>
        <w:t>2、财务状况报告：供应商具有经审计的2022年或2023年财务审计报告（成立时间至开标时间不足一年的应具有成立后任意时段的资产负债表）或具有基本存款账户信息及磋商截止日期前三个月内其基本存款账户开户银行出具的资信证明。 以上资料响应阶段只须提供基本资格条件承诺函。</w:t>
      </w:r>
    </w:p>
    <w:p>
      <w:pPr>
        <w:pStyle w:val="null3"/>
      </w:pPr>
      <w:r>
        <w:rPr>
          <w:rFonts w:ascii="仿宋_GB2312" w:hAnsi="仿宋_GB2312" w:cs="仿宋_GB2312" w:eastAsia="仿宋_GB2312"/>
        </w:rPr>
        <w:t>3、税收缴纳证明：供应商应具有开标截止日前6个月内任意一个月（响应截止时间当月不计入）的纳税证明或完税证明，依法免税的单位应具有相关证明材料。 以上资料响应阶段只须提供基本资格条件承诺函。</w:t>
      </w:r>
    </w:p>
    <w:p>
      <w:pPr>
        <w:pStyle w:val="null3"/>
      </w:pPr>
      <w:r>
        <w:rPr>
          <w:rFonts w:ascii="仿宋_GB2312" w:hAnsi="仿宋_GB2312" w:cs="仿宋_GB2312" w:eastAsia="仿宋_GB2312"/>
        </w:rPr>
        <w:t>4、社会保障资金缴纳证明：供应商应具有开标截止日前6个月内任意一个月（响应截止时间当月不计入）的社会保障资金缴存单据或社保机构开具的社会保险参保缴费情况证明，依法不需要缴纳社会保障资金的单位应提供相关证明材料。 以上资料响应阶段只须提供基本资格条件承诺函。</w:t>
      </w:r>
    </w:p>
    <w:p>
      <w:pPr>
        <w:pStyle w:val="null3"/>
      </w:pPr>
      <w:r>
        <w:rPr>
          <w:rFonts w:ascii="仿宋_GB2312" w:hAnsi="仿宋_GB2312" w:cs="仿宋_GB2312" w:eastAsia="仿宋_GB2312"/>
        </w:rPr>
        <w:t>5、履行合同所必须的设备和专业技术能力：供应商应具有履行合同所必须的设备和专业技术能力。 以上资料响应阶段只须提供基本资格条件承诺函。</w:t>
      </w:r>
    </w:p>
    <w:p>
      <w:pPr>
        <w:pStyle w:val="null3"/>
      </w:pPr>
      <w:r>
        <w:rPr>
          <w:rFonts w:ascii="仿宋_GB2312" w:hAnsi="仿宋_GB2312" w:cs="仿宋_GB2312" w:eastAsia="仿宋_GB2312"/>
        </w:rPr>
        <w:t>6、无重大违法记录声明：供应商参加采购活动近三年内经营活动中无重大违法记录。 以上资料响应阶段只须提供基本资格条件承诺函。</w:t>
      </w:r>
    </w:p>
    <w:p>
      <w:pPr>
        <w:pStyle w:val="null3"/>
      </w:pPr>
      <w:r>
        <w:rPr>
          <w:rFonts w:ascii="仿宋_GB2312" w:hAnsi="仿宋_GB2312" w:cs="仿宋_GB2312" w:eastAsia="仿宋_GB2312"/>
        </w:rPr>
        <w:t>7、失信行为记录：供应商不得为“信用中国”网站(http：//www.creditchina.gov.cn)列入“失信被执行人或重大税收违法案件当事人名单或政府采购严重违法失信行为记录名单”的供应商；不得为中国政府采购网(http：//www.ccgp.gov.cn)“政府采购严重违法失信行为记录名单”中的供应商； 以上资料响应阶段只须提供基本资格条件承诺函。</w:t>
      </w:r>
    </w:p>
    <w:p>
      <w:pPr>
        <w:pStyle w:val="null3"/>
      </w:pPr>
      <w:r>
        <w:rPr>
          <w:rFonts w:ascii="仿宋_GB2312" w:hAnsi="仿宋_GB2312" w:cs="仿宋_GB2312" w:eastAsia="仿宋_GB2312"/>
        </w:rPr>
        <w:t>8、法定代表人授权书：供应商应授权合法的人员参加磋商全过程，其中法定代表人直接参加磋商的，须出具法定代表人身份证，并与营业执照上信息一致。法定代表人授权代表参加磋商的，须同时出具法定代表人授权书、授权代表身份证及其近三个月内的本单位社保缴纳证明；</w:t>
      </w:r>
    </w:p>
    <w:p>
      <w:pPr>
        <w:pStyle w:val="null3"/>
      </w:pPr>
      <w:r>
        <w:rPr>
          <w:rFonts w:ascii="仿宋_GB2312" w:hAnsi="仿宋_GB2312" w:cs="仿宋_GB2312" w:eastAsia="仿宋_GB2312"/>
        </w:rPr>
        <w:t>9、资质证书：供应商须具备行业主管部门颁发的市政公用工程施工总承包三级及以上资质并具有有效的安全生产许可证。</w:t>
      </w:r>
    </w:p>
    <w:p>
      <w:pPr>
        <w:pStyle w:val="null3"/>
      </w:pPr>
      <w:r>
        <w:rPr>
          <w:rFonts w:ascii="仿宋_GB2312" w:hAnsi="仿宋_GB2312" w:cs="仿宋_GB2312" w:eastAsia="仿宋_GB2312"/>
        </w:rPr>
        <w:t>10、拟派项目经理资质：拟派项目经理具有市政公用工程专业二级以上（含二级）注册建造师资格，并具有安全生产考核合格证书及未担任其它在建设项目的项目经理（提供无在建项目承诺书）。</w:t>
      </w:r>
    </w:p>
    <w:p>
      <w:pPr>
        <w:pStyle w:val="null3"/>
      </w:pPr>
      <w:r>
        <w:rPr>
          <w:rFonts w:ascii="仿宋_GB2312" w:hAnsi="仿宋_GB2312" w:cs="仿宋_GB2312" w:eastAsia="仿宋_GB2312"/>
        </w:rPr>
        <w:t>11、本项目不接受联合体磋商：提供非联合体声明函。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西安市高陵区农业农村和林业局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西安市高陵区东二环路与鹿鸣路十字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乔女士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029-86922488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中昕国际项目管理有限公司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西安市经济技术开发区凤城十二路首创禧悦里25幢A座16层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029-81317379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采购包1：740,056.61元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在领取成交通知书前，须向采购代理机构一次性支付代理服务费。2、招标代理服务费：以成交金额为基数，参照国家计委颁发的《招标代理服务收费管理暂行办法》（计价格[2002]1980号）和国家发展改革委员会办公厅颁发的《关于招标代理服务收费有关问题的通知》（发改办价格[2003]857号）的有关规定执行。3、代理服务费缴纳账户：开户名称：中昕国际项目管理有限公司，开户银行：中国建设银行股份有限公司西安文景路支行，账户：6105 0178 1500 0000 0278。</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西安市高陵区农业农村和林业局</w:t>
      </w:r>
      <w:r>
        <w:rPr>
          <w:rFonts w:ascii="仿宋_GB2312" w:hAnsi="仿宋_GB2312" w:cs="仿宋_GB2312" w:eastAsia="仿宋_GB2312"/>
        </w:rPr>
        <w:t>和</w:t>
      </w:r>
      <w:r>
        <w:rPr>
          <w:rFonts w:ascii="仿宋_GB2312" w:hAnsi="仿宋_GB2312" w:cs="仿宋_GB2312" w:eastAsia="仿宋_GB2312"/>
        </w:rPr>
        <w:t>中昕国际项目管理有限公司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西安市高陵区农业农村和林业局</w:t>
      </w:r>
      <w:r>
        <w:rPr>
          <w:rFonts w:ascii="仿宋_GB2312" w:hAnsi="仿宋_GB2312" w:cs="仿宋_GB2312" w:eastAsia="仿宋_GB2312"/>
        </w:rPr>
        <w:t>负责解释。除上述磋商文件内容，其他内容由</w:t>
      </w:r>
      <w:r>
        <w:rPr>
          <w:rFonts w:ascii="仿宋_GB2312" w:hAnsi="仿宋_GB2312" w:cs="仿宋_GB2312" w:eastAsia="仿宋_GB2312"/>
        </w:rPr>
        <w:t>中昕国际项目管理有限公司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西安市高陵区农业农村和林业局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中昕国际项目管理有限公司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采购人按国家有关规定以及磋商文件的要求、供应商的响应文件及承诺与本项目合同约定标准进行验收。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联系人：王超</w:t>
      </w:r>
    </w:p>
    <w:p>
      <w:pPr>
        <w:pStyle w:val="null3"/>
      </w:pPr>
      <w:r>
        <w:rPr>
          <w:rFonts w:ascii="仿宋_GB2312" w:hAnsi="仿宋_GB2312" w:cs="仿宋_GB2312" w:eastAsia="仿宋_GB2312"/>
        </w:rPr>
        <w:t>联系电话：029-81317379</w:t>
      </w:r>
    </w:p>
    <w:p>
      <w:pPr>
        <w:pStyle w:val="null3"/>
      </w:pPr>
      <w:r>
        <w:rPr>
          <w:rFonts w:ascii="仿宋_GB2312" w:hAnsi="仿宋_GB2312" w:cs="仿宋_GB2312" w:eastAsia="仿宋_GB2312"/>
        </w:rPr>
        <w:t>地址：西安市经济技术开发区凤城十二路首创禧悦里25幢A座16层</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740,056.61</w:t>
      </w:r>
    </w:p>
    <w:p>
      <w:pPr>
        <w:pStyle w:val="null3"/>
      </w:pPr>
      <w:r>
        <w:rPr>
          <w:rFonts w:ascii="仿宋_GB2312" w:hAnsi="仿宋_GB2312" w:cs="仿宋_GB2312" w:eastAsia="仿宋_GB2312"/>
        </w:rPr>
        <w:t>采购包最高限价（元）: 740,056.61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740056.61</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740,056.61</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标的名称：740056.61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一）工程内容：修建道路总长为933m。其中3m宽水泥道路299m；4.5m宽水泥道路87m，更换预制混凝土雨水箅子7套，配套混凝土道牙174m；5m宽水泥道路444m，更换预制混凝土雨水箅子16套，配套混凝土道牙626m；8.2m宽水泥道路103m，更换预制混凝土雨水箅子4套，配套混凝土道牙206m。</w:t>
            </w:r>
          </w:p>
          <w:p>
            <w:pPr>
              <w:pStyle w:val="null3"/>
            </w:pPr>
            <w:r>
              <w:rPr>
                <w:rFonts w:ascii="仿宋_GB2312" w:hAnsi="仿宋_GB2312" w:cs="仿宋_GB2312" w:eastAsia="仿宋_GB2312"/>
                <w:sz w:val="21"/>
              </w:rPr>
              <w:t>（二）工程地点：西安市高陵区鹿苑街道办高家村。</w:t>
            </w:r>
          </w:p>
          <w:p>
            <w:pPr>
              <w:pStyle w:val="null3"/>
            </w:pPr>
            <w:r>
              <w:rPr>
                <w:rFonts w:ascii="仿宋_GB2312" w:hAnsi="仿宋_GB2312" w:cs="仿宋_GB2312" w:eastAsia="仿宋_GB2312"/>
                <w:sz w:val="21"/>
              </w:rPr>
              <w:t>（三）工期： 45 天。</w:t>
            </w:r>
          </w:p>
          <w:p>
            <w:pPr>
              <w:pStyle w:val="null3"/>
            </w:pPr>
            <w:r>
              <w:rPr>
                <w:rFonts w:ascii="仿宋_GB2312" w:hAnsi="仿宋_GB2312" w:cs="仿宋_GB2312" w:eastAsia="仿宋_GB2312"/>
                <w:sz w:val="21"/>
              </w:rPr>
              <w:t>（四）缺陷责任期（</w:t>
            </w:r>
            <w:r>
              <w:rPr>
                <w:rFonts w:ascii="仿宋_GB2312" w:hAnsi="仿宋_GB2312" w:cs="仿宋_GB2312" w:eastAsia="仿宋_GB2312"/>
                <w:sz w:val="21"/>
              </w:rPr>
              <w:t>质量保修期</w:t>
            </w:r>
            <w:r>
              <w:rPr>
                <w:rFonts w:ascii="仿宋_GB2312" w:hAnsi="仿宋_GB2312" w:cs="仿宋_GB2312" w:eastAsia="仿宋_GB2312"/>
                <w:sz w:val="21"/>
              </w:rPr>
              <w:t>）：1年。</w:t>
            </w:r>
          </w:p>
          <w:p>
            <w:pPr>
              <w:pStyle w:val="null3"/>
            </w:pPr>
            <w:r>
              <w:rPr>
                <w:rFonts w:ascii="仿宋_GB2312" w:hAnsi="仿宋_GB2312" w:cs="仿宋_GB2312" w:eastAsia="仿宋_GB2312"/>
                <w:sz w:val="21"/>
              </w:rPr>
              <w:t>（五）工程量清单计价依据</w:t>
            </w:r>
          </w:p>
          <w:p>
            <w:pPr>
              <w:pStyle w:val="null3"/>
            </w:pPr>
            <w:r>
              <w:rPr>
                <w:rFonts w:ascii="仿宋_GB2312" w:hAnsi="仿宋_GB2312" w:cs="仿宋_GB2312" w:eastAsia="仿宋_GB2312"/>
                <w:sz w:val="21"/>
              </w:rPr>
              <w:t>（1）依据《陕西省建设工程造价管理办法》(陕西省人民政府令第 133 号)、《陕西省建设工程工程量清单计价规则(2009))(简称《09 规则》)；</w:t>
            </w:r>
          </w:p>
          <w:p>
            <w:pPr>
              <w:pStyle w:val="null3"/>
            </w:pPr>
            <w:r>
              <w:rPr>
                <w:rFonts w:ascii="仿宋_GB2312" w:hAnsi="仿宋_GB2312" w:cs="仿宋_GB2312" w:eastAsia="仿宋_GB2312"/>
                <w:sz w:val="21"/>
              </w:rPr>
              <w:t>（2）2004 年《陕西省建筑装饰工程消耗量定额》、2004 年《陕西省安装工程消耗量定额》；</w:t>
            </w:r>
          </w:p>
          <w:p>
            <w:pPr>
              <w:pStyle w:val="null3"/>
            </w:pPr>
            <w:r>
              <w:rPr>
                <w:rFonts w:ascii="仿宋_GB2312" w:hAnsi="仿宋_GB2312" w:cs="仿宋_GB2312" w:eastAsia="仿宋_GB2312"/>
                <w:sz w:val="21"/>
              </w:rPr>
              <w:t>（3）陕西省建筑装饰工程价目表（2009）、陕西省安装工程价目表（2009）、陕西省市政工程价目表（2009）；</w:t>
            </w:r>
          </w:p>
          <w:p>
            <w:pPr>
              <w:pStyle w:val="null3"/>
            </w:pPr>
            <w:r>
              <w:rPr>
                <w:rFonts w:ascii="仿宋_GB2312" w:hAnsi="仿宋_GB2312" w:cs="仿宋_GB2312" w:eastAsia="仿宋_GB2312"/>
                <w:sz w:val="21"/>
              </w:rPr>
              <w:t>（4）陕西省建设工程工程量清单计价费率（2009）；</w:t>
            </w:r>
          </w:p>
          <w:p>
            <w:pPr>
              <w:pStyle w:val="null3"/>
            </w:pPr>
            <w:r>
              <w:rPr>
                <w:rFonts w:ascii="仿宋_GB2312" w:hAnsi="仿宋_GB2312" w:cs="仿宋_GB2312" w:eastAsia="仿宋_GB2312"/>
                <w:sz w:val="21"/>
              </w:rPr>
              <w:t>（5）陕西省住建厅“关于发布我省落实建筑工人实名制管理计价依据的通知”（陕建发〔2019〕1246 号文）；</w:t>
            </w:r>
          </w:p>
          <w:p>
            <w:pPr>
              <w:pStyle w:val="null3"/>
            </w:pPr>
            <w:r>
              <w:rPr>
                <w:rFonts w:ascii="仿宋_GB2312" w:hAnsi="仿宋_GB2312" w:cs="仿宋_GB2312" w:eastAsia="仿宋_GB2312"/>
                <w:sz w:val="21"/>
              </w:rPr>
              <w:t>（6）陕西省住建厅“关于调整我省建设工程计价依据的通知”（陕建发］2019）45 号文）；</w:t>
            </w:r>
          </w:p>
          <w:p>
            <w:pPr>
              <w:pStyle w:val="null3"/>
            </w:pPr>
            <w:r>
              <w:rPr>
                <w:rFonts w:ascii="仿宋_GB2312" w:hAnsi="仿宋_GB2312" w:cs="仿宋_GB2312" w:eastAsia="仿宋_GB2312"/>
                <w:sz w:val="21"/>
              </w:rPr>
              <w:t>（7）陕西省住建厅“关于调整房屋建筑和市政基础设施工程工程量清单计价综合人工单价的通知”（陕建发〔2021〕1097号文）；</w:t>
            </w:r>
          </w:p>
          <w:p>
            <w:pPr>
              <w:pStyle w:val="null3"/>
            </w:pPr>
            <w:r>
              <w:rPr>
                <w:rFonts w:ascii="仿宋_GB2312" w:hAnsi="仿宋_GB2312" w:cs="仿宋_GB2312" w:eastAsia="仿宋_GB2312"/>
                <w:sz w:val="21"/>
              </w:rPr>
              <w:t>（8）陕西省住建厅“关于建筑施工安全生产责任保险费用计价的通知”（陕建发〔2020〕1097 号文）；</w:t>
            </w:r>
          </w:p>
          <w:p>
            <w:pPr>
              <w:pStyle w:val="null3"/>
            </w:pPr>
            <w:r>
              <w:rPr>
                <w:rFonts w:ascii="仿宋_GB2312" w:hAnsi="仿宋_GB2312" w:cs="仿宋_GB2312" w:eastAsia="仿宋_GB2312"/>
                <w:sz w:val="21"/>
              </w:rPr>
              <w:t>（9）陕西省住建厅“关于全省统一停止收缴建筑业劳保费用的通知”（陕建发〔2021〕1021 号文）。</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达到国家施工验收规范合格标准和西安市及高陵区有关质量标准和要求。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符合国家及行业验收合格标准。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因平台格式限制，其他要求说明如下： （一）采购人应在成交通知书发出之日起二十五日内与成交供应商签订采购合同； （二）评审结束后，代理机构在评审结束之日起1个工作日内将磋商报告及有关资料送交采购人。采购人在收到磋商报告后4个工作日内，在磋商报告确定的成交候选供应商名单中按顺序确定成交供应商。代理机构在收到成交复函后在1个工作日内发布成交结果公告。 （三）本项目实际付款方式为：合同签订后，支付合同价款的30%作为预付款,达到付款条件起30日内，支付合同总金额的 30.00%；施工进度款按工程实际进度支付，支付至合同价的90%后暂停支付，达到付款条件起30日内，支付合同总金额的 60.00%；竣工验收合格后成交供应商报送结算资料，结算资料经审定后支付至最终决算价款，达到付款条件起30日内支付。 （四）根据《西安市财政局关于开展政府采购供应商基本资格条件承诺制试点工作的通知》(市财函【2024】1032号)文件，以下资格审查条件仅须提供相关承诺，无需再提供其他任何证明材料。 1.财务状况报告(表)或其基本开户银行出具的资信证明材料; 2.依法缴纳税收的证明材料; 3.缴纳社会保障金的证明材料; 4.具有履行合同所必需的设备和专业技术能力的证明材料: 5.参加政府采购活动前三年内，在经营活动中没有重大违法记录的证明材料; 6.未被列入失信被执行人、重大税收违法案件当事人名单及政府采购严重违法失信行为记录名单的证明材料。 （五）供应商在采购项目评审(评标)环节结束后，随时接受采购人、采购代理机构的检查验证，配合提供相关证明材料证明符合《中华人民共和国政府采购法》规定的投标人基本资格条件。 （六）成交供应商须向采购人无偿提供本项目纸质版竞争性磋商响应文件1 套正本、3套副本。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提供基本资格条件承诺函并进行电子签章。</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在中华人民共和国境内注册，并有效存续的营业执照/事业单位法人证书/非企业专业服务机构执业许可证/民办非企业单位登记证书、税务登记证、组织机构代码证，或“三证合一”后的注册登记证。</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具有经审计的2022年或2023年财务审计报告（成立时间至开标时间不足一年的应具有成立后任意时段的资产负债表）或具有基本存款账户信息及磋商截止日期前三个月内其基本存款账户开户银行出具的资信证明。 以上资料响应阶段只须提供基本资格条件承诺函。</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供应商应具有开标截止日前6个月内任意一个月（响应截止时间当月不计入）的纳税证明或完税证明，依法免税的单位应具有相关证明材料。 以上资料响应阶段只须提供基本资格条件承诺函。</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供应商应具有开标截止日前6个月内任意一个月（响应截止时间当月不计入）的社会保障资金缴存单据或社保机构开具的社会保险参保缴费情况证明，依法不需要缴纳社会保障资金的单位应提供相关证明材料。 以上资料响应阶段只须提供基本资格条件承诺函。</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履行合同所必须的设备和专业技术能力</w:t>
            </w:r>
          </w:p>
        </w:tc>
        <w:tc>
          <w:tcPr>
            <w:tcW w:type="dxa" w:w="3322"/>
          </w:tcPr>
          <w:p>
            <w:pPr>
              <w:pStyle w:val="null3"/>
            </w:pPr>
            <w:r>
              <w:rPr>
                <w:rFonts w:ascii="仿宋_GB2312" w:hAnsi="仿宋_GB2312" w:cs="仿宋_GB2312" w:eastAsia="仿宋_GB2312"/>
              </w:rPr>
              <w:t>供应商应具有履行合同所必须的设备和专业技术能力。 以上资料响应阶段只须提供基本资格条件承诺函。</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供应商参加采购活动近三年内经营活动中无重大违法记录。 以上资料响应阶段只须提供基本资格条件承诺函。</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失信行为记录</w:t>
            </w:r>
          </w:p>
        </w:tc>
        <w:tc>
          <w:tcPr>
            <w:tcW w:type="dxa" w:w="3322"/>
          </w:tcPr>
          <w:p>
            <w:pPr>
              <w:pStyle w:val="null3"/>
            </w:pPr>
            <w:r>
              <w:rPr>
                <w:rFonts w:ascii="仿宋_GB2312" w:hAnsi="仿宋_GB2312" w:cs="仿宋_GB2312" w:eastAsia="仿宋_GB2312"/>
              </w:rPr>
              <w:t>供应商不得为“信用中国”网站(http：//www.creditchina.gov.cn)列入“失信被执行人或重大税收违法案件当事人名单或政府采购严重违法失信行为记录名单”的供应商；不得为中国政府采购网(http：//www.ccgp.gov.cn)“政府采购严重违法失信行为记录名单”中的供应商； 以上资料响应阶段只须提供基本资格条件承诺函。</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定代表人身份证，并与营业执照上信息一致。法定代表人授权代表参加磋商的，须同时出具法定代表人授权书、授权代表身份证及其近三个月内的本单位社保缴纳证明；</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供应商须具备行业主管部门颁发的市政公用工程施工总承包三级及以上资质并具有有效的安全生产许可证。</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拟派项目经理资质</w:t>
            </w:r>
          </w:p>
        </w:tc>
        <w:tc>
          <w:tcPr>
            <w:tcW w:type="dxa" w:w="3322"/>
          </w:tcPr>
          <w:p>
            <w:pPr>
              <w:pStyle w:val="null3"/>
            </w:pPr>
            <w:r>
              <w:rPr>
                <w:rFonts w:ascii="仿宋_GB2312" w:hAnsi="仿宋_GB2312" w:cs="仿宋_GB2312" w:eastAsia="仿宋_GB2312"/>
              </w:rPr>
              <w:t>拟派项目经理具有市政公用工程专业二级以上（含二级）注册建造师资格，并具有安全生产考核合格证书及未担任其它在建设项目的项目经理（提供无在建项目承诺书）。</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提供非联合体声明函。</w:t>
            </w:r>
          </w:p>
        </w:tc>
        <w:tc>
          <w:tcPr>
            <w:tcW w:type="dxa" w:w="1661"/>
          </w:tcPr>
          <w:p>
            <w:pPr>
              <w:pStyle w:val="null3"/>
            </w:pPr>
            <w:r>
              <w:rPr>
                <w:rFonts w:ascii="仿宋_GB2312" w:hAnsi="仿宋_GB2312" w:cs="仿宋_GB2312" w:eastAsia="仿宋_GB2312"/>
              </w:rPr>
              <w:t>资格审查资料.docx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响应文件的完整性</w:t>
            </w:r>
          </w:p>
        </w:tc>
        <w:tc>
          <w:tcPr>
            <w:tcW w:type="dxa" w:w="3322"/>
          </w:tcPr>
          <w:p>
            <w:pPr>
              <w:pStyle w:val="null3"/>
            </w:pPr>
            <w:r>
              <w:rPr>
                <w:rFonts w:ascii="仿宋_GB2312" w:hAnsi="仿宋_GB2312" w:cs="仿宋_GB2312" w:eastAsia="仿宋_GB2312"/>
              </w:rPr>
              <w:t>1、投标文件是否按照招标文件要求的格式编写； 2、投标报价内容是否有重大缺漏项。</w:t>
            </w:r>
          </w:p>
        </w:tc>
        <w:tc>
          <w:tcPr>
            <w:tcW w:type="dxa" w:w="1661"/>
          </w:tcPr>
          <w:p>
            <w:pPr>
              <w:pStyle w:val="null3"/>
            </w:pPr>
            <w:r>
              <w:rPr>
                <w:rFonts w:ascii="仿宋_GB2312" w:hAnsi="仿宋_GB2312" w:cs="仿宋_GB2312" w:eastAsia="仿宋_GB2312"/>
              </w:rPr>
              <w:t>已标价工程量清单 合同文本响应.docx 中小企业声明函 技术服务响应偏离表.docx 供应商认为有必要提供的其他材料.docx 商务条款响应偏离表.docx 响应文件封面 项目管理机构组成表 残疾人福利性单位声明函 施工方案.docx 报价函 标的清单 资格审查资料.docx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响应文件的有效性</w:t>
            </w:r>
          </w:p>
        </w:tc>
        <w:tc>
          <w:tcPr>
            <w:tcW w:type="dxa" w:w="3322"/>
          </w:tcPr>
          <w:p>
            <w:pPr>
              <w:pStyle w:val="null3"/>
            </w:pPr>
            <w:r>
              <w:rPr>
                <w:rFonts w:ascii="仿宋_GB2312" w:hAnsi="仿宋_GB2312" w:cs="仿宋_GB2312" w:eastAsia="仿宋_GB2312"/>
              </w:rPr>
              <w:t>1、投标文件的签署、加盖印章是否合格、有效； 2、提供的证明文件、承诺书、资料是否真实、有效。</w:t>
            </w:r>
          </w:p>
        </w:tc>
        <w:tc>
          <w:tcPr>
            <w:tcW w:type="dxa" w:w="1661"/>
          </w:tcPr>
          <w:p>
            <w:pPr>
              <w:pStyle w:val="null3"/>
            </w:pPr>
            <w:r>
              <w:rPr>
                <w:rFonts w:ascii="仿宋_GB2312" w:hAnsi="仿宋_GB2312" w:cs="仿宋_GB2312" w:eastAsia="仿宋_GB2312"/>
              </w:rPr>
              <w:t>已标价工程量清单 合同文本响应.docx 中小企业声明函 技术服务响应偏离表.docx 供应商认为有必要提供的其他材料.docx 商务条款响应偏离表.docx 响应文件封面 项目管理机构组成表 残疾人福利性单位声明函 施工方案.docx 报价函 标的清单 资格审查资料.docx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响应文件的响应性</w:t>
            </w:r>
          </w:p>
        </w:tc>
        <w:tc>
          <w:tcPr>
            <w:tcW w:type="dxa" w:w="3322"/>
          </w:tcPr>
          <w:p>
            <w:pPr>
              <w:pStyle w:val="null3"/>
            </w:pPr>
            <w:r>
              <w:rPr>
                <w:rFonts w:ascii="仿宋_GB2312" w:hAnsi="仿宋_GB2312" w:cs="仿宋_GB2312" w:eastAsia="仿宋_GB2312"/>
              </w:rPr>
              <w:t>实质上响应磋商文件：1、磋商有效期是否符合磋商文件的要求； 2、工期是否符合磋商文件要求； 3、响应文件内容是否符合国家法律法规，是否响应了磋商文件要求的全部条款、条件和规格要求，没有重大偏离。</w:t>
            </w:r>
          </w:p>
        </w:tc>
        <w:tc>
          <w:tcPr>
            <w:tcW w:type="dxa" w:w="1661"/>
          </w:tcPr>
          <w:p>
            <w:pPr>
              <w:pStyle w:val="null3"/>
            </w:pPr>
            <w:r>
              <w:rPr>
                <w:rFonts w:ascii="仿宋_GB2312" w:hAnsi="仿宋_GB2312" w:cs="仿宋_GB2312" w:eastAsia="仿宋_GB2312"/>
              </w:rPr>
              <w:t>已标价工程量清单 合同文本响应.docx 中小企业声明函 技术服务响应偏离表.docx 供应商认为有必要提供的其他材料.docx 商务条款响应偏离表.docx 响应文件封面 项目管理机构组成表 残疾人福利性单位声明函 施工方案.docx 报价函 标的清单 资格审查资料.docx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磋商报价不得超过最高限价，且只能有一个有效报价，不得提交选择性报价。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已标价工程量清单 合同文本响应.docx 中小企业声明函 技术服务响应偏离表.docx 供应商认为有必要提供的其他材料.docx 商务条款响应偏离表.docx 响应文件封面 项目管理机构组成表 残疾人福利性单位声明函 施工方案.docx 报价函 标的清单 资格审查资料.docx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供应商针对本项目实施的特点进行分析，方案内容包括1.本项目施工特点的需求理解；2.施工准备；3.本项目实施重难点分析；4.总体施工方案及组织措施；5.影响正常施工外在因素分析及对应预案等。 （二）评审标准：以上5项内容无缺项，专门针对本项目编制，符合本项目实际情况，内容完整、条理清晰、能够保障项目顺利实施的得10分。每项内容根据供应商内容响应程度：每缺少一项内容或者内容非针对于本项目的扣2分，每有一项内容有缺陷的扣1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施工进度部署与保障措施</w:t>
            </w:r>
          </w:p>
        </w:tc>
        <w:tc>
          <w:tcPr>
            <w:tcW w:type="dxa" w:w="2492"/>
          </w:tcPr>
          <w:p>
            <w:pPr>
              <w:pStyle w:val="null3"/>
            </w:pPr>
            <w:r>
              <w:rPr>
                <w:rFonts w:ascii="仿宋_GB2312" w:hAnsi="仿宋_GB2312" w:cs="仿宋_GB2312" w:eastAsia="仿宋_GB2312"/>
              </w:rPr>
              <w:t>（一）评审内容：供应商针对本项目编制进度部署及保障措施，措施内容包括1.施工总平面布置；2.进度安排计划与部署；3.工期目标控制和保证措施；4.材料供应措施；5.成品、半成品供应现场保护监管措施。 （二）评审标准：以上5项内容无缺项，专门针对本项目编制，符合本项目实际情况，内容完整、条理清晰、能够保障项目顺利实施的得10分。每项内容根据供应商内容响应程度：每缺少一项内容或者内容非针对于本项目的扣2分，每有一项内容有缺陷的扣1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施工质量保障措施</w:t>
            </w:r>
          </w:p>
        </w:tc>
        <w:tc>
          <w:tcPr>
            <w:tcW w:type="dxa" w:w="2492"/>
          </w:tcPr>
          <w:p>
            <w:pPr>
              <w:pStyle w:val="null3"/>
            </w:pPr>
            <w:r>
              <w:rPr>
                <w:rFonts w:ascii="仿宋_GB2312" w:hAnsi="仿宋_GB2312" w:cs="仿宋_GB2312" w:eastAsia="仿宋_GB2312"/>
              </w:rPr>
              <w:t>（一）评审内容：供应商针对本项目实施的特点编制质量保障措施，措施内容包括1.质量管理工作流程；2.工程质量保障措施内容；3.工程质量控制体系；4.材料和构配件的质量控制；5.施工检测及工序交验方案。 （二）评审标准：以上5项内容无缺项，专门针对本项目编制，符合本项目实际情况，内容完整、条理清晰、能够保障项目顺利实施的得10分。每项内容根据供应商内容响应程度：每缺少一项内容或者内容非针对于本项目的扣2分，每有一项内容有缺陷的扣1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安全生产技术组织措施</w:t>
            </w:r>
          </w:p>
        </w:tc>
        <w:tc>
          <w:tcPr>
            <w:tcW w:type="dxa" w:w="2492"/>
          </w:tcPr>
          <w:p>
            <w:pPr>
              <w:pStyle w:val="null3"/>
            </w:pPr>
            <w:r>
              <w:rPr>
                <w:rFonts w:ascii="仿宋_GB2312" w:hAnsi="仿宋_GB2312" w:cs="仿宋_GB2312" w:eastAsia="仿宋_GB2312"/>
              </w:rPr>
              <w:t>（一）评审内容：供应商针对本项目编制安全生产技术组织措施，措施内容包括1.安全生产管理制度；2.配置安全组织机构；3.安全隐患排查、整改措施；4.应急救援措施；5.安全生产知识培训措施。 （二）评审标准：以上5项内容无缺项，专门针对本项目编制，符合本项目实际情况，内容完整、条理清晰、能够保障项目顺利实施的得10分。每项内容根据供应商内容响应程度：每缺少一项内容或者内容非针对于本项目的扣2分，每有一项内容有缺陷的扣1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文明施工及环境保护措施</w:t>
            </w:r>
          </w:p>
        </w:tc>
        <w:tc>
          <w:tcPr>
            <w:tcW w:type="dxa" w:w="2492"/>
          </w:tcPr>
          <w:p>
            <w:pPr>
              <w:pStyle w:val="null3"/>
            </w:pPr>
            <w:r>
              <w:rPr>
                <w:rFonts w:ascii="仿宋_GB2312" w:hAnsi="仿宋_GB2312" w:cs="仿宋_GB2312" w:eastAsia="仿宋_GB2312"/>
              </w:rPr>
              <w:t>（一）评审内容：供应商针对本项目编制文明施工及环境保护措施，措施内容包括1.文明及环境保护管理制度；2.防尘降噪措施；3.节能减排措施；4.文明及环境保护施工监督检查机制； （二）评审标准：以上4项内容无缺项，专门针对本项目编制，符合本项目实际情况，内容完整、条理清晰、能够保障项目顺利实施的得8分。每项内容根据供应商内容响应程度：每缺少一项内容或者内容非针对于本项目的扣2分，每有一项内容有缺陷的扣1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施工组织、项目管理机构与劳动力安排计划</w:t>
            </w:r>
          </w:p>
        </w:tc>
        <w:tc>
          <w:tcPr>
            <w:tcW w:type="dxa" w:w="2492"/>
          </w:tcPr>
          <w:p>
            <w:pPr>
              <w:pStyle w:val="null3"/>
            </w:pPr>
            <w:r>
              <w:rPr>
                <w:rFonts w:ascii="仿宋_GB2312" w:hAnsi="仿宋_GB2312" w:cs="仿宋_GB2312" w:eastAsia="仿宋_GB2312"/>
              </w:rPr>
              <w:t>（一）评审内容：供应商针对本项目编制施工组织、项目管理机构与劳动力安排计划，措施内容包括1.项目管理机构图；2.岗位安排及职责分工（配备施工员、安全员、资料员、材料员、质量员）；3.人员现场管理制度；4.施工人员进度安排计划。 （二）评审标准：以上4项内容无缺项，专门针对本项目编制，符合本项目实际情况，内容完整、条理清晰、能够保障项目顺利实施的得8分。每项内容根据供应商内容响应程度：每缺少一项内容或者内容非针对于本项目的扣2分，每有一项内容有缺陷的扣1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（一）评审内容：供应商针对本项目编制施工机械配备和材料投入计划，措施内容包括1.施工机械配置计划；2.施工材料投入计划；3.施工机械及施工材料现场的管理制度； （二）评审标准：以上3项内容无缺项，专门针对本项目编制，符合本项目实际情况，内容完整、条理清晰、能够保障项目顺利实施的得6分。每项内容根据供应商内容响应程度：每缺少一项内容或者内容非针对于本项目的扣2分，每有一项内容有缺陷的扣1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项目完工后的维修及保修承诺</w:t>
            </w:r>
          </w:p>
        </w:tc>
        <w:tc>
          <w:tcPr>
            <w:tcW w:type="dxa" w:w="2492"/>
          </w:tcPr>
          <w:p>
            <w:pPr>
              <w:pStyle w:val="null3"/>
            </w:pPr>
            <w:r>
              <w:rPr>
                <w:rFonts w:ascii="仿宋_GB2312" w:hAnsi="仿宋_GB2312" w:cs="仿宋_GB2312" w:eastAsia="仿宋_GB2312"/>
              </w:rPr>
              <w:t>（一）评审内容：供应商针对本项目编制完工后的维修及保修承诺，承诺内容包括1.发生维修及保修的响应时间；2.维修及保修方案； （二）评审标准：以上2项内容无缺项，专门针对本项目编制，符合本项目实际情况，内容完整、条理清晰、能够保障项目顺利实施的得4分。每项内容根据供应商内容响应程度：每缺少一项内容或者内容非针对于本项目的扣2分，每有一项内容有缺陷的扣1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提供近三年（2022年5月至投标文件递交截止时间）同类项目业绩，每提供一个得2分，最高得4分。 业绩证明：以施工合同为准，时间以合同签订时间为准，提供证明材料的扫描件加盖单位公章。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（1）本次招标设最高限价。供应商的磋商总报价超过最高限价的视为无效标，不再参与下一步评审。 （2）满足磋商文件实质性要求且最终报价最低的供应商的价格为磋商基准价，其价格分为满分30分。 （3）磋商报价得分=（磋商基准价/最终磋商报价）×30。 （4）磋商报价不完整的，不进入磋商基准价的计算，本项得0分。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详见附件：资格审查资料.docx</w:t>
      </w:r>
    </w:p>
    <w:p>
      <w:pPr>
        <w:pStyle w:val="null3"/>
        <w:ind w:firstLine="960"/>
      </w:pPr>
      <w:r>
        <w:rPr>
          <w:rFonts w:ascii="仿宋_GB2312" w:hAnsi="仿宋_GB2312" w:cs="仿宋_GB2312" w:eastAsia="仿宋_GB2312"/>
        </w:rPr>
        <w:t>详见附件：技术服务响应偏离表.docx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详见附件：合同文本响应.docx</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详见附件：施工方案.docx</w:t>
      </w:r>
    </w:p>
    <w:p>
      <w:pPr>
        <w:pStyle w:val="null3"/>
        <w:ind w:firstLine="960"/>
      </w:pPr>
      <w:r>
        <w:rPr>
          <w:rFonts w:ascii="仿宋_GB2312" w:hAnsi="仿宋_GB2312" w:cs="仿宋_GB2312" w:eastAsia="仿宋_GB2312"/>
        </w:rPr>
        <w:t>详见附件：供应商认为有必要提供的其他材料.docx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