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版本号：XAMX-2025-02920250507001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高陵区西禹高速口高坎绿化工程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XAMX-2025-029</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西安铭信项目管理有限公司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西安铭信项目管理有限公司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高陵区西禹高速口高坎绿化工程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XAMX-2025-029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高陵区西禹高速口高坎绿化工程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西安市高陵区西禹高速口高坎绿化工程。建设地点位于陕西省西安市高陵区西禹高速西侧，西安泾渭康恒环境能源有限公司东侧。本项目地属南北走向道路旁林带纯绿化建设项目，项目用地南北长约220米，平均宽度约30米，总面积6002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采购包1（高陵区西禹高速口高坎绿化工程）：属于专门面向中小企业采购。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法人资格：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2、法定代表人授权书：法定代表人授权书（附法定代表人身份证复印件）及被授权人身份证（法定代表人直接参加磋商只须提供法定代表人身份证）；</w:t>
      </w:r>
    </w:p>
    <w:p>
      <w:pPr>
        <w:pStyle w:val="null3"/>
      </w:pPr>
      <w:r>
        <w:rPr>
          <w:rFonts w:ascii="仿宋_GB2312" w:hAnsi="仿宋_GB2312" w:cs="仿宋_GB2312" w:eastAsia="仿宋_GB2312"/>
        </w:rPr>
        <w:t>3、资质证书：投标人须具备市政公用工程总承包叁级及以上资质；具有安全生产许可证；</w:t>
      </w:r>
    </w:p>
    <w:p>
      <w:pPr>
        <w:pStyle w:val="null3"/>
      </w:pPr>
      <w:r>
        <w:rPr>
          <w:rFonts w:ascii="仿宋_GB2312" w:hAnsi="仿宋_GB2312" w:cs="仿宋_GB2312" w:eastAsia="仿宋_GB2312"/>
        </w:rPr>
        <w:t>4、拟派项目负责人资质：拟派项目经理具有二级及以上注册建造师资格，并具有安全生产考核合格证书及未担任其它在建设项目的项目经理（提供无在建项目承诺书）</w:t>
      </w:r>
    </w:p>
    <w:p>
      <w:pPr>
        <w:pStyle w:val="null3"/>
      </w:pPr>
      <w:r>
        <w:rPr>
          <w:rFonts w:ascii="仿宋_GB2312" w:hAnsi="仿宋_GB2312" w:cs="仿宋_GB2312" w:eastAsia="仿宋_GB2312"/>
        </w:rPr>
        <w:t>5、财务报告：投标人财务状况良好，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6、税收缴纳证明：税收缴纳证明：提供上一年度至今已缴纳的至少一个月的纳税证明或完税证明，依法免税的单位应提供相关证明材料；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7、社会保障资金缴纳证明：社会保障资金缴纳证明：提供上一年度至今已缴存的至少一个月的有效社会保障资金缴纳证明。依法不需要缴纳社会保障资金的单位应提供相关证明材料；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8、无重大违法记录声明：供应商参加采购活动近三年内经营活动中无重大违法记录声明；</w:t>
      </w:r>
    </w:p>
    <w:p>
      <w:pPr>
        <w:pStyle w:val="null3"/>
      </w:pPr>
      <w:r>
        <w:rPr>
          <w:rFonts w:ascii="仿宋_GB2312" w:hAnsi="仿宋_GB2312" w:cs="仿宋_GB2312" w:eastAsia="仿宋_GB2312"/>
        </w:rPr>
        <w:t>9、供应商信誉要求：供应商信誉要求：“信用中国”网站（www.creditchina.gov.cn）和“中国政府采购网”（ccgp.gov.cn）为供应商信用信息查询渠道，如果供应商被查实在投标截止时间前已列入失信被执行人、重大税收违法案件当事人名单、政府采购严重违法失信行为记录名单，其投标为无效;</w:t>
      </w:r>
    </w:p>
    <w:p>
      <w:pPr>
        <w:pStyle w:val="null3"/>
      </w:pPr>
      <w:r>
        <w:rPr>
          <w:rFonts w:ascii="仿宋_GB2312" w:hAnsi="仿宋_GB2312" w:cs="仿宋_GB2312" w:eastAsia="仿宋_GB2312"/>
        </w:rPr>
        <w:t>10、控股关系：投标人单位负责人为同一人或者存在控股、关联关系的不同单位，不得同时参加本招标项目的投标。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029-86912163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西安铭信项目管理有限公司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陕西省西安市高陵区陕西省西安市高陵区鹿苑街道龙发时代广场601室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15291696919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采购包1：2,378,460.07元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在领取成交通知书时，参照国家计委2002年颁发的《招标代理服务收费管理暂行办法》(计价格〔2002〕1980号)及国家发改委2011年颁布的《国家发展改革委关于降低部分建设项目收费标准规范收费行为等有关问题的通知 》（发改价格[2011]534号）计取，采用现金、转账或汇款方式向西安铭信项目管理有限公司交纳招标服务费；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西安铭信项目管理有限公司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西安铭信项目管理有限公司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西安铭信项目管理有限公司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联系电话：15291696919</w:t>
      </w:r>
    </w:p>
    <w:p>
      <w:pPr>
        <w:pStyle w:val="null3"/>
      </w:pPr>
      <w:r>
        <w:rPr>
          <w:rFonts w:ascii="仿宋_GB2312" w:hAnsi="仿宋_GB2312" w:cs="仿宋_GB2312" w:eastAsia="仿宋_GB2312"/>
        </w:rPr>
        <w:t>地址：西安市高陵区龙发时代广场公寓楼602室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2,378,460.07</w:t>
      </w:r>
    </w:p>
    <w:p>
      <w:pPr>
        <w:pStyle w:val="null3"/>
      </w:pPr>
      <w:r>
        <w:rPr>
          <w:rFonts w:ascii="仿宋_GB2312" w:hAnsi="仿宋_GB2312" w:cs="仿宋_GB2312" w:eastAsia="仿宋_GB2312"/>
        </w:rPr>
        <w:t>采购包最高限价（元）: 2,378,460.07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高陵区西禹高速口高坎绿化工程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2,378,460.07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标的名称：高陵区西禹高速口高坎绿化工程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工程质量达到国家现行施工验收规范“合格”标准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独立法人资格</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投标人须具备市政公用工程总承包叁级及以上资质；具有安全生产许可证；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拟派项目经理具有二级及以上注册建造师资格，并具有安全生产考核合格证书及未担任其它在建设项目的项目经理（提供无在建项目承诺书）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投标人财务状况良好，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信誉要求：“信用中国”网站（www.creditchina.gov.cn）和“中国政府采购网”（ccgp.gov.cn）为供应商信用信息查询渠道，如果供应商被查实在投标截止时间前已列入失信被执行人、重大税收违法案件当事人名单、政府采购严重违法失信行为记录名单，其投标为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投标人单位负责人为同一人或者存在控股、关联关系的不同单位，不得同时参加本招标项目的投标。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价格分采用低价优先法计算，即满足招标文件要求且最后报价最低的供应商的价格为投标基准价，其价格分为满分。其他供应商的价格分统一按照下列公式计算： 投标报价得分=（投标基准价/最终投标报价）×价格权值（即30%）×100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投标文件对工期、质保期、付款方式、验收等商务要求进行详细说明，完全响应招标文件的计2分，工期、质保期两项优于招标文件的，经横向比较后，每项最多加1分。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1、确保工程质量的技术组织措施计1-5分， 2、确保文明施工的技术组织措施及环境保护措施计1-5分， 3、确保安全生产的技术组织措施计1-5分， 4、确保工期的技术组织措施计1-5分， 5、施工方案计1-10分， 6、施工机械及材料投入计划计1-5分， 7、施工进度网络图或施工进度表计1-5分， 8、劳动力安排计划及劳务分包情况计1-5分， 9、项目经理部组织机构计1-5分。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以合同形式提供供应商2021年01月至今类似项目业绩，每份计2分，计满6分为止。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完全承诺招标文件和合同条款，并针对本项目实际需求提供实质性承诺或合理化建议，确有利于本次招标，根据其可行性和可信程度计0-10分。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