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版本号：RKZB-2025-02050120250509001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西安市高陵区农村公路桥梁定期检测项目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RKZB-2025-020501</w:t>
      </w:r>
      <w:r>
        <w:br/>
      </w:r>
      <w:r>
        <w:br/>
      </w:r>
      <w:r>
        <w:br/>
      </w:r>
    </w:p>
    <w:p>
      <w:pPr>
        <w:pStyle w:val="null3"/>
        <w:jc w:val="center"/>
        <w:outlineLvl w:val="2"/>
      </w:pPr>
      <w:r>
        <w:rPr>
          <w:rFonts w:ascii="仿宋_GB2312" w:hAnsi="仿宋_GB2312" w:cs="仿宋_GB2312" w:eastAsia="仿宋_GB2312"/>
          <w:sz w:val="28"/>
          <w:b/>
        </w:rPr>
        <w:t>西安市高陵区农村公路管理站</w:t>
      </w:r>
    </w:p>
    <w:p>
      <w:pPr>
        <w:pStyle w:val="null3"/>
        <w:jc w:val="center"/>
        <w:outlineLvl w:val="2"/>
      </w:pPr>
      <w:r>
        <w:rPr>
          <w:rFonts w:ascii="仿宋_GB2312" w:hAnsi="仿宋_GB2312" w:cs="仿宋_GB2312" w:eastAsia="仿宋_GB2312"/>
          <w:sz w:val="28"/>
          <w:b/>
        </w:rPr>
        <w:t>瑞科项目管理有限公司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瑞科项目管理有限公司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西安市高陵区农村公路管理站</w:t>
      </w:r>
      <w:r>
        <w:rPr>
          <w:rFonts w:ascii="仿宋_GB2312" w:hAnsi="仿宋_GB2312" w:cs="仿宋_GB2312" w:eastAsia="仿宋_GB2312"/>
        </w:rPr>
        <w:t>委托，拟对</w:t>
      </w:r>
      <w:r>
        <w:rPr>
          <w:rFonts w:ascii="仿宋_GB2312" w:hAnsi="仿宋_GB2312" w:cs="仿宋_GB2312" w:eastAsia="仿宋_GB2312"/>
        </w:rPr>
        <w:t>西安市高陵区农村公路桥梁定期检测项目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RKZB-2025-020501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西安市高陵区农村公路桥梁定期检测项目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2024年西安市高陵区农村公路桥梁定期检测的桥梁有41座，桥梁总长11376m，其中大中桥22座/11163延米，小桥19座/213延米。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采购包1（西安市高陵区农村公路桥梁定期检测项目）：属于专门面向中小企业采购。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1、供应商资质：具有交通运输部门颁发的公路水运工程试验检测机构公路工程综合甲级资质或公路工程桥梁隧道工程专项检测资质；具备行政主管部门颁发的有效期内的《计量认证证书》（CMA）；</w:t>
      </w:r>
    </w:p>
    <w:p>
      <w:pPr>
        <w:pStyle w:val="null3"/>
      </w:pPr>
      <w:r>
        <w:rPr>
          <w:rFonts w:ascii="仿宋_GB2312" w:hAnsi="仿宋_GB2312" w:cs="仿宋_GB2312" w:eastAsia="仿宋_GB2312"/>
        </w:rPr>
        <w:t>2、供应商信用：供应商不得被“信用中国”网站（www.creditchina.gov.cn）中列入失信被执行人和重大税收违法失信主体，不得为中国政府采购网（www.ccgp.gov.cn）政府采购严重违法失信行为记录名单中被财政部门禁止参加政府采购活动的供应商；（以代理机构现场查询截图为准）</w:t>
      </w:r>
    </w:p>
    <w:p>
      <w:pPr>
        <w:pStyle w:val="null3"/>
      </w:pPr>
      <w:r>
        <w:rPr>
          <w:rFonts w:ascii="仿宋_GB2312" w:hAnsi="仿宋_GB2312" w:cs="仿宋_GB2312" w:eastAsia="仿宋_GB2312"/>
        </w:rPr>
        <w:t>3、法定代表人身份证明或法定代表人授权委托书：法定代表人参加磋商的，须提供法定代表人身份证明；法定代表人授权他人参加的，须提供法定代表人委托授权书；采购文件中凡是需要法定代表人签字或盖章之处，非法人单位的负责人均参照执行；</w:t>
      </w:r>
    </w:p>
    <w:p>
      <w:pPr>
        <w:pStyle w:val="null3"/>
      </w:pPr>
      <w:r>
        <w:rPr>
          <w:rFonts w:ascii="仿宋_GB2312" w:hAnsi="仿宋_GB2312" w:cs="仿宋_GB2312" w:eastAsia="仿宋_GB2312"/>
        </w:rPr>
        <w:t>4、非联合体投标声明：需提供非联合体投标声明函；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西安市高陵区鹿歌路131号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029-86913262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陕西省西安市经济技术开发区未央路303号保利中达广场2207室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17792642151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下浮20%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西安市高陵区农村公路管理站</w:t>
      </w:r>
      <w:r>
        <w:rPr>
          <w:rFonts w:ascii="仿宋_GB2312" w:hAnsi="仿宋_GB2312" w:cs="仿宋_GB2312" w:eastAsia="仿宋_GB2312"/>
        </w:rPr>
        <w:t>和</w:t>
      </w:r>
      <w:r>
        <w:rPr>
          <w:rFonts w:ascii="仿宋_GB2312" w:hAnsi="仿宋_GB2312" w:cs="仿宋_GB2312" w:eastAsia="仿宋_GB2312"/>
        </w:rPr>
        <w:t>瑞科项目管理有限公司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瑞科项目管理有限公司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现场测试和数据处理评价依据以下现行标准、规范： 1、《公路桥涵养护规范》(JTG5120-2021); 2、《公路桥涵设计通用规范》（JTG D60-2015）； 3、《公路桥梁技术状况评定标准》(JTG/TH21-2011); 4、《公路养护安全作业规程》(JTGH30-2015); 5、《公路工程质量检验评定标准(第一册)土建工程》(JTGF80/1-2017) 6、《公路钢筋混凝土及预应力混凝土桥涵设计规范》JTG3362-2018; 7、其他国家相关标准与规范要求。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联系人：刘梦妮</w:t>
      </w:r>
    </w:p>
    <w:p>
      <w:pPr>
        <w:pStyle w:val="null3"/>
      </w:pPr>
      <w:r>
        <w:rPr>
          <w:rFonts w:ascii="仿宋_GB2312" w:hAnsi="仿宋_GB2312" w:cs="仿宋_GB2312" w:eastAsia="仿宋_GB2312"/>
        </w:rPr>
        <w:t>联系电话：17792642151</w:t>
      </w:r>
    </w:p>
    <w:p>
      <w:pPr>
        <w:pStyle w:val="null3"/>
      </w:pPr>
      <w:r>
        <w:rPr>
          <w:rFonts w:ascii="仿宋_GB2312" w:hAnsi="仿宋_GB2312" w:cs="仿宋_GB2312" w:eastAsia="仿宋_GB2312"/>
        </w:rPr>
        <w:t>地址：陕西省西安市经济技术开发区未央路303号保利中达广场2207室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2024年西安市高陵区农村公路桥梁定期检测的桥梁有41座，桥梁总长11376m，其中大中桥22座/11163延米，小桥19座/213延米。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509,900.00</w:t>
      </w:r>
    </w:p>
    <w:p>
      <w:pPr>
        <w:pStyle w:val="null3"/>
      </w:pPr>
      <w:r>
        <w:rPr>
          <w:rFonts w:ascii="仿宋_GB2312" w:hAnsi="仿宋_GB2312" w:cs="仿宋_GB2312" w:eastAsia="仿宋_GB2312"/>
        </w:rPr>
        <w:t>采购包最高限价（元）: 509,900.00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西安市高陵区农村公路桥梁定期检测项目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标的名称：西安市高陵区农村公路桥梁定期检测项目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2024年西安市高陵区农村公路桥梁定期检测的桥梁有41座，桥梁总长11376m，其中大中桥22座/11163延米，小桥19座/213延米</w:t>
            </w:r>
            <w:r>
              <w:rPr>
                <w:rFonts w:ascii="仿宋_GB2312" w:hAnsi="仿宋_GB2312" w:cs="仿宋_GB2312" w:eastAsia="仿宋_GB2312"/>
                <w:sz w:val="28"/>
              </w:rPr>
              <w:t>。</w:t>
            </w:r>
          </w:p>
          <w:p>
            <w:pPr>
              <w:pStyle w:val="null3"/>
              <w:ind w:firstLine="420"/>
              <w:jc w:val="both"/>
            </w:pPr>
            <w:r>
              <w:rPr>
                <w:rFonts w:ascii="仿宋_GB2312" w:hAnsi="仿宋_GB2312" w:cs="仿宋_GB2312" w:eastAsia="仿宋_GB2312"/>
                <w:sz w:val="28"/>
              </w:rPr>
              <w:t>2024年西安市高陵区农村公路桥梁定期检测桥梁情况表</w:t>
            </w:r>
          </w:p>
          <w:tbl>
            <w:tblPr>
              <w:tblBorders>
                <w:top w:val="none" w:color="000000" w:sz="4"/>
                <w:left w:val="none" w:color="000000" w:sz="4"/>
                <w:bottom w:val="none" w:color="000000" w:sz="4"/>
                <w:right w:val="none" w:color="000000" w:sz="4"/>
                <w:insideH w:val="none"/>
                <w:insideV w:val="none"/>
              </w:tblBorders>
            </w:tblPr>
            <w:tblGrid>
              <w:gridCol w:w="186"/>
              <w:gridCol w:w="438"/>
              <w:gridCol w:w="429"/>
              <w:gridCol w:w="390"/>
              <w:gridCol w:w="381"/>
              <w:gridCol w:w="447"/>
              <w:gridCol w:w="261"/>
            </w:tblGrid>
            <w:tr>
              <w:tc>
                <w:tcPr>
                  <w:tcW w:type="dxa" w:w="18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3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桥梁名称</w:t>
                  </w:r>
                </w:p>
              </w:tc>
              <w:tc>
                <w:tcPr>
                  <w:tcW w:type="dxa" w:w="429"/>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路线编号</w:t>
                  </w:r>
                </w:p>
              </w:tc>
              <w:tc>
                <w:tcPr>
                  <w:tcW w:type="dxa" w:w="39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路钱名称</w:t>
                  </w:r>
                </w:p>
              </w:tc>
              <w:tc>
                <w:tcPr>
                  <w:tcW w:type="dxa" w:w="38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按照跨径划分类型</w:t>
                  </w:r>
                </w:p>
              </w:tc>
              <w:tc>
                <w:tcPr>
                  <w:tcW w:type="dxa" w:w="44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按照结构体系划分类型</w:t>
                  </w:r>
                </w:p>
              </w:tc>
              <w:tc>
                <w:tcPr>
                  <w:tcW w:type="dxa" w:w="26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长度</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九支渠桥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X114610117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鹿苑大道</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渭河大桥上行</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X114610117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鹿苑大道</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渭河大桥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X114610117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鹿苑大道</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肖家村桥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X220610117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泾惠八路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一千渠桥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X221610117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旅游大道</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南一千渠桥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X306610117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油高路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泾惠四支渠桥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X306610117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油高路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南一干渠一</w:t>
                  </w:r>
                </w:p>
                <w:p>
                  <w:pPr>
                    <w:pStyle w:val="null3"/>
                    <w:jc w:val="center"/>
                  </w:pPr>
                  <w:r>
                    <w:rPr>
                      <w:rFonts w:ascii="仿宋_GB2312" w:hAnsi="仿宋_GB2312" w:cs="仿宋_GB2312" w:eastAsia="仿宋_GB2312"/>
                      <w:sz w:val="24"/>
                    </w:rPr>
                    <w:t>号桥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X306610117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油高路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南一干渠桥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X307610117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白灰路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江流渠桥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X312610117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江毗路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钓鱼沟大桥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X315610117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渭阳一路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果式桥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钓鱼沟大桥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Y252610117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西环线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店子王泾河大桥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Y252610117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西环线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店子王泾河大桥</w:t>
                  </w:r>
                  <w:r>
                    <w:rPr>
                      <w:rFonts w:ascii="仿宋_GB2312" w:hAnsi="仿宋_GB2312" w:cs="仿宋_GB2312" w:eastAsia="仿宋_GB2312"/>
                      <w:sz w:val="24"/>
                    </w:rPr>
                    <w:t>2</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C286610117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北孙一组</w:t>
                  </w:r>
                </w:p>
                <w:p>
                  <w:pPr>
                    <w:pStyle w:val="null3"/>
                    <w:jc w:val="center"/>
                  </w:pPr>
                  <w:r>
                    <w:rPr>
                      <w:rFonts w:ascii="仿宋_GB2312" w:hAnsi="仿宋_GB2312" w:cs="仿宋_GB2312" w:eastAsia="仿宋_GB2312"/>
                      <w:sz w:val="24"/>
                    </w:rPr>
                    <w:t>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泾惠渠九支</w:t>
                  </w:r>
                </w:p>
                <w:p>
                  <w:pPr>
                    <w:pStyle w:val="null3"/>
                    <w:jc w:val="center"/>
                  </w:pPr>
                  <w:r>
                    <w:rPr>
                      <w:rFonts w:ascii="仿宋_GB2312" w:hAnsi="仿宋_GB2312" w:cs="仿宋_GB2312" w:eastAsia="仿宋_GB2312"/>
                      <w:sz w:val="24"/>
                    </w:rPr>
                    <w:t>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C591610117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九横路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泾河大桥</w:t>
                  </w:r>
                  <w:r>
                    <w:rPr>
                      <w:rFonts w:ascii="仿宋_GB2312" w:hAnsi="仿宋_GB2312" w:cs="仿宋_GB2312" w:eastAsia="仿宋_GB2312"/>
                      <w:sz w:val="24"/>
                    </w:rPr>
                    <w:t>1</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G310</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连共线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泾河大桥</w:t>
                  </w:r>
                  <w:r>
                    <w:rPr>
                      <w:rFonts w:ascii="仿宋_GB2312" w:hAnsi="仿宋_GB2312" w:cs="仿宋_GB2312" w:eastAsia="仿宋_GB2312"/>
                      <w:sz w:val="24"/>
                    </w:rPr>
                    <w:t>2</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G310</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连共线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立交桥</w:t>
                  </w:r>
                  <w:r>
                    <w:rPr>
                      <w:rFonts w:ascii="仿宋_GB2312" w:hAnsi="仿宋_GB2312" w:cs="仿宋_GB2312" w:eastAsia="仿宋_GB2312"/>
                      <w:sz w:val="24"/>
                    </w:rPr>
                    <w:t>1</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G310</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连共线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立交桥</w:t>
                  </w:r>
                  <w:r>
                    <w:rPr>
                      <w:rFonts w:ascii="仿宋_GB2312" w:hAnsi="仿宋_GB2312" w:cs="仿宋_GB2312" w:eastAsia="仿宋_GB2312"/>
                      <w:sz w:val="24"/>
                    </w:rPr>
                    <w:t>2</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G310</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连共线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渭河大桥</w:t>
                  </w:r>
                  <w:r>
                    <w:rPr>
                      <w:rFonts w:ascii="仿宋_GB2312" w:hAnsi="仿宋_GB2312" w:cs="仿宋_GB2312" w:eastAsia="仿宋_GB2312"/>
                      <w:sz w:val="24"/>
                    </w:rPr>
                    <w:t>1</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G310</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连共线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1179</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渭河大桥</w:t>
                  </w:r>
                  <w:r>
                    <w:rPr>
                      <w:rFonts w:ascii="仿宋_GB2312" w:hAnsi="仿宋_GB2312" w:cs="仿宋_GB2312" w:eastAsia="仿宋_GB2312"/>
                      <w:sz w:val="24"/>
                    </w:rPr>
                    <w:t>2</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G310</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连共线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1179</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油高路桥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S312</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潼凤线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南二干渠桥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S312</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潼凤线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药惠桥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X219610117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白马路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南一干渠桥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X311610117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高三路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麦张桥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X219610117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江毗路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南一干桥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Y251610117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高韩路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南二干渠桥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Y252610117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西环线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一千渠桥</w:t>
                  </w:r>
                  <w:r>
                    <w:rPr>
                      <w:rFonts w:ascii="仿宋_GB2312" w:hAnsi="仿宋_GB2312" w:cs="仿宋_GB2312" w:eastAsia="仿宋_GB2312"/>
                      <w:sz w:val="24"/>
                    </w:rPr>
                    <w:t>1(何村东)</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Y309610117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仁马路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湾子村西一干渠桥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Y313610117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湾三路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张卜桥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Y320610117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常张路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西铜公路跨线桥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Y253610117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西三辅道</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梁村小学桥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C110610117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梁村塬出村路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梁村二组桥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C110610117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梁村塬</w:t>
                  </w:r>
                  <w:r>
                    <w:rPr>
                      <w:rFonts w:ascii="仿宋_GB2312" w:hAnsi="仿宋_GB2312" w:cs="仿宋_GB2312" w:eastAsia="仿宋_GB2312"/>
                      <w:sz w:val="24"/>
                    </w:rPr>
                    <w:t>-西三辅道</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拱桥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东小寨桥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C111610117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菜家新庄子</w:t>
                  </w:r>
                  <w:r>
                    <w:rPr>
                      <w:rFonts w:ascii="仿宋_GB2312" w:hAnsi="仿宋_GB2312" w:cs="仿宋_GB2312" w:eastAsia="仿宋_GB2312"/>
                      <w:sz w:val="24"/>
                    </w:rPr>
                    <w:t>-何家</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杨家桥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C155610117</w:t>
                  </w: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杨家出村</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立交桥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西铜公路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泾河大桥</w:t>
                  </w:r>
                  <w:r>
                    <w:rPr>
                      <w:rFonts w:ascii="仿宋_GB2312" w:hAnsi="仿宋_GB2312" w:cs="仿宋_GB2312" w:eastAsia="仿宋_GB2312"/>
                      <w:sz w:val="24"/>
                    </w:rPr>
                    <w:t>1</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西铜公路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泾河大桥</w:t>
                  </w:r>
                  <w:r>
                    <w:rPr>
                      <w:rFonts w:ascii="仿宋_GB2312" w:hAnsi="仿宋_GB2312" w:cs="仿宋_GB2312" w:eastAsia="仿宋_GB2312"/>
                      <w:sz w:val="24"/>
                    </w:rPr>
                    <w:t>2</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西铜公路</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上行桥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机场线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下行桥</w:t>
                  </w:r>
                </w:p>
              </w:tc>
              <w:tc>
                <w:tcPr>
                  <w:tcW w:type="dxa" w:w="42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3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机场线</w:t>
                  </w:r>
                </w:p>
              </w:tc>
              <w:tc>
                <w:tcPr>
                  <w:tcW w:type="dxa" w:w="3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小桥</w:t>
                  </w:r>
                </w:p>
              </w:tc>
              <w:tc>
                <w:tcPr>
                  <w:tcW w:type="dxa" w:w="4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梁式桥</w:t>
                  </w:r>
                </w:p>
              </w:tc>
              <w:tc>
                <w:tcPr>
                  <w:tcW w:type="dxa" w:w="26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二、服务内容</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检测目的</w:t>
            </w:r>
          </w:p>
          <w:p>
            <w:pPr>
              <w:pStyle w:val="null3"/>
              <w:ind w:firstLine="560"/>
              <w:jc w:val="both"/>
            </w:pPr>
            <w:r>
              <w:rPr>
                <w:rFonts w:ascii="仿宋_GB2312" w:hAnsi="仿宋_GB2312" w:cs="仿宋_GB2312" w:eastAsia="仿宋_GB2312"/>
                <w:sz w:val="28"/>
              </w:rPr>
              <w:t>桥梁定期检测的目的在于及早发现桥梁的主体结构及其附属构造物的缺损状况，并使它们处于良好状态，保证道路畅通无阻，保障道路适应于使用情况。它是桥梁养护管理系统中，采集结构技术状况动态数据的工作，为评定桥梁使用功能、指定养护计划提供基本数据。</w:t>
            </w:r>
          </w:p>
          <w:p>
            <w:pPr>
              <w:pStyle w:val="null3"/>
              <w:ind w:firstLine="560"/>
              <w:jc w:val="both"/>
            </w:pPr>
            <w:r>
              <w:rPr>
                <w:rFonts w:ascii="仿宋_GB2312" w:hAnsi="仿宋_GB2312" w:cs="仿宋_GB2312" w:eastAsia="仿宋_GB2312"/>
                <w:sz w:val="28"/>
              </w:rPr>
              <w:t>通过桥梁检测，建立和积累技术资料，加强桥梁科学管理，系统地收集桥梁技术数据，建立或更新桥梁数据库，为桥梁计算机管理系统做好基础工作，以便更好地养护管理好桥梁，并能指导今后的桥梁养护、加固与维修工作。</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检测依据</w:t>
            </w:r>
          </w:p>
          <w:p>
            <w:pPr>
              <w:pStyle w:val="null3"/>
              <w:ind w:firstLine="280"/>
              <w:jc w:val="both"/>
            </w:pPr>
            <w:r>
              <w:rPr>
                <w:rFonts w:ascii="仿宋_GB2312" w:hAnsi="仿宋_GB2312" w:cs="仿宋_GB2312" w:eastAsia="仿宋_GB2312"/>
                <w:sz w:val="28"/>
              </w:rPr>
              <w:t>公路桥梁检查采用现行的国家、交通部颁布的公路建设标准、法规、规范、规程、文件等。</w:t>
            </w:r>
          </w:p>
          <w:p>
            <w:pPr>
              <w:pStyle w:val="null3"/>
              <w:ind w:firstLine="560"/>
              <w:jc w:val="both"/>
            </w:pPr>
            <w:r>
              <w:rPr>
                <w:rFonts w:ascii="仿宋_GB2312" w:hAnsi="仿宋_GB2312" w:cs="仿宋_GB2312" w:eastAsia="仿宋_GB2312"/>
                <w:sz w:val="28"/>
              </w:rPr>
              <w:t>1、《公路桥涵养护规范》(JTG5120-2021);</w:t>
            </w:r>
          </w:p>
          <w:p>
            <w:pPr>
              <w:pStyle w:val="null3"/>
              <w:ind w:firstLine="560"/>
              <w:jc w:val="both"/>
            </w:pPr>
            <w:r>
              <w:rPr>
                <w:rFonts w:ascii="仿宋_GB2312" w:hAnsi="仿宋_GB2312" w:cs="仿宋_GB2312" w:eastAsia="仿宋_GB2312"/>
                <w:sz w:val="28"/>
              </w:rPr>
              <w:t>2、《公路桥涵设计通用规范》（JTG D60-2015）；</w:t>
            </w:r>
          </w:p>
          <w:p>
            <w:pPr>
              <w:pStyle w:val="null3"/>
              <w:ind w:firstLine="560"/>
              <w:jc w:val="both"/>
            </w:pPr>
            <w:r>
              <w:rPr>
                <w:rFonts w:ascii="仿宋_GB2312" w:hAnsi="仿宋_GB2312" w:cs="仿宋_GB2312" w:eastAsia="仿宋_GB2312"/>
                <w:sz w:val="28"/>
              </w:rPr>
              <w:t>3、《公路桥梁技术状况评定标准》(JTG/TH21-2011);</w:t>
            </w:r>
          </w:p>
          <w:p>
            <w:pPr>
              <w:pStyle w:val="null3"/>
              <w:ind w:firstLine="560"/>
              <w:jc w:val="both"/>
            </w:pPr>
            <w:r>
              <w:rPr>
                <w:rFonts w:ascii="仿宋_GB2312" w:hAnsi="仿宋_GB2312" w:cs="仿宋_GB2312" w:eastAsia="仿宋_GB2312"/>
                <w:sz w:val="28"/>
              </w:rPr>
              <w:t>4、《公路养护安全作业规程》(JTGH30-2015);</w:t>
            </w:r>
          </w:p>
          <w:p>
            <w:pPr>
              <w:pStyle w:val="null3"/>
              <w:ind w:firstLine="560"/>
              <w:jc w:val="both"/>
            </w:pPr>
            <w:r>
              <w:rPr>
                <w:rFonts w:ascii="仿宋_GB2312" w:hAnsi="仿宋_GB2312" w:cs="仿宋_GB2312" w:eastAsia="仿宋_GB2312"/>
                <w:sz w:val="28"/>
              </w:rPr>
              <w:t>5、《公路工程质量检验评定标准(第一册)土建工程》(JTGF80/1-2017)</w:t>
            </w:r>
          </w:p>
          <w:p>
            <w:pPr>
              <w:pStyle w:val="null3"/>
              <w:ind w:firstLine="560"/>
              <w:jc w:val="both"/>
            </w:pPr>
            <w:r>
              <w:rPr>
                <w:rFonts w:ascii="仿宋_GB2312" w:hAnsi="仿宋_GB2312" w:cs="仿宋_GB2312" w:eastAsia="仿宋_GB2312"/>
                <w:sz w:val="28"/>
              </w:rPr>
              <w:t>6、《公路钢筋混凝土及预应力混凝土桥涵设计规范》JTG3362-2018;</w:t>
            </w:r>
          </w:p>
          <w:p>
            <w:pPr>
              <w:pStyle w:val="null3"/>
              <w:ind w:firstLine="560"/>
              <w:jc w:val="both"/>
            </w:pPr>
            <w:r>
              <w:rPr>
                <w:rFonts w:ascii="仿宋_GB2312" w:hAnsi="仿宋_GB2312" w:cs="仿宋_GB2312" w:eastAsia="仿宋_GB2312"/>
                <w:sz w:val="28"/>
              </w:rPr>
              <w:t>7、其他国家相关标准与规范要求。</w:t>
            </w:r>
          </w:p>
          <w:p>
            <w:pPr>
              <w:pStyle w:val="null3"/>
              <w:ind w:firstLine="562"/>
              <w:jc w:val="both"/>
            </w:pPr>
            <w:r>
              <w:rPr>
                <w:rFonts w:ascii="仿宋_GB2312" w:hAnsi="仿宋_GB2312" w:cs="仿宋_GB2312" w:eastAsia="仿宋_GB2312"/>
                <w:sz w:val="28"/>
                <w:b/>
              </w:rPr>
              <w:t>注：检测过程中如遇调整或最新规范时，以调整后或最新规范内容为准。</w:t>
            </w:r>
          </w:p>
          <w:p>
            <w:pPr>
              <w:pStyle w:val="null3"/>
              <w:ind w:firstLine="281"/>
              <w:jc w:val="both"/>
            </w:pPr>
            <w:r>
              <w:rPr>
                <w:rFonts w:ascii="仿宋_GB2312" w:hAnsi="仿宋_GB2312" w:cs="仿宋_GB2312" w:eastAsia="仿宋_GB2312"/>
                <w:sz w:val="28"/>
                <w:b/>
              </w:rPr>
              <w:t>（</w:t>
            </w:r>
            <w:r>
              <w:rPr>
                <w:rFonts w:ascii="仿宋_GB2312" w:hAnsi="仿宋_GB2312" w:cs="仿宋_GB2312" w:eastAsia="仿宋_GB2312"/>
                <w:sz w:val="28"/>
                <w:b/>
              </w:rPr>
              <w:t>三</w:t>
            </w:r>
            <w:r>
              <w:rPr>
                <w:rFonts w:ascii="仿宋_GB2312" w:hAnsi="仿宋_GB2312" w:cs="仿宋_GB2312" w:eastAsia="仿宋_GB2312"/>
                <w:sz w:val="28"/>
                <w:b/>
              </w:rPr>
              <w:t>）</w:t>
            </w:r>
            <w:r>
              <w:rPr>
                <w:rFonts w:ascii="仿宋_GB2312" w:hAnsi="仿宋_GB2312" w:cs="仿宋_GB2312" w:eastAsia="仿宋_GB2312"/>
                <w:sz w:val="28"/>
                <w:b/>
              </w:rPr>
              <w:t>检测内容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现场校核桥梁基本数据</w:t>
            </w:r>
            <w:r>
              <w:rPr>
                <w:rFonts w:ascii="仿宋_GB2312" w:hAnsi="仿宋_GB2312" w:cs="仿宋_GB2312" w:eastAsia="仿宋_GB2312"/>
                <w:sz w:val="28"/>
              </w:rPr>
              <w:t>(桥梁基本状况卡片见《公路桥涵养护规范》(JTG5120-2021)附录A)。当场填写“桥梁检查评定记录表”(见《公路桥梁技术状况评定标准》(JTG/TH21-2011)附录A)，记录各部件缺损状况并做出技术状况评分。</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实地判断缺损原因，确定维修范围及方式。对难以判断损坏原因和程度的部件，应专项咨询论证并形成结论。好损坏产备，危及安全运行的危桥，提出处置的建议。</w:t>
            </w:r>
          </w:p>
          <w:p>
            <w:pPr>
              <w:pStyle w:val="null3"/>
              <w:ind w:firstLine="560"/>
              <w:jc w:val="both"/>
            </w:pPr>
            <w:r>
              <w:rPr>
                <w:rFonts w:ascii="仿宋_GB2312" w:hAnsi="仿宋_GB2312" w:cs="仿宋_GB2312" w:eastAsia="仿宋_GB2312"/>
                <w:sz w:val="28"/>
              </w:rPr>
              <w:t>3)桥面系构造的检查:包括但不限于桥面铺装层纵、横坡是否顺适，有无严重裂缝(龟裂，纵横裂缝)、坑槽</w:t>
            </w:r>
            <w:r>
              <w:rPr>
                <w:rFonts w:ascii="仿宋_GB2312" w:hAnsi="仿宋_GB2312" w:cs="仿宋_GB2312" w:eastAsia="仿宋_GB2312"/>
                <w:sz w:val="28"/>
              </w:rPr>
              <w:t>、</w:t>
            </w:r>
            <w:r>
              <w:rPr>
                <w:rFonts w:ascii="仿宋_GB2312" w:hAnsi="仿宋_GB2312" w:cs="仿宋_GB2312" w:eastAsia="仿宋_GB2312"/>
                <w:sz w:val="28"/>
              </w:rPr>
              <w:t>波浪、桥头跳车、防水层漏水。伸缩缝是否有异常变形、破损、脱落、漏水，是否造成明显跳车。护栏有无撞坏、断裂错位、缺件、剥落、锈蚀等。桥面排水是否顺畅，泄水管是否完好、畅通，桥头排水沟功能是否完好，锥坡桥头护岸有无冲蚀、塌陷。桥上交通信号、标志、标线、照明设施是否损坏、老化、失效，是否需要更换。桥上的路用通信、供电线路及设备是否完好。</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钢筋混凝土和预应力混凝土梁桥的检查</w:t>
            </w:r>
            <w:r>
              <w:rPr>
                <w:rFonts w:ascii="仿宋_GB2312" w:hAnsi="仿宋_GB2312" w:cs="仿宋_GB2312" w:eastAsia="仿宋_GB2312"/>
                <w:sz w:val="28"/>
              </w:rPr>
              <w:t>:包括但不限于:梁端头、底面是否损坏，箱形梁内是否有积水，通气是否良好。混凝土有无裂缝、渗水、表面风化、剥落、露筋和钢筋锈蚀，有无碱集料反应引起的整体龟裂现象。混凝土表面有无严重碳化。预应力钢束锚固区段混凝土有无开裂，沿预应筋的混凝土表面有无纵向裂缝。梁(板)式结构的跨中、支点及变截面处，悬臂端牛腿或中间铰部位，钢构的固结处和桁架节点部位，混凝土是否开裂、缺损和出现钢筋锈蚀。装配式梁桥应注意检查联结部位的缺损状况。组合梁的桥面板与梁的结合部位及预制桥面板之间的接头处混凝土有无开裂、渗水。横向联合构件是否开裂，连接钢板的焊缝有无锈蚀、断裂，边梁有无横移或向外倾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支座的检查</w:t>
            </w:r>
            <w:r>
              <w:rPr>
                <w:rFonts w:ascii="仿宋_GB2312" w:hAnsi="仿宋_GB2312" w:cs="仿宋_GB2312" w:eastAsia="仿宋_GB2312"/>
                <w:sz w:val="28"/>
              </w:rPr>
              <w:t>：</w:t>
            </w:r>
            <w:r>
              <w:rPr>
                <w:rFonts w:ascii="仿宋_GB2312" w:hAnsi="仿宋_GB2312" w:cs="仿宋_GB2312" w:eastAsia="仿宋_GB2312"/>
                <w:sz w:val="28"/>
              </w:rPr>
              <w:t>包括但不限于</w:t>
            </w:r>
            <w:r>
              <w:rPr>
                <w:rFonts w:ascii="仿宋_GB2312" w:hAnsi="仿宋_GB2312" w:cs="仿宋_GB2312" w:eastAsia="仿宋_GB2312"/>
                <w:sz w:val="28"/>
              </w:rPr>
              <w:t>：</w:t>
            </w:r>
            <w:r>
              <w:rPr>
                <w:rFonts w:ascii="仿宋_GB2312" w:hAnsi="仿宋_GB2312" w:cs="仿宋_GB2312" w:eastAsia="仿宋_GB2312"/>
                <w:sz w:val="28"/>
              </w:rPr>
              <w:t>支座组件是否完好、清洁，有无断裂、错位、脱空。支承垫石是否有裂缝。橡胶支座是否老化、开裂，有无过大的剪切变形或压缩变形</w:t>
            </w:r>
            <w:r>
              <w:rPr>
                <w:rFonts w:ascii="仿宋_GB2312" w:hAnsi="仿宋_GB2312" w:cs="仿宋_GB2312" w:eastAsia="仿宋_GB2312"/>
                <w:sz w:val="28"/>
              </w:rPr>
              <w:t>,各夹层钢板之间的橡胶层外凸是否均匀。四氟滑板支座是否脏污、老化，四氟乙烯板是否完好，橡胶块是否滑出钢板。 盆式橡胶支座的固定螺栓是否剪断，螺母是否松动，钢盆外露部分是否锈蚀，防尘罩是否完好。支座是否丢失。</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墩台与基础的检查</w:t>
            </w:r>
            <w:r>
              <w:rPr>
                <w:rFonts w:ascii="仿宋_GB2312" w:hAnsi="仿宋_GB2312" w:cs="仿宋_GB2312" w:eastAsia="仿宋_GB2312"/>
                <w:sz w:val="28"/>
              </w:rPr>
              <w:t>：</w:t>
            </w:r>
            <w:r>
              <w:rPr>
                <w:rFonts w:ascii="仿宋_GB2312" w:hAnsi="仿宋_GB2312" w:cs="仿宋_GB2312" w:eastAsia="仿宋_GB2312"/>
                <w:sz w:val="28"/>
              </w:rPr>
              <w:t>包括但不限于</w:t>
            </w:r>
            <w:r>
              <w:rPr>
                <w:rFonts w:ascii="仿宋_GB2312" w:hAnsi="仿宋_GB2312" w:cs="仿宋_GB2312" w:eastAsia="仿宋_GB2312"/>
                <w:sz w:val="28"/>
              </w:rPr>
              <w:t>：</w:t>
            </w:r>
            <w:r>
              <w:rPr>
                <w:rFonts w:ascii="仿宋_GB2312" w:hAnsi="仿宋_GB2312" w:cs="仿宋_GB2312" w:eastAsia="仿宋_GB2312"/>
                <w:sz w:val="28"/>
              </w:rPr>
              <w:t>墩台及基础有无滑动、倾斜、下沉或冻拔。台背填土有无沉降或挤压隆起。混凝土墩台及帽梁有无冻胀、风化、开裂、剥落、露筋等。石砌墩台有无砌块断裂、通缝脱开、变形，砌体泄水孔是否堵塞，防水层是否损坏。墩台顶面是否清洁，伸缩缝处是否漏水。基础下是否发生不许可的冲刷或淘空现象，扩大基础的地基有无侵蚀。桩基顶段在水位涨落、干湿交替变化处有无冲刷磨损、颈缩、露筋，有无环状冻裂，是否受到污水、咸</w:t>
            </w:r>
            <w:r>
              <w:rPr>
                <w:rFonts w:ascii="仿宋_GB2312" w:hAnsi="仿宋_GB2312" w:cs="仿宋_GB2312" w:eastAsia="仿宋_GB2312"/>
                <w:sz w:val="28"/>
              </w:rPr>
              <w:t>水或生物的腐蚀</w:t>
            </w:r>
            <w:r>
              <w:rPr>
                <w:rFonts w:ascii="仿宋_GB2312" w:hAnsi="仿宋_GB2312" w:cs="仿宋_GB2312" w:eastAsia="仿宋_GB2312"/>
                <w:sz w:val="28"/>
              </w:rPr>
              <w:t>，调治构造物是否完好</w:t>
            </w:r>
            <w:r>
              <w:rPr>
                <w:rFonts w:ascii="仿宋_GB2312" w:hAnsi="仿宋_GB2312" w:cs="仿宋_GB2312" w:eastAsia="仿宋_GB2312"/>
                <w:sz w:val="28"/>
              </w:rPr>
              <w:t>，</w:t>
            </w:r>
            <w:r>
              <w:rPr>
                <w:rFonts w:ascii="仿宋_GB2312" w:hAnsi="仿宋_GB2312" w:cs="仿宋_GB2312" w:eastAsia="仿宋_GB2312"/>
                <w:sz w:val="28"/>
              </w:rPr>
              <w:t>功能是否适用，</w:t>
            </w:r>
            <w:r>
              <w:rPr>
                <w:rFonts w:ascii="仿宋_GB2312" w:hAnsi="仿宋_GB2312" w:cs="仿宋_GB2312" w:eastAsia="仿宋_GB2312"/>
                <w:sz w:val="28"/>
              </w:rPr>
              <w:t>桥位段河床是否有明显的冲淤或漂浮物堵塞现象</w:t>
            </w:r>
            <w:r>
              <w:rPr>
                <w:rFonts w:ascii="仿宋_GB2312" w:hAnsi="仿宋_GB2312" w:cs="仿宋_GB2312" w:eastAsia="仿宋_GB2312"/>
                <w:sz w:val="28"/>
              </w:rPr>
              <w:t>。</w:t>
            </w:r>
            <w:r>
              <w:rPr>
                <w:rFonts w:ascii="仿宋_GB2312" w:hAnsi="仿宋_GB2312" w:cs="仿宋_GB2312" w:eastAsia="仿宋_GB2312"/>
                <w:sz w:val="28"/>
              </w:rPr>
              <w:t>吊杆索为有无异常变化。吊杆</w:t>
            </w:r>
            <w:r>
              <w:rPr>
                <w:rFonts w:ascii="仿宋_GB2312" w:hAnsi="仿宋_GB2312" w:cs="仿宋_GB2312" w:eastAsia="仿宋_GB2312"/>
                <w:sz w:val="28"/>
              </w:rPr>
              <w:t>防护套有无开裂、鼓包、</w:t>
            </w:r>
            <w:r>
              <w:rPr>
                <w:rFonts w:ascii="仿宋_GB2312" w:hAnsi="仿宋_GB2312" w:cs="仿宋_GB2312" w:eastAsia="仿宋_GB2312"/>
                <w:sz w:val="28"/>
              </w:rPr>
              <w:t>破损，必要时可打开防护套</w:t>
            </w:r>
            <w:r>
              <w:rPr>
                <w:rFonts w:ascii="仿宋_GB2312" w:hAnsi="仿宋_GB2312" w:cs="仿宋_GB2312" w:eastAsia="仿宋_GB2312"/>
                <w:sz w:val="28"/>
              </w:rPr>
              <w:t>，</w:t>
            </w:r>
            <w:r>
              <w:rPr>
                <w:rFonts w:ascii="仿宋_GB2312" w:hAnsi="仿宋_GB2312" w:cs="仿宋_GB2312" w:eastAsia="仿宋_GB2312"/>
                <w:sz w:val="28"/>
              </w:rPr>
              <w:t>检</w:t>
            </w:r>
            <w:r>
              <w:rPr>
                <w:rFonts w:ascii="仿宋_GB2312" w:hAnsi="仿宋_GB2312" w:cs="仿宋_GB2312" w:eastAsia="仿宋_GB2312"/>
                <w:sz w:val="28"/>
              </w:rPr>
              <w:t>查吊杆钢丝</w:t>
            </w:r>
            <w:r>
              <w:rPr>
                <w:rFonts w:ascii="仿宋_GB2312" w:hAnsi="仿宋_GB2312" w:cs="仿宋_GB2312" w:eastAsia="仿宋_GB2312"/>
                <w:sz w:val="28"/>
              </w:rPr>
              <w:t>涂膜</w:t>
            </w:r>
            <w:r>
              <w:rPr>
                <w:rFonts w:ascii="仿宋_GB2312" w:hAnsi="仿宋_GB2312" w:cs="仿宋_GB2312" w:eastAsia="仿宋_GB2312"/>
                <w:sz w:val="28"/>
              </w:rPr>
              <w:t>有无劣化，钢丝有无锈蚀、断丝，钢套管有无锈蚀、损坏</w:t>
            </w:r>
            <w:r>
              <w:rPr>
                <w:rFonts w:ascii="仿宋_GB2312" w:hAnsi="仿宋_GB2312" w:cs="仿宋_GB2312" w:eastAsia="仿宋_GB2312"/>
                <w:sz w:val="28"/>
              </w:rPr>
              <w:t>，</w:t>
            </w:r>
            <w:r>
              <w:rPr>
                <w:rFonts w:ascii="仿宋_GB2312" w:hAnsi="仿宋_GB2312" w:cs="仿宋_GB2312" w:eastAsia="仿宋_GB2312"/>
                <w:sz w:val="28"/>
              </w:rPr>
              <w:t>内部有无积水</w:t>
            </w:r>
            <w:r>
              <w:rPr>
                <w:rFonts w:ascii="仿宋_GB2312" w:hAnsi="仿宋_GB2312" w:cs="仿宋_GB2312" w:eastAsia="仿宋_GB2312"/>
                <w:sz w:val="28"/>
              </w:rPr>
              <w:t>；</w:t>
            </w:r>
            <w:r>
              <w:rPr>
                <w:rFonts w:ascii="仿宋_GB2312" w:hAnsi="仿宋_GB2312" w:cs="仿宋_GB2312" w:eastAsia="仿宋_GB2312"/>
                <w:sz w:val="28"/>
              </w:rPr>
              <w:t>吊杆导管端密封减振设施和其他减振装置有无病害及异常等。</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逐个检查吊杆锚头及周围锚固区的情况，锚具是否渗水、锈蚀，是否有锈水流出的痕迹</w:t>
            </w:r>
            <w:r>
              <w:rPr>
                <w:rFonts w:ascii="仿宋_GB2312" w:hAnsi="仿宋_GB2312" w:cs="仿宋_GB2312" w:eastAsia="仿宋_GB2312"/>
                <w:sz w:val="28"/>
              </w:rPr>
              <w:t>,锚固区是否开裂。必要时可打开锚具后盖抽查锚杯内是否积水、潮湿，防锈油是否结块、乳化失效，锚杯是否锈蚀。锚头是否锈蚀，镦头或夹片是否异常，锚头螺母位置有无异常。</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桥塔有无异常变位，锚固区是否有开裂、水渍，有无渗水现象。混凝土结构有无缺损、裂缝、剥落、露筋、钢筋锈蚀。钢结构涂装是否粉化、脱落、起泡、开裂，钢结构是否锈蚀、变形、裂缝</w:t>
            </w:r>
            <w:r>
              <w:rPr>
                <w:rFonts w:ascii="仿宋_GB2312" w:hAnsi="仿宋_GB2312" w:cs="仿宋_GB2312" w:eastAsia="仿宋_GB2312"/>
                <w:sz w:val="28"/>
              </w:rPr>
              <w:t>；</w:t>
            </w:r>
            <w:r>
              <w:rPr>
                <w:rFonts w:ascii="仿宋_GB2312" w:hAnsi="仿宋_GB2312" w:cs="仿宋_GB2312" w:eastAsia="仿宋_GB2312"/>
                <w:sz w:val="28"/>
              </w:rPr>
              <w:t>螺栓是否缺失、损坏、松动</w:t>
            </w:r>
            <w:r>
              <w:rPr>
                <w:rFonts w:ascii="仿宋_GB2312" w:hAnsi="仿宋_GB2312" w:cs="仿宋_GB2312" w:eastAsia="仿宋_GB2312"/>
                <w:sz w:val="28"/>
              </w:rPr>
              <w:t>；</w:t>
            </w:r>
            <w:r>
              <w:rPr>
                <w:rFonts w:ascii="仿宋_GB2312" w:hAnsi="仿宋_GB2312" w:cs="仿宋_GB2312" w:eastAsia="仿宋_GB2312"/>
                <w:sz w:val="28"/>
              </w:rPr>
              <w:t>钢与混凝土连接是否完好。</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拉索索力有无异常变化，观测斜拉索线形有无异常。斜拉索防护套有无开裂、鼓包、破损、老化变质，必要时可以打开防护套，检查斜拉索的钢丝涂层劣化、破损、锈蚀及断丝情况。</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钢护简是否脱漆、锈蚀，钢护简内有无积水，钢护简与斜拉索密封是否可靠，橡胶圈是否老化或严重磨损，橡胶圈固定装置有无损坏，阻尼器有无异常变形、松动、漏油、螺栓缺失、结构脱漆、锈蚀、裂缝。</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w:t>
            </w:r>
            <w:r>
              <w:rPr>
                <w:rFonts w:ascii="仿宋_GB2312" w:hAnsi="仿宋_GB2312" w:cs="仿宋_GB2312" w:eastAsia="仿宋_GB2312"/>
                <w:sz w:val="28"/>
              </w:rPr>
              <w:t>桥梁构件气动外形是否发生改变</w:t>
            </w:r>
            <w:r>
              <w:rPr>
                <w:rFonts w:ascii="仿宋_GB2312" w:hAnsi="仿宋_GB2312" w:cs="仿宋_GB2312" w:eastAsia="仿宋_GB2312"/>
                <w:sz w:val="28"/>
              </w:rPr>
              <w:t>；</w:t>
            </w:r>
            <w:r>
              <w:rPr>
                <w:rFonts w:ascii="仿宋_GB2312" w:hAnsi="仿宋_GB2312" w:cs="仿宋_GB2312" w:eastAsia="仿宋_GB2312"/>
                <w:sz w:val="28"/>
              </w:rPr>
              <w:t>气动措施和风障是否完好</w:t>
            </w:r>
            <w:r>
              <w:rPr>
                <w:rFonts w:ascii="仿宋_GB2312" w:hAnsi="仿宋_GB2312" w:cs="仿宋_GB2312" w:eastAsia="仿宋_GB2312"/>
                <w:sz w:val="28"/>
              </w:rPr>
              <w:t>;钢主梁检修车轨道、桥面风障、护栏、栏杆的形状及位置是否发生改变。</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拱桥系杆外部涂层是否劣化，系杆有无松动，锚头、防护罩、钢箱有无锈蚀、损坏。</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w:t>
            </w:r>
            <w:r>
              <w:rPr>
                <w:rFonts w:ascii="仿宋_GB2312" w:hAnsi="仿宋_GB2312" w:cs="仿宋_GB2312" w:eastAsia="仿宋_GB2312"/>
                <w:sz w:val="28"/>
              </w:rPr>
              <w:t>桥梁检查中发现的各种缺损均应在现场用油漆等将其范围及日期标记清楚。发现三类以上桥梁及有严重缺损和难以判明损坏原因和程度的桥梁，应作影像记录，并附病害状况说明。同时，对桥梁安全保护区范围内的地质、地形、地貌、河道、进出口仰坡、左右边坡等涉及安全运营的情况应进行详细描述和图片记录。</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检测单位必须按照最新《公路桥涵养护规范》章节要求，对高墩、特长桥梁、特殊结构桥梁设置永久性观测点，可采用相对独立的基准测量系统，测点布设和本次检测数据等资料应逐桥绘制图表提交管养单位。</w:t>
            </w:r>
          </w:p>
          <w:p>
            <w:pPr>
              <w:pStyle w:val="null3"/>
              <w:jc w:val="both"/>
            </w:pPr>
            <w:r>
              <w:rPr>
                <w:rFonts w:ascii="仿宋_GB2312" w:hAnsi="仿宋_GB2312" w:cs="仿宋_GB2312" w:eastAsia="仿宋_GB2312"/>
                <w:sz w:val="28"/>
                <w:b/>
              </w:rPr>
              <w:t>三、技术要求</w:t>
            </w:r>
          </w:p>
          <w:p>
            <w:pPr>
              <w:pStyle w:val="null3"/>
              <w:ind w:firstLine="560"/>
              <w:jc w:val="both"/>
            </w:pPr>
            <w:r>
              <w:rPr>
                <w:rFonts w:ascii="仿宋_GB2312" w:hAnsi="仿宋_GB2312" w:cs="仿宋_GB2312" w:eastAsia="仿宋_GB2312"/>
                <w:sz w:val="28"/>
              </w:rPr>
              <w:t>根据检测评估结果对破损露筋、钢筋锈胀、裂缝、锈蚀等轻微缺损、轻微病害提出相应的养护维修建议，并对严重病害提出特殊检测、专项维修加固建议。</w:t>
            </w:r>
          </w:p>
          <w:p>
            <w:pPr>
              <w:pStyle w:val="null3"/>
              <w:jc w:val="both"/>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8"/>
              </w:rPr>
              <w:t>工作符合</w:t>
            </w:r>
            <w:r>
              <w:rPr>
                <w:rFonts w:ascii="仿宋_GB2312" w:hAnsi="仿宋_GB2312" w:cs="仿宋_GB2312" w:eastAsia="仿宋_GB2312"/>
                <w:sz w:val="28"/>
              </w:rPr>
              <w:t>国家及行业对桥梁</w:t>
            </w:r>
            <w:r>
              <w:rPr>
                <w:rFonts w:ascii="仿宋_GB2312" w:hAnsi="仿宋_GB2312" w:cs="仿宋_GB2312" w:eastAsia="仿宋_GB2312"/>
                <w:sz w:val="28"/>
              </w:rPr>
              <w:t>检测相关规定及要求。</w:t>
            </w:r>
          </w:p>
          <w:p>
            <w:pPr>
              <w:pStyle w:val="null3"/>
              <w:jc w:val="both"/>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自合同签订之日起</w:t>
            </w:r>
            <w:r>
              <w:rPr>
                <w:rFonts w:ascii="仿宋_GB2312" w:hAnsi="仿宋_GB2312" w:cs="仿宋_GB2312" w:eastAsia="仿宋_GB2312"/>
                <w:sz w:val="28"/>
              </w:rPr>
              <w:t>60日历天完成。</w:t>
            </w:r>
          </w:p>
          <w:p>
            <w:pPr>
              <w:pStyle w:val="null3"/>
              <w:ind w:firstLine="56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预付款：无</w:t>
            </w:r>
          </w:p>
          <w:p>
            <w:pPr>
              <w:pStyle w:val="null3"/>
              <w:ind w:firstLine="560"/>
              <w:jc w:val="both"/>
            </w:pPr>
            <w:r>
              <w:rPr>
                <w:rFonts w:ascii="仿宋_GB2312" w:hAnsi="仿宋_GB2312" w:cs="仿宋_GB2312" w:eastAsia="仿宋_GB2312"/>
                <w:sz w:val="28"/>
              </w:rPr>
              <w:t>乙方完成全部里程检测后，甲方支付乙方检测总费用的</w:t>
            </w:r>
            <w:r>
              <w:rPr>
                <w:rFonts w:ascii="仿宋_GB2312" w:hAnsi="仿宋_GB2312" w:cs="仿宋_GB2312" w:eastAsia="仿宋_GB2312"/>
                <w:sz w:val="28"/>
              </w:rPr>
              <w:t>30%，待甲方收到乙方出具正式检测报告后，支付乙方检测剩余全部费用。甲方付款前，乙方向甲方开具符合要求的正式发票，方可办理相关申报支付手续。</w:t>
            </w:r>
          </w:p>
          <w:p>
            <w:pPr>
              <w:pStyle w:val="null3"/>
              <w:ind w:firstLine="560"/>
              <w:jc w:val="both"/>
            </w:pPr>
            <w:r>
              <w:rPr>
                <w:rFonts w:ascii="仿宋_GB2312" w:hAnsi="仿宋_GB2312" w:cs="仿宋_GB2312" w:eastAsia="仿宋_GB2312"/>
                <w:sz w:val="28"/>
              </w:rPr>
              <w:t>付款采用银行转账方式。</w:t>
            </w:r>
          </w:p>
          <w:p>
            <w:pPr>
              <w:pStyle w:val="null3"/>
              <w:jc w:val="both"/>
            </w:pPr>
            <w:r>
              <w:rPr>
                <w:rFonts w:ascii="仿宋_GB2312" w:hAnsi="仿宋_GB2312" w:cs="仿宋_GB2312" w:eastAsia="仿宋_GB2312"/>
                <w:sz w:val="28"/>
                <w:b/>
              </w:rPr>
              <w:t>六、其他</w:t>
            </w:r>
          </w:p>
          <w:p>
            <w:pPr>
              <w:pStyle w:val="null3"/>
              <w:jc w:val="both"/>
            </w:pPr>
            <w:r>
              <w:rPr>
                <w:rFonts w:ascii="仿宋_GB2312" w:hAnsi="仿宋_GB2312" w:cs="仿宋_GB2312" w:eastAsia="仿宋_GB2312"/>
                <w:sz w:val="28"/>
                <w:b/>
              </w:rPr>
              <w:t>（一）对服务商的业绩要求</w:t>
            </w:r>
          </w:p>
          <w:p>
            <w:pPr>
              <w:pStyle w:val="null3"/>
              <w:ind w:firstLine="560"/>
              <w:jc w:val="both"/>
            </w:pPr>
            <w:r>
              <w:rPr>
                <w:rFonts w:ascii="仿宋_GB2312" w:hAnsi="仿宋_GB2312" w:cs="仿宋_GB2312" w:eastAsia="仿宋_GB2312"/>
                <w:sz w:val="28"/>
              </w:rPr>
              <w:t>近三年具有类似</w:t>
            </w:r>
            <w:r>
              <w:rPr>
                <w:rFonts w:ascii="仿宋_GB2312" w:hAnsi="仿宋_GB2312" w:cs="仿宋_GB2312" w:eastAsia="仿宋_GB2312"/>
                <w:sz w:val="28"/>
              </w:rPr>
              <w:t>检测</w:t>
            </w:r>
            <w:r>
              <w:rPr>
                <w:rFonts w:ascii="仿宋_GB2312" w:hAnsi="仿宋_GB2312" w:cs="仿宋_GB2312" w:eastAsia="仿宋_GB2312"/>
                <w:sz w:val="28"/>
              </w:rPr>
              <w:t>业绩，应提供合同证明资料，以合同签订时间为准。</w:t>
            </w:r>
          </w:p>
          <w:p>
            <w:pPr>
              <w:pStyle w:val="null3"/>
              <w:jc w:val="both"/>
            </w:pPr>
            <w:r>
              <w:rPr>
                <w:rFonts w:ascii="仿宋_GB2312" w:hAnsi="仿宋_GB2312" w:cs="仿宋_GB2312" w:eastAsia="仿宋_GB2312"/>
                <w:sz w:val="28"/>
                <w:b/>
              </w:rPr>
              <w:t>（二）进度要求</w:t>
            </w:r>
          </w:p>
          <w:p>
            <w:pPr>
              <w:pStyle w:val="null3"/>
              <w:ind w:firstLine="560"/>
              <w:jc w:val="both"/>
            </w:pPr>
            <w:r>
              <w:rPr>
                <w:rFonts w:ascii="仿宋_GB2312" w:hAnsi="仿宋_GB2312" w:cs="仿宋_GB2312" w:eastAsia="仿宋_GB2312"/>
                <w:sz w:val="28"/>
              </w:rPr>
              <w:t>项目计划工作期限为</w:t>
            </w:r>
            <w:r>
              <w:rPr>
                <w:rFonts w:ascii="仿宋_GB2312" w:hAnsi="仿宋_GB2312" w:cs="仿宋_GB2312" w:eastAsia="仿宋_GB2312"/>
                <w:sz w:val="28"/>
              </w:rPr>
              <w:t>60天，具体开工时间以合同签订日期为准，合同签订后30天内必须完成现场检测工作，60天内提交正式报告</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（三）成果交付要求</w:t>
            </w:r>
          </w:p>
          <w:p>
            <w:pPr>
              <w:pStyle w:val="null3"/>
              <w:ind w:firstLine="560"/>
              <w:jc w:val="both"/>
            </w:pPr>
            <w:r>
              <w:rPr>
                <w:rFonts w:ascii="仿宋_GB2312" w:hAnsi="仿宋_GB2312" w:cs="仿宋_GB2312" w:eastAsia="仿宋_GB2312"/>
                <w:sz w:val="28"/>
              </w:rPr>
              <w:t>对于成果提交型的项目，应当在采购需求中明确服务商应提交的最终成果的内容、规格和数量等。</w:t>
            </w:r>
          </w:p>
          <w:p>
            <w:pPr>
              <w:pStyle w:val="null3"/>
              <w:ind w:firstLine="560"/>
              <w:jc w:val="both"/>
            </w:pPr>
            <w:r>
              <w:rPr>
                <w:rFonts w:ascii="仿宋_GB2312" w:hAnsi="仿宋_GB2312" w:cs="仿宋_GB2312" w:eastAsia="仿宋_GB2312"/>
                <w:sz w:val="28"/>
              </w:rPr>
              <w:t>书面报告一式</w:t>
            </w:r>
            <w:r>
              <w:rPr>
                <w:rFonts w:ascii="仿宋_GB2312" w:hAnsi="仿宋_GB2312" w:cs="仿宋_GB2312" w:eastAsia="仿宋_GB2312"/>
                <w:sz w:val="28"/>
              </w:rPr>
              <w:t>3</w:t>
            </w:r>
            <w:r>
              <w:rPr>
                <w:rFonts w:ascii="仿宋_GB2312" w:hAnsi="仿宋_GB2312" w:cs="仿宋_GB2312" w:eastAsia="仿宋_GB2312"/>
                <w:sz w:val="28"/>
              </w:rPr>
              <w:t>份，同时提交电子文档。</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质量验收标准或规范</w:t>
            </w:r>
          </w:p>
          <w:p>
            <w:pPr>
              <w:pStyle w:val="null3"/>
              <w:ind w:firstLine="560"/>
              <w:jc w:val="both"/>
            </w:pPr>
            <w:r>
              <w:rPr>
                <w:rFonts w:ascii="仿宋_GB2312" w:hAnsi="仿宋_GB2312" w:cs="仿宋_GB2312" w:eastAsia="仿宋_GB2312"/>
                <w:sz w:val="28"/>
              </w:rPr>
              <w:t>现行的国家标准或国家行政部门颁布的法律法规、规章制度等，是项目验收的另一个重要依据。没有国家标准的，可以参考行业标准。</w:t>
            </w:r>
          </w:p>
          <w:p>
            <w:pPr>
              <w:pStyle w:val="null3"/>
              <w:jc w:val="both"/>
            </w:pPr>
            <w:r>
              <w:rPr>
                <w:rFonts w:ascii="仿宋_GB2312" w:hAnsi="仿宋_GB2312" w:cs="仿宋_GB2312" w:eastAsia="仿宋_GB2312"/>
                <w:sz w:val="28"/>
              </w:rPr>
              <w:t>现场测试和数据处理评价依据以下现行标准、规范：</w:t>
            </w:r>
          </w:p>
          <w:p>
            <w:pPr>
              <w:pStyle w:val="null3"/>
              <w:ind w:firstLine="560"/>
              <w:jc w:val="both"/>
            </w:pPr>
            <w:r>
              <w:rPr>
                <w:rFonts w:ascii="仿宋_GB2312" w:hAnsi="仿宋_GB2312" w:cs="仿宋_GB2312" w:eastAsia="仿宋_GB2312"/>
                <w:sz w:val="28"/>
              </w:rPr>
              <w:t>1、《公路桥涵养护规范》(JTG5120-2021);</w:t>
            </w:r>
          </w:p>
          <w:p>
            <w:pPr>
              <w:pStyle w:val="null3"/>
              <w:ind w:firstLine="560"/>
              <w:jc w:val="both"/>
            </w:pPr>
            <w:r>
              <w:rPr>
                <w:rFonts w:ascii="仿宋_GB2312" w:hAnsi="仿宋_GB2312" w:cs="仿宋_GB2312" w:eastAsia="仿宋_GB2312"/>
                <w:sz w:val="28"/>
              </w:rPr>
              <w:t>2、《公路桥涵设计通用规范》（JTG D60-2015）；</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《公路桥梁技术状况评定标准》</w:t>
            </w:r>
            <w:r>
              <w:rPr>
                <w:rFonts w:ascii="仿宋_GB2312" w:hAnsi="仿宋_GB2312" w:cs="仿宋_GB2312" w:eastAsia="仿宋_GB2312"/>
                <w:sz w:val="28"/>
              </w:rPr>
              <w:t>(JTG/TH21-2011);</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《公路养护安全作业规程》</w:t>
            </w:r>
            <w:r>
              <w:rPr>
                <w:rFonts w:ascii="仿宋_GB2312" w:hAnsi="仿宋_GB2312" w:cs="仿宋_GB2312" w:eastAsia="仿宋_GB2312"/>
                <w:sz w:val="28"/>
              </w:rPr>
              <w:t>(JTGH30-2015);</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《公路工程质量检验评定标准</w:t>
            </w:r>
            <w:r>
              <w:rPr>
                <w:rFonts w:ascii="仿宋_GB2312" w:hAnsi="仿宋_GB2312" w:cs="仿宋_GB2312" w:eastAsia="仿宋_GB2312"/>
                <w:sz w:val="28"/>
              </w:rPr>
              <w:t>(第一册)土建工程》(JTGF80/1-2017)</w:t>
            </w:r>
          </w:p>
          <w:p>
            <w:pPr>
              <w:pStyle w:val="null3"/>
              <w:ind w:firstLine="560"/>
              <w:jc w:val="both"/>
            </w:pPr>
            <w:r>
              <w:rPr>
                <w:rFonts w:ascii="仿宋_GB2312" w:hAnsi="仿宋_GB2312" w:cs="仿宋_GB2312" w:eastAsia="仿宋_GB2312"/>
                <w:sz w:val="28"/>
              </w:rPr>
              <w:t>6、《公路钢筋混凝土及预应力混凝土桥涵设计规范》JTG3362-2018</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7、其他国家相关标准与规范要求。</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五</w:t>
            </w:r>
            <w:r>
              <w:rPr>
                <w:rFonts w:ascii="仿宋_GB2312" w:hAnsi="仿宋_GB2312" w:cs="仿宋_GB2312" w:eastAsia="仿宋_GB2312"/>
                <w:sz w:val="28"/>
                <w:b/>
              </w:rPr>
              <w:t>）违约责任</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）甲方因自身原因未按照合同约定履行时，经甲方确认后，甲方向乙方支付数额为合同费用总额</w:t>
            </w:r>
            <w:r>
              <w:rPr>
                <w:rFonts w:ascii="仿宋_GB2312" w:hAnsi="仿宋_GB2312" w:cs="仿宋_GB2312" w:eastAsia="仿宋_GB2312"/>
                <w:sz w:val="28"/>
              </w:rPr>
              <w:t>10%的违约金；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）乙方因自身原因未按照合同约定履行时，经甲方确认后，乙方应当支付数额为合同费用总额</w:t>
            </w:r>
            <w:r>
              <w:rPr>
                <w:rFonts w:ascii="仿宋_GB2312" w:hAnsi="仿宋_GB2312" w:cs="仿宋_GB2312" w:eastAsia="仿宋_GB2312"/>
                <w:sz w:val="28"/>
              </w:rPr>
              <w:t>10%的违约金；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）检测过程因某方自身原因造成的安全、经济损失、由该方负责承担损失。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详见评标办法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现场测试和数据处理评价依据以下现行标准、规范： 1、《公路桥涵养护规范》(JTG5120-2021); 2、《公路桥涵设计通用规范》（JTG D60-2015）； 3、《公路桥梁技术状况评定标准》(JTG/TH21-2011); 4、《公路养护安全作业规程》(JTGH30-2015); 5、《公路工程质量检验评定标准(第一册)土建工程》(JTGF80/1-2017) 6、《公路钢筋混凝土及预应力混凝土桥涵设计规范》JTG3362-2018; 7、其他国家相关标准与规范要求。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乙方完成全部里程检测后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待甲方收到乙方出具正式检测报告后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（1）甲方因自身原因未按照合同约定履行时，经甲方确认后，甲方向乙方支付数额为合同费用总额10%的违约金； （2）乙方因自身原因未按照合同约定履行时，经甲方确认后，乙方应当支付数额为合同费用总额10%的违约金； （3）检测过程因某方自身原因造成的安全、经济损失、由该方负责承担损失。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注：中标供应商中标后需提供纸质响应文件3份（一正两副）电子版1份，纸质响应文件需胶装，递交地址：西安市未央区御井路3995号国机集团研发中心南幢6层招标部。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1.具有独立承担民事责任能力，提供有效的主体资格证明： 具有独立承担民事责任能力的法人或其他组织或自然人，法人提供有效的营业执照，事业单位提供事业单位法人证书，其他组织提供相关证明材料、自然人应提供身份证； 2.具有良好的商业信誉和健全的财务会计制度 提供2023或2024年度经审计的财务报告（包括四表一注，即资产负债表、 利润表、现金流量表、所有者权益变动表及其附注）；事业法人提供部门决算报告； /或在磋商截止日期前六个月内其基本开户银行出具的资信证明（附《基本存款账户信息》或《银行开户许可证》 复印件）； /或财政部门认可的政府采购专业担保机构出具的投标担保函； /或表明具有良好的商业信誉和健全的财务会计制度的诚信声明； 以上四种形式的资料提供任何一种即可。 3.具有履行合同所必需的设备和专业技术能力。 提供声明文件原件。 4.具有依法缴纳税收的良好记录 提供缴费所属日期为响应文件递交截止时间前 12个月内任一月份（开启时间当月不计入）的缴费凭据（任意税种）或税务机关出具的完税证明/在法规范围内不需提供的应出具书面说明和证明文件； /或具有依法缴纳税收的诚信声明； 以上二种形式的资料提供任何一种即可。 5.社会保障资金缴纳证明： 提供缴费所属日期为响应文件递交截止时间前12个月内任一月份（开启时间当月不计入）的缴费凭据或社保机关出具的缴费证明/在法规范围内不需提供的应出具书面说明和证明文件； /或具有依法缴纳税收的诚信声明； 以上二种形式的资料提供任何一种即可。 6.提供参加政府采购活动前三年内在经营活动中没有重大违法记录的书面声明（原件）；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说明，可提供以下任意一种证明材料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具有交通运输部门颁发的公路水运工程试验检测机构公路工程综合甲级资质或公路工程桥梁隧道工程专项检测资质；具备行政主管部门颁发的有效期内的《计量认证证书》（CMA）；</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被“信用中国”网站（www.creditchina.gov.cn）中列入失信被执行人和重大税收违法失信主体，不得为中国政府采购网（www.ccgp.gov.cn）政府采购严重违法失信行为记录名单中被财政部门禁止参加政府采购活动的供应商；（以代理机构现场查询截图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法定代表人参加磋商的，须提供法定代表人身份证明；法定代表人授权他人参加的，须提供法定代表人委托授权书；采购文件中凡是需要法定代表人签字或盖章之处，非法人单位的负责人均参照执行；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需提供非联合体投标声明函；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响应文件封面 供应商应提交的相关资格证明材料.docx 残疾人福利性单位声明函 服务方案 标的清单 项目管理机构组成表.docx 拟配备本项目的检测仪器设备表.docx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实质性响应条款</w:t>
            </w:r>
          </w:p>
        </w:tc>
        <w:tc>
          <w:tcPr>
            <w:tcW w:type="dxa" w:w="3322"/>
          </w:tcPr>
          <w:p>
            <w:pPr>
              <w:pStyle w:val="null3"/>
            </w:pPr>
            <w:r>
              <w:rPr>
                <w:rFonts w:ascii="仿宋_GB2312" w:hAnsi="仿宋_GB2312" w:cs="仿宋_GB2312" w:eastAsia="仿宋_GB2312"/>
              </w:rPr>
              <w:t>完全响应磋商文件要求的各项商务实质性条款</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供应商提供针对本项目的检测方案及措施进行评审，内容包括：①检测技术方案；②对本项目检测难点与关键点的分析与对策；③检测程序；④检测大纲。涵盖以上内容且不存在缺陷得24分，在此基础上，每缺少一项内容扣6分，每有一处内容存在缺陷扣3分，扣完为止。 注：以上方案“内容存在缺陷”是指： ①方案项目名称、项目编号、内容与本项目要求不一致；②非专门针对本项目或内容与本项目无关；③内容矛盾或表述前后不一致；④复制或套用其他项目内容；以上任意一种情形。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提供针对本项目的重点、难点分析及解决措施，内容至少包括①重、难点分析；②风险点分析；③解决措施等。 涵盖以上内容且不存在缺陷得9分，在此基础上，每缺少一项内容扣3分，每有一处内容存在缺陷扣1.5分，扣完为止。 注：以上方案“内容存在缺陷”是指： ①方案项目名称、项目编号、内容与本项目要求不一致；②非专门针对本项目或内容与本项目无关；③内容矛盾或表述前后不一致；④复制或套用其他项目内容；以上任意一种情形。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交通组织措施</w:t>
            </w:r>
          </w:p>
        </w:tc>
        <w:tc>
          <w:tcPr>
            <w:tcW w:type="dxa" w:w="2492"/>
          </w:tcPr>
          <w:p>
            <w:pPr>
              <w:pStyle w:val="null3"/>
            </w:pPr>
            <w:r>
              <w:rPr>
                <w:rFonts w:ascii="仿宋_GB2312" w:hAnsi="仿宋_GB2312" w:cs="仿宋_GB2312" w:eastAsia="仿宋_GB2312"/>
              </w:rPr>
              <w:t>对供应商提供针对本项目的交通组织措施进行评审，内容包括：①安全设施部署；②人员施工安全措施；③交通安全管理；④交通保障；⑤应急预案。涵盖以上内容且不存在缺陷得15分，在此基础上，每缺少一项内容扣3分，每有一处内容存在缺陷扣1.5分，扣完为止。 注：以上方案“内容存在缺陷”是指： ①方案项目名称、项目编号、内容与本项目要求不一致；②非专门针对本项目或内容与本项目无关；③内容矛盾或表述前后不一致；④复制或套用其他项目内容；以上任意一种情形。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质量承诺及保证措施</w:t>
            </w:r>
          </w:p>
        </w:tc>
        <w:tc>
          <w:tcPr>
            <w:tcW w:type="dxa" w:w="2492"/>
          </w:tcPr>
          <w:p>
            <w:pPr>
              <w:pStyle w:val="null3"/>
            </w:pPr>
            <w:r>
              <w:rPr>
                <w:rFonts w:ascii="仿宋_GB2312" w:hAnsi="仿宋_GB2312" w:cs="仿宋_GB2312" w:eastAsia="仿宋_GB2312"/>
              </w:rPr>
              <w:t>对供应商提供针对本项目的质量承诺及保证措施进行评审，内容包括：①质量管理组织机构；②针对质量方面的违约责任承诺；③检测质量保证措施。涵盖以上内容且不存在缺陷得9分，在此基础上，每缺少一项内容扣3分，每有一处内容存在缺陷扣1.5分，扣完为止。 注：以上方案“内容存在缺陷”是指： ①方案项目名称、项目编号、内容与本项目要求不一致；②非专门针对本项目或内容与本项目无关；③内容矛盾或表述前后不一致；④复制或套用其他项目内容；以上任意一种情形。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对供应商提供针对本项目的工期保证措施进行评审，内容包括：①总体措施；②前期准备方案；③调度指挥方案；④管理方案。涵盖以上内容且不存在缺陷得10分，在此基础上，每缺少一项内容扣2.5分，每有一处内容存在缺陷扣1.25分，扣完为止。 注：以上方案“内容存在缺陷”是指： ①方案项目名称、项目编号、内容与本项目要求不一致；②非专门针对本项目或内容与本项目无关；③内容矛盾或表述前后不一致；④复制或套用其他项目内容；以上任意一种情形。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（1）项目负责人持有桥梁检测工程师证得2分，具备中级及以上职称得2分；本项最多得4分。 （2）技术负责人持有桥梁检测工程师证得2分，具备中级及以上职称得2分；本项最多得4分。 （3）项目组其他人员：每增加1名桥梁检测员得1分，本项最多得2分。 注：以上人员提供证书复印件加盖供应商公章。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（1） 供应商拟投入本项目检测设备具有自购桥梁检测车的，1辆得2分。 （2）供应商拟投入本项目检测设备具有租赁桥梁检测车的，1辆得1分。 （1）、（2）项不重复得分，本项最多得2分。 注：1、针对（1）点须提供发票复印件并加盖单位鲜章； 2、针对（2）点须提供租赁合同并加盖单位鲜章。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拟配备本项目的检测仪器设备表.docx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供应商提供2022年5月1日（含）至递交响应文件截止之日的类似项目业绩（类似项目包含桥梁定期检查、特殊检测、桥梁的交工验收检测项目任何一种均可），每提供一个业绩得2分，此项最多得6分。 注：提供合同复印件并加盖供应商公章。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满足磋商文件要求且磋商报价价格最低的磋商报价为评审基准价，其价格分为满分。其他供应商的价格分统一按照下列公式计算：磋商报价得分=(评审基准价／最终磋商报价)×价格权值×100。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详见附件：拟配备本项目的检测仪器设备表.docx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