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版本号：YCZB-2025619C20250619001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西安市高陵区第三中学改善办学条件提升改造项目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YCZB-2025619C</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西安市高陵区第三中学改善办学条件提升改造项目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YCZB-2025619C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西安市高陵区第三中学改善办学条件提升改造项目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西安市高陵区第三中学改善办学条件提升改造项目。其中包含室内土建工程、装饰装修工程、电气设备安装工程、弱电工程、桌椅采购等。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采购包1（西安市高陵区第三中学改善办学条件提升改造项目）：属于专门面向中小企业采购。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3、企业资质：：供应商须具备建设部门颁发的建筑装修装饰工程专业承包二级及以上，具有有效的安全生产许可证；</w:t>
      </w:r>
    </w:p>
    <w:p>
      <w:pPr>
        <w:pStyle w:val="null3"/>
      </w:pPr>
      <w:r>
        <w:rPr>
          <w:rFonts w:ascii="仿宋_GB2312" w:hAnsi="仿宋_GB2312" w:cs="仿宋_GB2312" w:eastAsia="仿宋_GB2312"/>
        </w:rPr>
        <w:t>4、项目经理资质：：拟委派项目负责人须具有建筑工程专业二级及以上注册建造师资格并具有安全生产考核合格证，在本单位注册且无在建项目；</w:t>
      </w:r>
    </w:p>
    <w:p>
      <w:pPr>
        <w:pStyle w:val="null3"/>
      </w:pPr>
      <w:r>
        <w:rPr>
          <w:rFonts w:ascii="仿宋_GB2312" w:hAnsi="仿宋_GB2312" w:cs="仿宋_GB2312" w:eastAsia="仿宋_GB2312"/>
        </w:rPr>
        <w:t>5、财务状况报告：：提供2024年度财务审计报告或投标前三个月内公司存款账户开户银行出具的资信证明（以上两种形式的资料提供任何一种即可）；</w:t>
      </w:r>
    </w:p>
    <w:p>
      <w:pPr>
        <w:pStyle w:val="null3"/>
      </w:pPr>
      <w:r>
        <w:rPr>
          <w:rFonts w:ascii="仿宋_GB2312" w:hAnsi="仿宋_GB2312" w:cs="仿宋_GB2312" w:eastAsia="仿宋_GB2312"/>
        </w:rPr>
        <w:t>6、税收缴纳证明：：提供2024年11月至今已缴纳的至少一个月的纳税证明或完税证明（任意税种），依法免税的单位应提供相关证明材料；</w:t>
      </w:r>
    </w:p>
    <w:p>
      <w:pPr>
        <w:pStyle w:val="null3"/>
      </w:pPr>
      <w:r>
        <w:rPr>
          <w:rFonts w:ascii="仿宋_GB2312" w:hAnsi="仿宋_GB2312" w:cs="仿宋_GB2312" w:eastAsia="仿宋_GB2312"/>
        </w:rPr>
        <w:t>7、社会保障资金缴纳证明：：提供2024年11月至今已缴存的至少一个月的社会保障资金缴存单据或社保机构开具的社会保险参保缴费情况证明，依法不需要缴纳社会保障资金的单位应提供相关证明材料；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西安市碑林区友谊东路6号新兴翰园B座2-163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19191808021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按相关标准计算后，招标代理服务费及工程造价咨询服务费由成交单位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联系电话：19191808021</w:t>
      </w:r>
    </w:p>
    <w:p>
      <w:pPr>
        <w:pStyle w:val="null3"/>
      </w:pPr>
      <w:r>
        <w:rPr>
          <w:rFonts w:ascii="仿宋_GB2312" w:hAnsi="仿宋_GB2312" w:cs="仿宋_GB2312" w:eastAsia="仿宋_GB2312"/>
        </w:rPr>
        <w:t>地址：西安市碑林区友谊东路6号新兴翰园B座2-163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909,000.00</w:t>
      </w:r>
    </w:p>
    <w:p>
      <w:pPr>
        <w:pStyle w:val="null3"/>
      </w:pPr>
      <w:r>
        <w:rPr>
          <w:rFonts w:ascii="仿宋_GB2312" w:hAnsi="仿宋_GB2312" w:cs="仿宋_GB2312" w:eastAsia="仿宋_GB2312"/>
        </w:rPr>
        <w:t>采购包最高限价（元）: 908,194.25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包含室内土建工程、装饰装修工程、电气设备安装工程、弱电工程、桌椅采购等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标的名称：包含室内土建工程、装饰装修工程、电气设备安装工程、弱电工程、桌椅采购等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工程内容：西安市高陵区第三中学改善办学条件提升改造项目。其中包含室内土建工程、装饰装修工程、电气设备安装工程、弱电工程、桌椅采购等。</w:t>
            </w:r>
          </w:p>
          <w:p>
            <w:pPr>
              <w:pStyle w:val="null3"/>
              <w:jc w:val="both"/>
            </w:pPr>
            <w:r>
              <w:rPr>
                <w:rFonts w:ascii="仿宋_GB2312" w:hAnsi="仿宋_GB2312" w:cs="仿宋_GB2312" w:eastAsia="仿宋_GB2312"/>
                <w:sz w:val="21"/>
              </w:rPr>
              <w:t>工期：合同签订后90日历天</w:t>
            </w:r>
          </w:p>
          <w:p>
            <w:pPr>
              <w:pStyle w:val="null3"/>
            </w:pPr>
            <w:r>
              <w:rPr>
                <w:rFonts w:ascii="仿宋_GB2312" w:hAnsi="仿宋_GB2312" w:cs="仿宋_GB2312" w:eastAsia="仿宋_GB2312"/>
                <w:sz w:val="21"/>
              </w:rPr>
              <w:t>工程地点：西安市高陵区第三中学</w:t>
            </w:r>
          </w:p>
          <w:p>
            <w:pPr>
              <w:pStyle w:val="null3"/>
            </w:pPr>
            <w:r>
              <w:rPr>
                <w:rFonts w:ascii="仿宋_GB2312" w:hAnsi="仿宋_GB2312" w:cs="仿宋_GB2312" w:eastAsia="仿宋_GB2312"/>
                <w:sz w:val="21"/>
              </w:rPr>
              <w:t>质量标准：达到国家现行施工验收规范“合格”标准</w:t>
            </w:r>
          </w:p>
          <w:p>
            <w:pPr>
              <w:pStyle w:val="null3"/>
            </w:pPr>
            <w:r>
              <w:rPr>
                <w:rFonts w:ascii="仿宋_GB2312" w:hAnsi="仿宋_GB2312" w:cs="仿宋_GB2312" w:eastAsia="仿宋_GB2312"/>
                <w:sz w:val="21"/>
              </w:rPr>
              <w:t>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本项目采用电子化投标与纸质投标并行的方式，供应商需要于磋商响应文件递交截止时间前在线提交电子响应文件， 同时线下提交一正一副纸质版响应文件，电子响应文件与纸质响应文件不一致的，以电子版响应文件为准。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提供2024年度财务审计报告，或投标前三个月内公司存款账户开户银行出具的资信证明（以上两种形式的资料提供任何一种即可）；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供应商须具备建设部门颁发的建筑装修装饰工程专业承包二级及以上，具有有效的安全生产许可证；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拟委派项目负责人须具有建筑工程专业二级及以上注册建造师资格并具有安全生产考核合格证，在本单位注册且无在建项目；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提供2024年度财务审计报告或投标前三个月内公司存款账户开户银行出具的资信证明（以上两种形式的资料提供任何一种即可）；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响应函 附件3、陕西省政府采购供应商拒绝政府采购领域商业贿赂承诺书.docx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技术响应文件.docx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以供应商2021年07月1日至今的类似项目业绩（以合同或中标通知书时间为准，每提供1份合同或中标通知书为1个业绩，得1分，最多得4分，未提供的不得分。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确保文明施工的技术组织措施及环境保护措施计（0-5]分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安全生产</w:t>
            </w:r>
          </w:p>
        </w:tc>
        <w:tc>
          <w:tcPr>
            <w:tcW w:type="dxa" w:w="2492"/>
          </w:tcPr>
          <w:p>
            <w:pPr>
              <w:pStyle w:val="null3"/>
            </w:pPr>
            <w:r>
              <w:rPr>
                <w:rFonts w:ascii="仿宋_GB2312" w:hAnsi="仿宋_GB2312" w:cs="仿宋_GB2312" w:eastAsia="仿宋_GB2312"/>
              </w:rPr>
              <w:t>确保安全生产的技术组织措施计（0-5]分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施工机械及材料投入计划计（0-5]分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项目管理机构及项目经理部组成计（0-7]分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工程质量承诺</w:t>
            </w:r>
          </w:p>
        </w:tc>
        <w:tc>
          <w:tcPr>
            <w:tcW w:type="dxa" w:w="2492"/>
          </w:tcPr>
          <w:p>
            <w:pPr>
              <w:pStyle w:val="null3"/>
            </w:pPr>
            <w:r>
              <w:rPr>
                <w:rFonts w:ascii="仿宋_GB2312" w:hAnsi="仿宋_GB2312" w:cs="仿宋_GB2312" w:eastAsia="仿宋_GB2312"/>
              </w:rPr>
              <w:t>完全承诺磋商文件和合同条款，并针对本项目实际需求提供实质性承诺或合理化建议，确有利于本次招标，根据其可行性和可信程度计（0-3]分。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确保工期的技术组织措施计（0-5]分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垃圾清运计划</w:t>
            </w:r>
          </w:p>
        </w:tc>
        <w:tc>
          <w:tcPr>
            <w:tcW w:type="dxa" w:w="2492"/>
          </w:tcPr>
          <w:p>
            <w:pPr>
              <w:pStyle w:val="null3"/>
            </w:pPr>
            <w:r>
              <w:rPr>
                <w:rFonts w:ascii="仿宋_GB2312" w:hAnsi="仿宋_GB2312" w:cs="仿宋_GB2312" w:eastAsia="仿宋_GB2312"/>
              </w:rPr>
              <w:t>垃圾清运计划计（0-5]分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后续服务条款具体、可行，并有详细的后续服务措施，承诺具体可行，计（0-5]分。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w:t>
            </w:r>
          </w:p>
        </w:tc>
        <w:tc>
          <w:tcPr>
            <w:tcW w:type="dxa" w:w="2492"/>
          </w:tcPr>
          <w:p>
            <w:pPr>
              <w:pStyle w:val="null3"/>
            </w:pPr>
            <w:r>
              <w:rPr>
                <w:rFonts w:ascii="仿宋_GB2312" w:hAnsi="仿宋_GB2312" w:cs="仿宋_GB2312" w:eastAsia="仿宋_GB2312"/>
              </w:rPr>
              <w:t>确保工程质量的技术组织措施计（0-5]分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劳动力安排计划情况计（0-5]分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实质性承诺</w:t>
            </w:r>
          </w:p>
        </w:tc>
        <w:tc>
          <w:tcPr>
            <w:tcW w:type="dxa" w:w="2492"/>
          </w:tcPr>
          <w:p>
            <w:pPr>
              <w:pStyle w:val="null3"/>
            </w:pPr>
            <w:r>
              <w:rPr>
                <w:rFonts w:ascii="仿宋_GB2312" w:hAnsi="仿宋_GB2312" w:cs="仿宋_GB2312" w:eastAsia="仿宋_GB2312"/>
              </w:rPr>
              <w:t>对项目经理及主要人员竣工前不得更换做出实质性承诺，不拖欠农民工工资承诺，确保工程进度不拖延工期承诺，计（0-3]分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报价得分＝（基准价/投标报价）*30 评标基准价为满足招标文件要求且投标价格最低的投标报价 ①若投标单位的报价明显低于成本价，或报价明显无法达到服务要求，评标委员会有权要求投标单位做出报价澄清并提供相关证明，若在限定时间内无法澄清或无法出具合理的证明，经评标委员会二分之一以上成员认定，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详见附件：附件3、陕西省政府采购供应商拒绝政府采购领域商业贿赂承诺书.docx</w:t>
      </w:r>
    </w:p>
    <w:p>
      <w:pPr>
        <w:pStyle w:val="null3"/>
        <w:ind w:firstLine="960"/>
      </w:pPr>
      <w:r>
        <w:rPr>
          <w:rFonts w:ascii="仿宋_GB2312" w:hAnsi="仿宋_GB2312" w:cs="仿宋_GB2312" w:eastAsia="仿宋_GB2312"/>
        </w:rPr>
        <w:t>详见附件：技术响应文件.docx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