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版本号：RKZB-2025-02050420250603001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高陵区2025年小麦“一喷三防”项目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RKZB-2025-020504</w:t>
      </w:r>
      <w:r>
        <w:br/>
      </w:r>
      <w:r>
        <w:br/>
      </w:r>
      <w:r>
        <w:br/>
      </w:r>
    </w:p>
    <w:p>
      <w:pPr>
        <w:pStyle w:val="null3"/>
        <w:jc w:val="center"/>
        <w:outlineLvl w:val="2"/>
      </w:pPr>
      <w:r>
        <w:rPr>
          <w:rFonts w:ascii="仿宋_GB2312" w:hAnsi="仿宋_GB2312" w:cs="仿宋_GB2312" w:eastAsia="仿宋_GB2312"/>
          <w:sz w:val="28"/>
          <w:b/>
        </w:rPr>
        <w:t>西安市高陵区农业技术推广中心</w:t>
      </w:r>
    </w:p>
    <w:p>
      <w:pPr>
        <w:pStyle w:val="null3"/>
        <w:jc w:val="center"/>
        <w:outlineLvl w:val="2"/>
      </w:pPr>
      <w:r>
        <w:rPr>
          <w:rFonts w:ascii="仿宋_GB2312" w:hAnsi="仿宋_GB2312" w:cs="仿宋_GB2312" w:eastAsia="仿宋_GB2312"/>
          <w:sz w:val="28"/>
          <w:b/>
        </w:rPr>
        <w:t>瑞科项目管理有限公司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瑞科项目管理有限公司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西安市高陵区农业技术推广中心</w:t>
      </w:r>
      <w:r>
        <w:rPr>
          <w:rFonts w:ascii="仿宋_GB2312" w:hAnsi="仿宋_GB2312" w:cs="仿宋_GB2312" w:eastAsia="仿宋_GB2312"/>
        </w:rPr>
        <w:t>委托，拟对</w:t>
      </w:r>
      <w:r>
        <w:rPr>
          <w:rFonts w:ascii="仿宋_GB2312" w:hAnsi="仿宋_GB2312" w:cs="仿宋_GB2312" w:eastAsia="仿宋_GB2312"/>
        </w:rPr>
        <w:t>高陵区2025年小麦“一喷三防”项目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RKZB-2025-020504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高陵区2025年小麦“一喷三防”项目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根据全区小麦病虫害发生监测情况（以赤霉病、白粉病、穗蚜等为主），在穗期喷施杀虫剂、杀菌剂、叶面肥等，实现增强小麦抗逆性，防病治虫增粒重的效果。本次采购杀虫剂、杀菌剂、叶面肥等物资。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采购包1（高陵区2025年小麦“一喷三防”项目）：属于专门面向中小企业采购。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2、企业资格：供应商为经销商的，须提供有效期内的农药经营许可证及生产厂家的农药“三证” (农药生产许可证或农药生产批准文件、农药登记证、农药标准证)；供应商为生产厂家的，须提供有效期内的农药“三证” (农药生产许可证或农药生产批准文件、农药登记证、农药标准证)</w:t>
      </w:r>
    </w:p>
    <w:p>
      <w:pPr>
        <w:pStyle w:val="null3"/>
      </w:pPr>
      <w:r>
        <w:rPr>
          <w:rFonts w:ascii="仿宋_GB2312" w:hAnsi="仿宋_GB2312" w:cs="仿宋_GB2312" w:eastAsia="仿宋_GB2312"/>
        </w:rPr>
        <w:t>3、法定代表人身份证明或法人授权委托书：法定代表人授权书（附法定代表人、被授权人身份证复印件）及被授权人身份证复印件（法定代表人直接参加招标，须提供法定代表人身份证明书）；非法人单位参照执行</w:t>
      </w:r>
    </w:p>
    <w:p>
      <w:pPr>
        <w:pStyle w:val="null3"/>
      </w:pPr>
      <w:r>
        <w:rPr>
          <w:rFonts w:ascii="仿宋_GB2312" w:hAnsi="仿宋_GB2312" w:cs="仿宋_GB2312" w:eastAsia="仿宋_GB2312"/>
        </w:rPr>
        <w:t>4、关联关系：单位负责人为同一人或者存在直接控股、管理关系的不同投标人，不得参加同一合同项下的政府采购活动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5、非联合体承诺：本项目不接受联合体（提供承诺函）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西安市高陵区环城北路中段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18991258001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西安市经开区未央路303号保利中达广场2207室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王博霖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19502959395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西安市高陵区农业技术推广中心</w:t>
      </w:r>
      <w:r>
        <w:rPr>
          <w:rFonts w:ascii="仿宋_GB2312" w:hAnsi="仿宋_GB2312" w:cs="仿宋_GB2312" w:eastAsia="仿宋_GB2312"/>
        </w:rPr>
        <w:t>和</w:t>
      </w:r>
      <w:r>
        <w:rPr>
          <w:rFonts w:ascii="仿宋_GB2312" w:hAnsi="仿宋_GB2312" w:cs="仿宋_GB2312" w:eastAsia="仿宋_GB2312"/>
        </w:rPr>
        <w:t>瑞科项目管理有限公司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西安市高陵区农业技术推广中心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瑞科项目管理有限公司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西安市高陵区农业技术推广中心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瑞科项目管理有限公司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联系人：王博霖</w:t>
      </w:r>
    </w:p>
    <w:p>
      <w:pPr>
        <w:pStyle w:val="null3"/>
      </w:pPr>
      <w:r>
        <w:rPr>
          <w:rFonts w:ascii="仿宋_GB2312" w:hAnsi="仿宋_GB2312" w:cs="仿宋_GB2312" w:eastAsia="仿宋_GB2312"/>
        </w:rPr>
        <w:t>联系电话：19502959395</w:t>
      </w:r>
    </w:p>
    <w:p>
      <w:pPr>
        <w:pStyle w:val="null3"/>
      </w:pPr>
      <w:r>
        <w:rPr>
          <w:rFonts w:ascii="仿宋_GB2312" w:hAnsi="仿宋_GB2312" w:cs="仿宋_GB2312" w:eastAsia="仿宋_GB2312"/>
        </w:rPr>
        <w:t>地址：西安市经开区未央路303号保利中达广场2207室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根据全区小麦病虫害发生监测情况（以赤霉病、白粉病、穗蚜等为主），在穗期喷施杀虫剂、杀菌剂、叶面肥等，实现增强小麦抗逆性，防病治虫增粒重的效果。本次采购杀虫剂、杀菌剂、叶面肥等物资。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585,000.00</w:t>
      </w:r>
    </w:p>
    <w:p>
      <w:pPr>
        <w:pStyle w:val="null3"/>
      </w:pPr>
      <w:r>
        <w:rPr>
          <w:rFonts w:ascii="仿宋_GB2312" w:hAnsi="仿宋_GB2312" w:cs="仿宋_GB2312" w:eastAsia="仿宋_GB2312"/>
        </w:rPr>
        <w:t>采购包最高限价（元）: 585,000.00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高陵区2025年小麦“一喷三防”项目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标的名称：高陵区2025年小麦“一喷三防”项目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根据全区小麦病虫害发生监测情况（以赤霉病、白粉病、穗蚜等为主），在穗期喷施杀虫剂、杀菌剂、叶面肥等，实现增强小麦抗逆性，防病治虫增粒重的效果。本次采购杀虫剂、杀菌剂、叶面肥等物资。</w:t>
            </w:r>
          </w:p>
          <w:p>
            <w:pPr>
              <w:pStyle w:val="null3"/>
            </w:pPr>
            <w:r>
              <w:rPr>
                <w:rFonts w:ascii="仿宋_GB2312" w:hAnsi="仿宋_GB2312" w:cs="仿宋_GB2312" w:eastAsia="仿宋_GB2312"/>
                <w:sz w:val="21"/>
              </w:rPr>
              <w:t>二、采购内容</w:t>
            </w:r>
          </w:p>
          <w:p>
            <w:pPr>
              <w:pStyle w:val="null3"/>
            </w:pPr>
            <w:r>
              <w:rPr>
                <w:rFonts w:ascii="仿宋_GB2312" w:hAnsi="仿宋_GB2312" w:cs="仿宋_GB2312" w:eastAsia="仿宋_GB2312"/>
                <w:sz w:val="21"/>
              </w:rPr>
              <w:t>采购小麦杀虫剂、杀菌剂、叶面肥等物资，实施面积118132.66亩。</w:t>
            </w:r>
          </w:p>
          <w:p>
            <w:pPr>
              <w:pStyle w:val="null3"/>
            </w:pPr>
            <w:r>
              <w:rPr>
                <w:rFonts w:ascii="仿宋_GB2312" w:hAnsi="仿宋_GB2312" w:cs="仿宋_GB2312" w:eastAsia="仿宋_GB2312"/>
                <w:sz w:val="21"/>
              </w:rPr>
              <w:t>三、技术要求</w:t>
            </w:r>
          </w:p>
          <w:p>
            <w:pPr>
              <w:pStyle w:val="null3"/>
            </w:pPr>
            <w:r>
              <w:rPr>
                <w:rFonts w:ascii="仿宋_GB2312" w:hAnsi="仿宋_GB2312" w:cs="仿宋_GB2312" w:eastAsia="仿宋_GB2312"/>
                <w:sz w:val="21"/>
              </w:rPr>
              <w:t>杀虫剂：噻虫嗪、吡虫啉等单剂及其复配制剂（其中，吡虫啉单剂含量≥20%，复配制剂吡虫啉含量≥10%；噻虫嗪单剂含量≥30%，复配制剂噻虫嗪含量≥15%）；</w:t>
            </w:r>
          </w:p>
          <w:p>
            <w:pPr>
              <w:pStyle w:val="null3"/>
            </w:pPr>
            <w:r>
              <w:rPr>
                <w:rFonts w:ascii="仿宋_GB2312" w:hAnsi="仿宋_GB2312" w:cs="仿宋_GB2312" w:eastAsia="仿宋_GB2312"/>
                <w:sz w:val="21"/>
              </w:rPr>
              <w:t>杀菌剂：丙硫菌唑等及其复配置剂（其中，丙硫菌唑单剂含量≥30%，复配制剂丙硫菌唑含量≥20%）；</w:t>
            </w:r>
          </w:p>
          <w:p>
            <w:pPr>
              <w:pStyle w:val="null3"/>
            </w:pPr>
            <w:r>
              <w:rPr>
                <w:rFonts w:ascii="仿宋_GB2312" w:hAnsi="仿宋_GB2312" w:cs="仿宋_GB2312" w:eastAsia="仿宋_GB2312"/>
                <w:sz w:val="21"/>
              </w:rPr>
              <w:t>叶面肥：磷酸二氢钾（含量≥99%，亩用量≥50克）、氨基酸水溶肥（氨基酸≥100g/L，亩用量≥50克）等。</w:t>
            </w:r>
          </w:p>
          <w:p>
            <w:pPr>
              <w:pStyle w:val="null3"/>
            </w:pPr>
            <w:r>
              <w:rPr>
                <w:rFonts w:ascii="仿宋_GB2312" w:hAnsi="仿宋_GB2312" w:cs="仿宋_GB2312" w:eastAsia="仿宋_GB2312"/>
                <w:sz w:val="21"/>
              </w:rPr>
              <w:t>供应商为经销商的，须提供有效期内的农药经营许可证及生产厂家的农药“三证” (农药生产许可证或农药生产批准文件、农药登记证、农药标准证)；供应商为生产厂家的，须提供有效期内的农药“三证” (农药生产许可证或农药生产批准文件、农药登记证、农药标准证)；</w:t>
            </w:r>
            <w:r>
              <w:rPr>
                <w:rFonts w:ascii="仿宋_GB2312" w:hAnsi="仿宋_GB2312" w:cs="仿宋_GB2312" w:eastAsia="仿宋_GB2312"/>
                <w:sz w:val="21"/>
              </w:rPr>
              <w:t>叶面肥产品质量应符合国家相关标准，同时提供该产品登记或备案证件。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自合同签订后接采购人通知，在3日内完成采购任务。</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合同签订后，甲方支付乙方项目预付款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项目实施完毕后并经终验合格后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所提供的产品性能及质量应符合现行国家标准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产品验收合格后不少于1年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1.按照《民法典》中的相关条款执行 2.未按要求提供产品，且质量不能满足技术要求，采购人有权终止合同，并对供方违约行为进行追究，同时按《中华人民共和国政府采购法》的有关规定进行处罚。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响应文件，同时，线下向代理机构提供纸质版响应文件，响应文件为正本一份，副本二份，电子U盘二个（U盘内容包括Word版本、签字盖章扫描后的PDF版本响应文件）。若线上电子响应文件与纸质响应文件不一致以电子响应文件为准；若正本和副本不符，以正本为准。纸质响应文件均须A4纸打印，分别各自装订成册并编制目录和页码。线下递交时间同线上响应文件递交截止时间 ；线下递交文件地点：西安市未央区御井路3995号国机集团研发中心南幢6层招标部。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供应商对企业自身基本资格条件提供承诺函；供应商需在项目电子化交易系统中按要求填写《响应函》完成承诺并进行电子签章。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企业资格</w:t>
            </w:r>
          </w:p>
        </w:tc>
        <w:tc>
          <w:tcPr>
            <w:tcW w:type="dxa" w:w="3322"/>
          </w:tcPr>
          <w:p>
            <w:pPr>
              <w:pStyle w:val="null3"/>
            </w:pPr>
            <w:r>
              <w:rPr>
                <w:rFonts w:ascii="仿宋_GB2312" w:hAnsi="仿宋_GB2312" w:cs="仿宋_GB2312" w:eastAsia="仿宋_GB2312"/>
              </w:rPr>
              <w:t>供应商为经销商的，须提供有效期内的农药经营许可证及生产厂家的农药“三证” (农药生产许可证或农药生产批准文件、农药登记证、农药标准证)；供应商为生产厂家的，须提供有效期内的农药“三证” (农药生产许可证或农药生产批准文件、农药登记证、农药标准证)</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法定代表人授权书（附法定代表人、被授权人身份证复印件）及被授权人身份证复印件（法定代表人直接参加招标，须提供法定代表人身份证明书）；非法人单位参照执行</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本项目不接受联合体（提供承诺函）</w:t>
            </w:r>
          </w:p>
        </w:tc>
        <w:tc>
          <w:tcPr>
            <w:tcW w:type="dxa" w:w="1661"/>
          </w:tcPr>
          <w:p>
            <w:pPr>
              <w:pStyle w:val="null3"/>
            </w:pPr>
            <w:r>
              <w:rPr>
                <w:rFonts w:ascii="仿宋_GB2312" w:hAnsi="仿宋_GB2312" w:cs="仿宋_GB2312" w:eastAsia="仿宋_GB2312"/>
              </w:rPr>
              <w:t>资格证明材料1.docx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（3）报价唯一：只能有一个有效报价，不得提交选择性报价，且报价不超过最高限价 （4）第一次谈判报价：第一次谈判报价不超过最高限价</w:t>
            </w:r>
          </w:p>
        </w:tc>
        <w:tc>
          <w:tcPr>
            <w:tcW w:type="dxa" w:w="1661"/>
          </w:tcPr>
          <w:p>
            <w:pPr>
              <w:pStyle w:val="null3"/>
            </w:pPr>
            <w:r>
              <w:rPr>
                <w:rFonts w:ascii="仿宋_GB2312" w:hAnsi="仿宋_GB2312" w:cs="仿宋_GB2312" w:eastAsia="仿宋_GB2312"/>
              </w:rPr>
              <w:t>响应文件封面 资格证明材料1.docx 产品技术参数表 分项报价表.docx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资格证明材料1.docx 产品技术参数表 分项报价表.docx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（1）对谈判文件响应程度：要求全面响应，不能有任何采购人不能接受的附加条件 （2）供货期：应满足谈判文件的要求 （3）供货地点：应满足谈判文件的要求 （4）谈判有效期：应满足谈判文件中的要求</w:t>
            </w:r>
          </w:p>
        </w:tc>
        <w:tc>
          <w:tcPr>
            <w:tcW w:type="dxa" w:w="1661"/>
          </w:tcPr>
          <w:p>
            <w:pPr>
              <w:pStyle w:val="null3"/>
            </w:pPr>
            <w:r>
              <w:rPr>
                <w:rFonts w:ascii="仿宋_GB2312" w:hAnsi="仿宋_GB2312" w:cs="仿宋_GB2312" w:eastAsia="仿宋_GB2312"/>
              </w:rPr>
              <w:t>响应文件封面 资格证明材料1.docx 产品技术参数表 分项报价表.docx 中小企业声明函 残疾人福利性单位声明函 商务应答表 标的清单 报价表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详见附件：资格证明材料1.docx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详见附件：高陵区2025年小麦“一喷三防”项目（RKZB-2025-020504）--合同.docx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